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b/>
          <w:color w:val="1A3A5C"/>
          <w:sz w:val="56"/>
        </w:rPr>
        <w:t>eGFR Dashboard</w:t>
      </w:r>
    </w:p>
    <w:p>
      <w:pPr>
        <w:spacing w:before="0" w:after="80"/>
        <w:jc w:val="center"/>
      </w:pPr>
      <w:r>
        <w:rPr>
          <w:color w:val="2B6CB0"/>
          <w:sz w:val="32"/>
        </w:rPr>
        <w:t>Clinical Evidence Reference Document</w:t>
      </w:r>
    </w:p>
    <w:p>
      <w:pPr>
        <w:spacing w:before="0" w:after="60"/>
        <w:jc w:val="center"/>
      </w:pPr>
      <w:r>
        <w:rPr>
          <w:color w:val="444444"/>
          <w:sz w:val="20"/>
        </w:rPr>
        <w:t>Authors: Mallak &amp; Hazem</w:t>
      </w:r>
    </w:p>
    <w:p>
      <w:pPr>
        <w:spacing w:before="0" w:after="60"/>
        <w:jc w:val="center"/>
      </w:pPr>
      <w:r>
        <w:rPr>
          <w:color w:val="444444"/>
          <w:sz w:val="20"/>
        </w:rPr>
        <w:t>Date: 2026-05-24</w:t>
      </w:r>
    </w:p>
    <w:p>
      <w:pPr>
        <w:spacing w:before="0" w:after="60"/>
        <w:jc w:val="center"/>
      </w:pPr>
      <w:r>
        <w:rPr>
          <w:color w:val="444444"/>
          <w:sz w:val="20"/>
        </w:rPr>
        <w:t>Fully integrated: Equations ↔ Literature ↔ KEGG Pathways ↔ GO Biological Processes</w:t>
      </w:r>
    </w:p>
    <w:p>
      <w:r>
        <w:br w:type="page"/>
      </w:r>
    </w:p>
    <w:p>
      <w:pPr>
        <w:spacing w:before="320" w:after="80"/>
      </w:pPr>
      <w:r>
        <w:rPr>
          <w:b/>
          <w:color w:val="1A3A5C"/>
          <w:sz w:val="32"/>
        </w:rPr>
        <w:t>1. Research References</w:t>
      </w:r>
    </w:p>
    <w:p>
      <w:pPr>
        <w:pBdr>
          <w:bottom w:val="single" w:sz="6" w:space="1" w:color="2B6CB0"/>
        </w:pBdr>
        <w:spacing w:before="40" w:after="40"/>
      </w:pPr>
    </w:p>
    <w:p>
      <w:pPr>
        <w:spacing w:before="0" w:after="80"/>
      </w:pPr>
      <w:r>
        <w:rPr>
          <w:color w:val="444444"/>
          <w:sz w:val="20"/>
        </w:rPr>
        <w:t>All equations and causal weights in this document trace back to one or more of these references. The KEGG pathways and GO terms in Section 2 are linked directly to these papers — each pathway represents the molecular mechanism the paper's equation captures at the cellular level.</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567"/>
            <w:shd w:val="clear" w:color="auto" w:fill="1A3A5C"/>
          </w:tcPr>
          <w:p>
            <w:pPr>
              <w:spacing w:before="40" w:after="40"/>
            </w:pPr>
            <w:r>
              <w:rPr>
                <w:b/>
                <w:color w:val="FFFFFF"/>
                <w:sz w:val="18"/>
              </w:rPr>
              <w:t>ID</w:t>
            </w:r>
          </w:p>
        </w:tc>
        <w:tc>
          <w:tcPr>
            <w:tcW w:type="dxa" w:w="1984"/>
            <w:shd w:val="clear" w:color="auto" w:fill="1A3A5C"/>
          </w:tcPr>
          <w:p>
            <w:pPr>
              <w:spacing w:before="40" w:after="40"/>
            </w:pPr>
            <w:r>
              <w:rPr>
                <w:b/>
                <w:color w:val="FFFFFF"/>
                <w:sz w:val="18"/>
              </w:rPr>
              <w:t>Short name</w:t>
            </w:r>
          </w:p>
        </w:tc>
        <w:tc>
          <w:tcPr>
            <w:tcW w:type="dxa" w:w="4252"/>
            <w:shd w:val="clear" w:color="auto" w:fill="1A3A5C"/>
          </w:tcPr>
          <w:p>
            <w:pPr>
              <w:spacing w:before="40" w:after="40"/>
            </w:pPr>
            <w:r>
              <w:rPr>
                <w:b/>
                <w:color w:val="FFFFFF"/>
                <w:sz w:val="18"/>
              </w:rPr>
              <w:t>Full citation</w:t>
            </w:r>
          </w:p>
        </w:tc>
        <w:tc>
          <w:tcPr>
            <w:tcW w:type="dxa" w:w="1984"/>
            <w:shd w:val="clear" w:color="auto" w:fill="1A3A5C"/>
          </w:tcPr>
          <w:p>
            <w:pPr>
              <w:spacing w:before="40" w:after="40"/>
            </w:pPr>
            <w:r>
              <w:rPr>
                <w:b/>
                <w:color w:val="FFFFFF"/>
                <w:sz w:val="18"/>
              </w:rPr>
              <w:t>Recency</w:t>
            </w:r>
          </w:p>
        </w:tc>
        <w:tc>
          <w:tcPr>
            <w:tcW w:type="dxa" w:w="2268"/>
            <w:shd w:val="clear" w:color="auto" w:fill="1A3A5C"/>
          </w:tcPr>
          <w:p>
            <w:pPr>
              <w:spacing w:before="40" w:after="40"/>
            </w:pPr>
            <w:r>
              <w:rPr>
                <w:b/>
                <w:color w:val="FFFFFF"/>
                <w:sz w:val="18"/>
              </w:rPr>
              <w:t>Used for</w:t>
            </w:r>
          </w:p>
        </w:tc>
      </w:tr>
      <w:tr>
        <w:tc>
          <w:tcPr>
            <w:tcW w:type="dxa" w:w="567"/>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R1</w:t>
            </w:r>
          </w:p>
        </w:tc>
        <w:tc>
          <w:tcPr>
            <w:tcW w:type="dxa" w:w="1984"/>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CKD-EPI 2021</w:t>
            </w:r>
          </w:p>
        </w:tc>
        <w:tc>
          <w:tcPr>
            <w:tcW w:type="dxa" w:w="4252"/>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Inker LA et al. N Engl J Med. 2021;385:1737–1749. DOI: 10.1056/NEJMoa2102953</w:t>
            </w:r>
          </w:p>
        </w:tc>
        <w:tc>
          <w:tcPr>
            <w:tcW w:type="dxa" w:w="1984"/>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 Current</w:t>
            </w:r>
          </w:p>
        </w:tc>
        <w:tc>
          <w:tcPr>
            <w:tcW w:type="dxa" w:w="2268"/>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Primary eGFR formula; age and sex correction; physiological ceiling 120 mL/min/1.73m²</w:t>
            </w:r>
          </w:p>
        </w:tc>
      </w:tr>
      <w:tr>
        <w:tc>
          <w:tcPr>
            <w:tcW w:type="dxa" w:w="567"/>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R2</w:t>
            </w:r>
          </w:p>
        </w:tc>
        <w:tc>
          <w:tcPr>
            <w:tcW w:type="dxa" w:w="1984"/>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KDIGO AKI 2012</w:t>
            </w:r>
          </w:p>
        </w:tc>
        <w:tc>
          <w:tcPr>
            <w:tcW w:type="dxa" w:w="4252"/>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KDIGO AKI Work Group. Kidney Int Suppl. 2012;2:1–138.</w:t>
            </w:r>
          </w:p>
        </w:tc>
        <w:tc>
          <w:tcPr>
            <w:tcW w:type="dxa" w:w="1984"/>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 Partially dated (2024 update exists; thresholds unchanged)</w:t>
            </w:r>
          </w:p>
        </w:tc>
        <w:tc>
          <w:tcPr>
            <w:tcW w:type="dxa" w:w="2268"/>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Urine output norms (0.5–1.0 mL/kg/hr), oliguria definition, AKI staging</w:t>
            </w:r>
          </w:p>
        </w:tc>
      </w:tr>
      <w:tr>
        <w:tc>
          <w:tcPr>
            <w:tcW w:type="dxa" w:w="567"/>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R3</w:t>
            </w:r>
          </w:p>
        </w:tc>
        <w:tc>
          <w:tcPr>
            <w:tcW w:type="dxa" w:w="1984"/>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Kovesdy CJASN 2012</w:t>
            </w:r>
          </w:p>
        </w:tc>
        <w:tc>
          <w:tcPr>
            <w:tcW w:type="dxa" w:w="4252"/>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Kovesdy CP et al. Clin J Am Soc Nephrol. 2012;7:861–867.</w:t>
            </w:r>
          </w:p>
        </w:tc>
        <w:tc>
          <w:tcPr>
            <w:tcW w:type="dxa" w:w="1984"/>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 Still valid</w:t>
            </w:r>
          </w:p>
        </w:tc>
        <w:tc>
          <w:tcPr>
            <w:tcW w:type="dxa" w:w="2268"/>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K⁺ exponential accumulation curve: K⁺ = 4.10 + 0.90 × e^(−eGFR/25)</w:t>
            </w:r>
          </w:p>
        </w:tc>
      </w:tr>
      <w:tr>
        <w:tc>
          <w:tcPr>
            <w:tcW w:type="dxa" w:w="567"/>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R4</w:t>
            </w:r>
          </w:p>
        </w:tc>
        <w:tc>
          <w:tcPr>
            <w:tcW w:type="dxa" w:w="1984"/>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Vasan JAMA 2002 (Framingham)</w:t>
            </w:r>
          </w:p>
        </w:tc>
        <w:tc>
          <w:tcPr>
            <w:tcW w:type="dxa" w:w="4252"/>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Vasan RS et al. JAMA. 2002;287:1003–1010.</w:t>
            </w:r>
          </w:p>
        </w:tc>
        <w:tc>
          <w:tcPr>
            <w:tcW w:type="dxa" w:w="1984"/>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 Old (2002) — estimate still cited</w:t>
            </w:r>
          </w:p>
        </w:tc>
        <w:tc>
          <w:tcPr>
            <w:tcW w:type="dxa" w:w="2268"/>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MAP +0.30 mmHg/yr after age 20; age→HTN relationship</w:t>
            </w:r>
          </w:p>
        </w:tc>
      </w:tr>
      <w:tr>
        <w:tc>
          <w:tcPr>
            <w:tcW w:type="dxa" w:w="567"/>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R5</w:t>
            </w:r>
          </w:p>
        </w:tc>
        <w:tc>
          <w:tcPr>
            <w:tcW w:type="dxa" w:w="1984"/>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Cockcroft-Gault Nephron 1976</w:t>
            </w:r>
          </w:p>
        </w:tc>
        <w:tc>
          <w:tcPr>
            <w:tcW w:type="dxa" w:w="4252"/>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Cockcroft DW, Gault MH. Nephron. 1976;16:31–41.</w:t>
            </w:r>
          </w:p>
        </w:tc>
        <w:tc>
          <w:tcPr>
            <w:tcW w:type="dxa" w:w="1984"/>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 Classical — replaced by CKD-EPI for GFR, used for drug dosing</w:t>
            </w:r>
          </w:p>
        </w:tc>
        <w:tc>
          <w:tcPr>
            <w:tcW w:type="dxa" w:w="2268"/>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Creatinine clearance from age, weight, sex; reverse formula for expected Scr</w:t>
            </w:r>
          </w:p>
        </w:tc>
      </w:tr>
      <w:tr>
        <w:tc>
          <w:tcPr>
            <w:tcW w:type="dxa" w:w="567"/>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R6</w:t>
            </w:r>
          </w:p>
        </w:tc>
        <w:tc>
          <w:tcPr>
            <w:tcW w:type="dxa" w:w="1984"/>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Carlström Nat Rev Nephrol 2015</w:t>
            </w:r>
          </w:p>
        </w:tc>
        <w:tc>
          <w:tcPr>
            <w:tcW w:type="dxa" w:w="4252"/>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Carlström M et al. Nat Rev Nephrol. 2015;11:545–557.</w:t>
            </w:r>
          </w:p>
        </w:tc>
        <w:tc>
          <w:tcPr>
            <w:tcW w:type="dxa" w:w="1984"/>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 Current</w:t>
            </w:r>
          </w:p>
        </w:tc>
        <w:tc>
          <w:tcPr>
            <w:tcW w:type="dxa" w:w="2268"/>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Renal autoregulation; MAP→filtration thresholds (65–110 mmHg); UO modifier</w:t>
            </w:r>
          </w:p>
        </w:tc>
      </w:tr>
      <w:tr>
        <w:tc>
          <w:tcPr>
            <w:tcW w:type="dxa" w:w="567"/>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R7</w:t>
            </w:r>
          </w:p>
        </w:tc>
        <w:tc>
          <w:tcPr>
            <w:tcW w:type="dxa" w:w="1984"/>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Levey Ann Intern Med 1999 (MDRD)</w:t>
            </w:r>
          </w:p>
        </w:tc>
        <w:tc>
          <w:tcPr>
            <w:tcW w:type="dxa" w:w="4252"/>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Levey AS et al. Ann Intern Med. 1999;130:461–470.</w:t>
            </w:r>
          </w:p>
        </w:tc>
        <w:tc>
          <w:tcPr>
            <w:tcW w:type="dxa" w:w="1984"/>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 Superseded by CKD-EPI 2021 (kept for sarcopenia concept only)</w:t>
            </w:r>
          </w:p>
        </w:tc>
        <w:tc>
          <w:tcPr>
            <w:tcW w:type="dxa" w:w="2268"/>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Age-related muscle mass decline; age correction rationale</w:t>
            </w:r>
          </w:p>
        </w:tc>
      </w:tr>
      <w:tr>
        <w:tc>
          <w:tcPr>
            <w:tcW w:type="dxa" w:w="567"/>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R8</w:t>
            </w:r>
          </w:p>
        </w:tc>
        <w:tc>
          <w:tcPr>
            <w:tcW w:type="dxa" w:w="1984"/>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Nelson JAMA 2019</w:t>
            </w:r>
          </w:p>
        </w:tc>
        <w:tc>
          <w:tcPr>
            <w:tcW w:type="dxa" w:w="4252"/>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Nelson RG et al. JAMA. 2019;322:2104–2114.</w:t>
            </w:r>
          </w:p>
        </w:tc>
        <w:tc>
          <w:tcPr>
            <w:tcW w:type="dxa" w:w="1984"/>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 Current</w:t>
            </w:r>
          </w:p>
        </w:tc>
        <w:tc>
          <w:tcPr>
            <w:tcW w:type="dxa" w:w="2268"/>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Linear eGFR coefficients: DM (−7.5), HTN (−5.5), BMI (−0.45/unit), Chol (−0.26), HDL (+0.23), Hb (+0.85), DM×HTN (−3.2)</w:t>
            </w:r>
          </w:p>
        </w:tc>
      </w:tr>
      <w:tr>
        <w:tc>
          <w:tcPr>
            <w:tcW w:type="dxa" w:w="567"/>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R9</w:t>
            </w:r>
          </w:p>
        </w:tc>
        <w:tc>
          <w:tcPr>
            <w:tcW w:type="dxa" w:w="1984"/>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Sun Circ Res 2019</w:t>
            </w:r>
          </w:p>
        </w:tc>
        <w:tc>
          <w:tcPr>
            <w:tcW w:type="dxa" w:w="4252"/>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Sun D et al. Circ Res. 2019;124:930–937.</w:t>
            </w:r>
          </w:p>
        </w:tc>
        <w:tc>
          <w:tcPr>
            <w:tcW w:type="dxa" w:w="1984"/>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 Current (Mendelian randomization)</w:t>
            </w:r>
          </w:p>
        </w:tc>
        <w:tc>
          <w:tcPr>
            <w:tcW w:type="dxa" w:w="2268"/>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DM→HTN causal direction confirmed; +0.52 causal weight</w:t>
            </w:r>
          </w:p>
        </w:tc>
      </w:tr>
      <w:tr>
        <w:tc>
          <w:tcPr>
            <w:tcW w:type="dxa" w:w="567"/>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R10</w:t>
            </w:r>
          </w:p>
        </w:tc>
        <w:tc>
          <w:tcPr>
            <w:tcW w:type="dxa" w:w="1984"/>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Project HeartBeat! Int J Obes 2011</w:t>
            </w:r>
          </w:p>
        </w:tc>
        <w:tc>
          <w:tcPr>
            <w:tcW w:type="dxa" w:w="4252"/>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Labarthe DR et al. Int J Obes. 2011;35:1144–1152.</w:t>
            </w:r>
          </w:p>
        </w:tc>
        <w:tc>
          <w:tcPr>
            <w:tcW w:type="dxa" w:w="1984"/>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 Dated (2011) — slopes still cited</w:t>
            </w:r>
          </w:p>
        </w:tc>
        <w:tc>
          <w:tcPr>
            <w:tcW w:type="dxa" w:w="2268"/>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BMI→HDL: HDL = a − 0.777 × BMI; BMI→TC: TC = a + 1.539 × BMI</w:t>
            </w:r>
          </w:p>
        </w:tc>
      </w:tr>
      <w:tr>
        <w:tc>
          <w:tcPr>
            <w:tcW w:type="dxa" w:w="567"/>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R11</w:t>
            </w:r>
          </w:p>
        </w:tc>
        <w:tc>
          <w:tcPr>
            <w:tcW w:type="dxa" w:w="1984"/>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Kanda Sci Rep 2019</w:t>
            </w:r>
          </w:p>
        </w:tc>
        <w:tc>
          <w:tcPr>
            <w:tcW w:type="dxa" w:w="4252"/>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Kanda E et al. Sci Rep. 2019;9:5082.</w:t>
            </w:r>
          </w:p>
        </w:tc>
        <w:tc>
          <w:tcPr>
            <w:tcW w:type="dxa" w:w="1984"/>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 Current</w:t>
            </w:r>
          </w:p>
        </w:tc>
        <w:tc>
          <w:tcPr>
            <w:tcW w:type="dxa" w:w="2268"/>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Bayesian DAG design for CKD; creatinine as dominant node; belief propagation architecture</w:t>
            </w:r>
          </w:p>
        </w:tc>
      </w:tr>
    </w:tbl>
    <w:p/>
    <w:p>
      <w:r>
        <w:br w:type="page"/>
      </w:r>
    </w:p>
    <w:p>
      <w:pPr>
        <w:spacing w:before="320" w:after="80"/>
      </w:pPr>
      <w:r>
        <w:rPr>
          <w:b/>
          <w:color w:val="1A3A5C"/>
          <w:sz w:val="32"/>
        </w:rPr>
        <w:t>2. Integrated Clinical Evidence — Equations × References × KEGG × GO</w:t>
      </w:r>
    </w:p>
    <w:p>
      <w:pPr>
        <w:pBdr>
          <w:bottom w:val="single" w:sz="6" w:space="1" w:color="2B6CB0"/>
        </w:pBdr>
        <w:spacing w:before="40" w:after="40"/>
      </w:pPr>
    </w:p>
    <w:p>
      <w:pPr>
        <w:spacing w:before="0" w:after="80"/>
      </w:pPr>
      <w:r>
        <w:rPr>
          <w:color w:val="444444"/>
          <w:sz w:val="20"/>
        </w:rPr>
        <w:t>Each causal edge is shown with its mathematical equation, the specific paper that established it, the KEGG molecular pathway that carries it out at the cellular level, and the GO biological process it modifies — with an explicit explanation of HOW the pathway mediates the equation's coefficient.</w:t>
      </w:r>
    </w:p>
    <w:p>
      <w:pPr>
        <w:spacing w:before="200" w:after="60"/>
      </w:pPr>
      <w:r>
        <w:rPr>
          <w:b/>
          <w:color w:val="2B6CB0"/>
          <w:sz w:val="26"/>
        </w:rPr>
        <w:t xml:space="preserve">  Age Relationships</w:t>
      </w:r>
    </w:p>
    <w:p/>
    <w:p>
      <w:pPr>
        <w:spacing w:before="200" w:after="40"/>
      </w:pPr>
      <w:r>
        <w:rPr>
          <w:b/>
          <w:color w:val="1A3A5C"/>
          <w:sz w:val="24"/>
        </w:rPr>
        <w:t xml:space="preserve">  ◆  Age → MAP</w:t>
      </w:r>
    </w:p>
    <w:p>
      <w:pPr>
        <w:spacing w:before="120" w:after="40"/>
      </w:pPr>
      <w:r>
        <w:rPr>
          <w:b/>
          <w:color w:val="1A3A5C"/>
          <w:sz w:val="22"/>
        </w:rPr>
        <w:t xml:space="preserve">  Equation:</w:t>
      </w:r>
    </w:p>
    <w:p>
      <w:pPr>
        <w:spacing w:before="20" w:after="20"/>
        <w:ind w:left="283"/>
      </w:pPr>
      <w:r>
        <w:rPr>
          <w:rFonts w:ascii="Courier New" w:hAnsi="Courier New"/>
          <w:color w:val="1A1A6E"/>
          <w:sz w:val="17"/>
        </w:rPr>
        <w:t>MAP_expected = clamp(70 + max(0, age − 20) × 0.30,  lo=60, hi=105)</w:t>
        <w:br/>
        <w:t>SD = 12 mmHg</w:t>
      </w:r>
    </w:p>
    <w:tbl>
      <w:tblPr>
        <w:tblStyle w:val="TableGrid"/>
        <w:tblW w:type="auto" w:w="0"/>
        <w:tblLook w:firstColumn="1" w:firstRow="1" w:lastColumn="0" w:lastRow="0" w:noHBand="0" w:noVBand="1" w:val="04A0"/>
      </w:tblPr>
      <w:tblGrid>
        <w:gridCol w:w="3249"/>
        <w:gridCol w:w="3249"/>
        <w:gridCol w:w="3249"/>
      </w:tblGrid>
      <w:tr>
        <w:tc>
          <w:tcPr>
            <w:tcW w:type="dxa" w:w="2551"/>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Coefficient</w:t>
              <w:br/>
            </w:r>
            <w:r>
              <w:rPr>
                <w:color w:val="444444"/>
                <w:sz w:val="18"/>
              </w:rPr>
              <w:t>+0.30 mmHg per year after age 20</w:t>
            </w:r>
          </w:p>
        </w:tc>
        <w:tc>
          <w:tcPr>
            <w:tcW w:type="dxa" w:w="1701"/>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Causal Type</w:t>
              <w:br/>
            </w:r>
            <w:r>
              <w:rPr>
                <w:color w:val="444444"/>
                <w:sz w:val="18"/>
              </w:rPr>
              <w:t>Positive</w:t>
            </w:r>
          </w:p>
        </w:tc>
        <w:tc>
          <w:tcPr>
            <w:tcW w:type="dxa" w:w="6803"/>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Medical Interpretation</w:t>
              <w:br/>
            </w:r>
            <w:r>
              <w:rPr>
                <w:color w:val="444444"/>
                <w:sz w:val="18"/>
              </w:rPr>
              <w:t>Arterial wall stiffening (vascular remodeling) with aging raises resting blood pressure. By age 70, MAP is ~15 mmHg higher than at age 20.</w:t>
            </w:r>
          </w:p>
        </w:tc>
      </w:tr>
    </w:tbl>
    <w:p/>
    <w:p>
      <w:pPr>
        <w:spacing w:before="120" w:after="40"/>
      </w:pPr>
      <w:r>
        <w:rPr>
          <w:b/>
          <w:color w:val="1A3A5C"/>
          <w:sz w:val="22"/>
        </w:rPr>
        <w:t xml:space="preserve">  Literature Reference:</w:t>
      </w:r>
    </w:p>
    <w:tbl>
      <w:tblPr>
        <w:tblStyle w:val="TableGrid"/>
        <w:tblW w:type="auto" w:w="0"/>
        <w:tblLook w:firstColumn="1" w:firstRow="1" w:lastColumn="0" w:lastRow="0" w:noHBand="0" w:noVBand="1" w:val="04A0"/>
      </w:tblPr>
      <w:tblGrid>
        <w:gridCol w:w="4873"/>
        <w:gridCol w:w="4873"/>
      </w:tblGrid>
      <w:tr>
        <w:tc>
          <w:tcPr>
            <w:tcW w:type="dxa" w:w="850"/>
            <w:shd w:val="clear" w:color="auto" w:fill="FFF8E1"/>
            <w:tcBorders>
              <w:top w:val="single" w:sz="4" w:space="0" w:color="D4B896"/>
              <w:left w:val="single" w:sz="4" w:space="0" w:color="D4B896"/>
              <w:bottom w:val="single" w:sz="4" w:space="0" w:color="D4B896"/>
              <w:right w:val="single" w:sz="4" w:space="0" w:color="D4B896"/>
            </w:tcBorders>
          </w:tcPr>
          <w:p>
            <w:r>
              <w:rPr>
                <w:b/>
                <w:color w:val="1A3A5C"/>
                <w:sz w:val="20"/>
              </w:rPr>
              <w:t>R4</w:t>
            </w:r>
          </w:p>
        </w:tc>
        <w:tc>
          <w:tcPr>
            <w:tcW w:type="dxa" w:w="10205"/>
            <w:shd w:val="clear" w:color="auto" w:fill="FFF8E1"/>
            <w:tcBorders>
              <w:top w:val="single" w:sz="4" w:space="0" w:color="D4B896"/>
              <w:left w:val="single" w:sz="4" w:space="0" w:color="D4B896"/>
              <w:bottom w:val="single" w:sz="4" w:space="0" w:color="D4B896"/>
              <w:right w:val="single" w:sz="4" w:space="0" w:color="D4B896"/>
            </w:tcBorders>
          </w:tcPr>
          <w:p>
            <w:r>
              <w:rPr>
                <w:b/>
                <w:color w:val="924008"/>
                <w:sz w:val="18"/>
              </w:rPr>
              <w:t xml:space="preserve">Vasan JAMA 2002 (Framingham) — </w:t>
            </w:r>
            <w:r>
              <w:rPr>
                <w:color w:val="444444"/>
                <w:sz w:val="18"/>
              </w:rPr>
              <w:t>Vasan RS et al. JAMA 2002 — Framingham cohort measured the +0.30 mmHg/yr slope directly from longitudinal BP tracking over decades.</w:t>
            </w:r>
          </w:p>
        </w:tc>
      </w:tr>
    </w:tbl>
    <w:p/>
    <w:p>
      <w:pPr>
        <w:spacing w:before="120" w:after="40"/>
      </w:pPr>
      <w:r>
        <w:rPr>
          <w:b/>
          <w:color w:val="1A3A5C"/>
          <w:sz w:val="22"/>
        </w:rPr>
        <w:t xml:space="preserve">  KEGG Pathways (molecular mechanism):</w:t>
      </w:r>
    </w:p>
    <w:tbl>
      <w:tblPr>
        <w:tblStyle w:val="TableGrid"/>
        <w:tblW w:type="auto" w:w="0"/>
        <w:tblLook w:firstColumn="1" w:firstRow="1" w:lastColumn="0" w:lastRow="0" w:noHBand="0" w:noVBand="1" w:val="04A0"/>
      </w:tblPr>
      <w:tblGrid>
        <w:gridCol w:w="3249"/>
        <w:gridCol w:w="3249"/>
        <w:gridCol w:w="3249"/>
      </w:tblGrid>
      <w:tr>
        <w:tc>
          <w:tcPr>
            <w:tcW w:type="dxa" w:w="1417"/>
            <w:shd w:val="clear" w:color="auto" w:fill="E6F4EA"/>
            <w:tcBorders>
              <w:top w:val="single" w:sz="4" w:space="0" w:color="8FC99A"/>
              <w:left w:val="single" w:sz="4" w:space="0" w:color="8FC99A"/>
              <w:bottom w:val="single" w:sz="4" w:space="0" w:color="8FC99A"/>
              <w:right w:val="single" w:sz="4" w:space="0" w:color="8FC99A"/>
            </w:tcBorders>
          </w:tcPr>
          <w:p>
            <w:r>
              <w:rPr>
                <w:rFonts w:ascii="Courier New" w:hAnsi="Courier New"/>
                <w:b/>
                <w:color w:val="14532D"/>
                <w:sz w:val="18"/>
              </w:rPr>
              <w:t>hsa04614</w:t>
            </w:r>
          </w:p>
        </w:tc>
        <w:tc>
          <w:tcPr>
            <w:tcW w:type="dxa" w:w="3118"/>
            <w:shd w:val="clear" w:color="auto" w:fill="E6F4EA"/>
            <w:tcBorders>
              <w:top w:val="single" w:sz="4" w:space="0" w:color="8FC99A"/>
              <w:left w:val="single" w:sz="4" w:space="0" w:color="8FC99A"/>
              <w:bottom w:val="single" w:sz="4" w:space="0" w:color="8FC99A"/>
              <w:right w:val="single" w:sz="4" w:space="0" w:color="8FC99A"/>
            </w:tcBorders>
          </w:tcPr>
          <w:p>
            <w:r>
              <w:rPr>
                <w:b/>
                <w:color w:val="14532D"/>
                <w:sz w:val="18"/>
              </w:rPr>
              <w:t>Renin–angiotensin system</w:t>
            </w:r>
          </w:p>
        </w:tc>
        <w:tc>
          <w:tcPr>
            <w:tcW w:type="dxa" w:w="6520"/>
            <w:shd w:val="clear" w:color="auto" w:fill="E6F4EA"/>
            <w:tcBorders>
              <w:top w:val="single" w:sz="4" w:space="0" w:color="8FC99A"/>
              <w:left w:val="single" w:sz="4" w:space="0" w:color="8FC99A"/>
              <w:bottom w:val="single" w:sz="4" w:space="0" w:color="8FC99A"/>
              <w:right w:val="single" w:sz="4" w:space="0" w:color="8FC99A"/>
            </w:tcBorders>
          </w:tcPr>
          <w:p>
            <w:r>
              <w:rPr>
                <w:color w:val="444444"/>
                <w:sz w:val="18"/>
              </w:rPr>
              <w:t>RAAS activation increases with aging → chronically elevated angiotensin II raises vascular tone, contributing to the +0.30 mmHg/yr slope in the equation.</w:t>
            </w:r>
          </w:p>
        </w:tc>
      </w:tr>
      <w:tr>
        <w:tc>
          <w:tcPr>
            <w:tcW w:type="dxa" w:w="1417"/>
            <w:shd w:val="clear" w:color="auto" w:fill="E6F4EA"/>
            <w:tcBorders>
              <w:top w:val="single" w:sz="4" w:space="0" w:color="8FC99A"/>
              <w:left w:val="single" w:sz="4" w:space="0" w:color="8FC99A"/>
              <w:bottom w:val="single" w:sz="4" w:space="0" w:color="8FC99A"/>
              <w:right w:val="single" w:sz="4" w:space="0" w:color="8FC99A"/>
            </w:tcBorders>
          </w:tcPr>
          <w:p>
            <w:r>
              <w:rPr>
                <w:rFonts w:ascii="Courier New" w:hAnsi="Courier New"/>
                <w:b/>
                <w:color w:val="14532D"/>
                <w:sz w:val="18"/>
              </w:rPr>
              <w:t>hsa04022</w:t>
            </w:r>
          </w:p>
        </w:tc>
        <w:tc>
          <w:tcPr>
            <w:tcW w:type="dxa" w:w="3118"/>
            <w:shd w:val="clear" w:color="auto" w:fill="E6F4EA"/>
            <w:tcBorders>
              <w:top w:val="single" w:sz="4" w:space="0" w:color="8FC99A"/>
              <w:left w:val="single" w:sz="4" w:space="0" w:color="8FC99A"/>
              <w:bottom w:val="single" w:sz="4" w:space="0" w:color="8FC99A"/>
              <w:right w:val="single" w:sz="4" w:space="0" w:color="8FC99A"/>
            </w:tcBorders>
          </w:tcPr>
          <w:p>
            <w:r>
              <w:rPr>
                <w:b/>
                <w:color w:val="14532D"/>
                <w:sz w:val="18"/>
              </w:rPr>
              <w:t>cGMP–PKG signaling</w:t>
            </w:r>
          </w:p>
        </w:tc>
        <w:tc>
          <w:tcPr>
            <w:tcW w:type="dxa" w:w="6520"/>
            <w:shd w:val="clear" w:color="auto" w:fill="E6F4EA"/>
            <w:tcBorders>
              <w:top w:val="single" w:sz="4" w:space="0" w:color="8FC99A"/>
              <w:left w:val="single" w:sz="4" w:space="0" w:color="8FC99A"/>
              <w:bottom w:val="single" w:sz="4" w:space="0" w:color="8FC99A"/>
              <w:right w:val="single" w:sz="4" w:space="0" w:color="8FC99A"/>
            </w:tcBorders>
          </w:tcPr>
          <w:p>
            <w:r>
              <w:rPr>
                <w:color w:val="444444"/>
                <w:sz w:val="18"/>
              </w:rPr>
              <w:t>Age-related decline in NO/cGMP vasodilatory signaling reduces the vessel's ability to lower pressure — this is the molecular substrate of the rising MAP baseline.</w:t>
            </w:r>
          </w:p>
        </w:tc>
      </w:tr>
    </w:tbl>
    <w:p/>
    <w:p>
      <w:pPr>
        <w:spacing w:before="120" w:after="40"/>
      </w:pPr>
      <w:r>
        <w:rPr>
          <w:b/>
          <w:color w:val="1A3A5C"/>
          <w:sz w:val="22"/>
        </w:rPr>
        <w:t xml:space="preserve">  GO Biological Processes:</w:t>
      </w:r>
    </w:p>
    <w:tbl>
      <w:tblPr>
        <w:tblStyle w:val="TableGrid"/>
        <w:tblW w:type="auto" w:w="0"/>
        <w:tblLook w:firstColumn="1" w:firstRow="1" w:lastColumn="0" w:lastRow="0" w:noHBand="0" w:noVBand="1" w:val="04A0"/>
      </w:tblPr>
      <w:tblGrid>
        <w:gridCol w:w="3249"/>
        <w:gridCol w:w="3249"/>
        <w:gridCol w:w="3249"/>
      </w:tblGrid>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GO:0008217</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Regulation of blood pressure</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This is the biological process being directly quantified by the equation; the +0.30 mmHg/yr coefficient IS a measurement of this process declining.</w:t>
            </w:r>
          </w:p>
        </w:tc>
      </w:tr>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GO:0001974</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Blood vessel remodeling</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Structural collagen cross-linking and elastin loss in aging vessels is the physical mechanism that makes blood vessels stiffer — increasing MAP.</w:t>
            </w:r>
          </w:p>
        </w:tc>
      </w:tr>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GO:0007568</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Ageing</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The independent variable (age) in the MAP equation represents this biological process.</w:t>
            </w:r>
          </w:p>
        </w:tc>
      </w:tr>
    </w:tbl>
    <w:p>
      <w:pPr>
        <w:pBdr>
          <w:bottom w:val="single" w:sz="6" w:space="1" w:color="2B6CB0"/>
        </w:pBdr>
        <w:spacing w:before="40" w:after="40"/>
      </w:pPr>
    </w:p>
    <w:p>
      <w:pPr>
        <w:spacing w:before="200" w:after="40"/>
      </w:pPr>
      <w:r>
        <w:rPr>
          <w:b/>
          <w:color w:val="1A3A5C"/>
          <w:sz w:val="24"/>
        </w:rPr>
        <w:t xml:space="preserve">  ◆  Age → Creatinine</w:t>
      </w:r>
    </w:p>
    <w:p>
      <w:pPr>
        <w:spacing w:before="120" w:after="40"/>
      </w:pPr>
      <w:r>
        <w:rPr>
          <w:b/>
          <w:color w:val="1A3A5C"/>
          <w:sz w:val="22"/>
        </w:rPr>
        <w:t xml:space="preserve">  Equation:</w:t>
      </w:r>
    </w:p>
    <w:p>
      <w:pPr>
        <w:spacing w:before="20" w:after="20"/>
        <w:ind w:left="283"/>
      </w:pPr>
      <w:r>
        <w:rPr>
          <w:rFonts w:ascii="Courier New" w:hAnsi="Courier New"/>
          <w:color w:val="1A1A6E"/>
          <w:sz w:val="17"/>
        </w:rPr>
        <w:t>CrCl_healthy = max(30, 100 − max(0, age − 40) × 0.8)  [mL/min]</w:t>
        <w:br/>
        <w:t>Scr_mean = [(140 − age) × weight] / (72 × CrCl_healthy) × sex_factor</w:t>
      </w:r>
    </w:p>
    <w:tbl>
      <w:tblPr>
        <w:tblStyle w:val="TableGrid"/>
        <w:tblW w:type="auto" w:w="0"/>
        <w:tblLook w:firstColumn="1" w:firstRow="1" w:lastColumn="0" w:lastRow="0" w:noHBand="0" w:noVBand="1" w:val="04A0"/>
      </w:tblPr>
      <w:tblGrid>
        <w:gridCol w:w="3249"/>
        <w:gridCol w:w="3249"/>
        <w:gridCol w:w="3249"/>
      </w:tblGrid>
      <w:tr>
        <w:tc>
          <w:tcPr>
            <w:tcW w:type="dxa" w:w="2551"/>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Coefficient</w:t>
              <w:br/>
            </w:r>
            <w:r>
              <w:rPr>
                <w:color w:val="444444"/>
                <w:sz w:val="18"/>
              </w:rPr>
              <w:t>−0.8 mL/min per year CrCl after age 40 (indirect ↑ Scr)</w:t>
            </w:r>
          </w:p>
        </w:tc>
        <w:tc>
          <w:tcPr>
            <w:tcW w:type="dxa" w:w="1701"/>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Causal Type</w:t>
              <w:br/>
            </w:r>
            <w:r>
              <w:rPr>
                <w:color w:val="444444"/>
                <w:sz w:val="18"/>
              </w:rPr>
              <w:t>Positive (Scr rises with age)</w:t>
            </w:r>
          </w:p>
        </w:tc>
        <w:tc>
          <w:tcPr>
            <w:tcW w:type="dxa" w:w="6803"/>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Medical Interpretation</w:t>
              <w:br/>
            </w:r>
            <w:r>
              <w:rPr>
                <w:color w:val="444444"/>
                <w:sz w:val="18"/>
              </w:rPr>
              <w:t>Aging reduces muscle mass (sarcopenia) → less creatinine produced. Simultaneously, declining GFR reduces clearance. The NET effect is a modest rise in expected Scr — but critically, a "normal" Scr in an elderly patient can mask severely reduced GFR.</w:t>
            </w:r>
          </w:p>
        </w:tc>
      </w:tr>
    </w:tbl>
    <w:p/>
    <w:p>
      <w:pPr>
        <w:spacing w:before="120" w:after="40"/>
      </w:pPr>
      <w:r>
        <w:rPr>
          <w:b/>
          <w:color w:val="1A3A5C"/>
          <w:sz w:val="22"/>
        </w:rPr>
        <w:t xml:space="preserve">  Literature Reference:</w:t>
      </w:r>
    </w:p>
    <w:tbl>
      <w:tblPr>
        <w:tblStyle w:val="TableGrid"/>
        <w:tblW w:type="auto" w:w="0"/>
        <w:tblLook w:firstColumn="1" w:firstRow="1" w:lastColumn="0" w:lastRow="0" w:noHBand="0" w:noVBand="1" w:val="04A0"/>
      </w:tblPr>
      <w:tblGrid>
        <w:gridCol w:w="4873"/>
        <w:gridCol w:w="4873"/>
      </w:tblGrid>
      <w:tr>
        <w:tc>
          <w:tcPr>
            <w:tcW w:type="dxa" w:w="850"/>
            <w:shd w:val="clear" w:color="auto" w:fill="FFF8E1"/>
            <w:tcBorders>
              <w:top w:val="single" w:sz="4" w:space="0" w:color="D4B896"/>
              <w:left w:val="single" w:sz="4" w:space="0" w:color="D4B896"/>
              <w:bottom w:val="single" w:sz="4" w:space="0" w:color="D4B896"/>
              <w:right w:val="single" w:sz="4" w:space="0" w:color="D4B896"/>
            </w:tcBorders>
          </w:tcPr>
          <w:p>
            <w:r>
              <w:rPr>
                <w:b/>
                <w:color w:val="1A3A5C"/>
                <w:sz w:val="20"/>
              </w:rPr>
              <w:t>R5</w:t>
            </w:r>
          </w:p>
        </w:tc>
        <w:tc>
          <w:tcPr>
            <w:tcW w:type="dxa" w:w="10205"/>
            <w:shd w:val="clear" w:color="auto" w:fill="FFF8E1"/>
            <w:tcBorders>
              <w:top w:val="single" w:sz="4" w:space="0" w:color="D4B896"/>
              <w:left w:val="single" w:sz="4" w:space="0" w:color="D4B896"/>
              <w:bottom w:val="single" w:sz="4" w:space="0" w:color="D4B896"/>
              <w:right w:val="single" w:sz="4" w:space="0" w:color="D4B896"/>
            </w:tcBorders>
          </w:tcPr>
          <w:p>
            <w:r>
              <w:rPr>
                <w:b/>
                <w:color w:val="924008"/>
                <w:sz w:val="18"/>
              </w:rPr>
              <w:t xml:space="preserve">Cockcroft-Gault Nephron 1976 — </w:t>
            </w:r>
            <w:r>
              <w:rPr>
                <w:color w:val="444444"/>
                <w:sz w:val="18"/>
              </w:rPr>
              <w:t>Cockcroft-Gault 1976 — the age term in the formula directly encodes how CrCl decreases with age.</w:t>
            </w:r>
          </w:p>
        </w:tc>
      </w:tr>
      <w:tr>
        <w:tc>
          <w:tcPr>
            <w:tcW w:type="dxa" w:w="850"/>
            <w:shd w:val="clear" w:color="auto" w:fill="FFF8E1"/>
            <w:tcBorders>
              <w:top w:val="single" w:sz="4" w:space="0" w:color="D4B896"/>
              <w:left w:val="single" w:sz="4" w:space="0" w:color="D4B896"/>
              <w:bottom w:val="single" w:sz="4" w:space="0" w:color="D4B896"/>
              <w:right w:val="single" w:sz="4" w:space="0" w:color="D4B896"/>
            </w:tcBorders>
          </w:tcPr>
          <w:p>
            <w:r>
              <w:rPr>
                <w:b/>
                <w:color w:val="1A3A5C"/>
                <w:sz w:val="20"/>
              </w:rPr>
              <w:t>R7</w:t>
            </w:r>
          </w:p>
        </w:tc>
        <w:tc>
          <w:tcPr>
            <w:tcW w:type="dxa" w:w="10205"/>
            <w:shd w:val="clear" w:color="auto" w:fill="FFF8E1"/>
            <w:tcBorders>
              <w:top w:val="single" w:sz="4" w:space="0" w:color="D4B896"/>
              <w:left w:val="single" w:sz="4" w:space="0" w:color="D4B896"/>
              <w:bottom w:val="single" w:sz="4" w:space="0" w:color="D4B896"/>
              <w:right w:val="single" w:sz="4" w:space="0" w:color="D4B896"/>
            </w:tcBorders>
          </w:tcPr>
          <w:p>
            <w:r>
              <w:rPr>
                <w:b/>
                <w:color w:val="924008"/>
                <w:sz w:val="18"/>
              </w:rPr>
              <w:t xml:space="preserve">Levey Ann Intern Med 1999 (MDRD) — </w:t>
            </w:r>
            <w:r>
              <w:rPr>
                <w:color w:val="444444"/>
                <w:sz w:val="18"/>
              </w:rPr>
              <w:t>Levey (MDRD) 1999 — confirmed that muscle mass and creatinine production fall with age, justifying the age correction.</w:t>
            </w:r>
          </w:p>
        </w:tc>
      </w:tr>
    </w:tbl>
    <w:p/>
    <w:p>
      <w:pPr>
        <w:spacing w:before="120" w:after="40"/>
      </w:pPr>
      <w:r>
        <w:rPr>
          <w:b/>
          <w:color w:val="1A3A5C"/>
          <w:sz w:val="22"/>
        </w:rPr>
        <w:t xml:space="preserve">  KEGG Pathways (molecular mechanism):</w:t>
      </w:r>
    </w:p>
    <w:tbl>
      <w:tblPr>
        <w:tblStyle w:val="TableGrid"/>
        <w:tblW w:type="auto" w:w="0"/>
        <w:tblLook w:firstColumn="1" w:firstRow="1" w:lastColumn="0" w:lastRow="0" w:noHBand="0" w:noVBand="1" w:val="04A0"/>
      </w:tblPr>
      <w:tblGrid>
        <w:gridCol w:w="3249"/>
        <w:gridCol w:w="3249"/>
        <w:gridCol w:w="3249"/>
      </w:tblGrid>
      <w:tr>
        <w:tc>
          <w:tcPr>
            <w:tcW w:type="dxa" w:w="1417"/>
            <w:shd w:val="clear" w:color="auto" w:fill="E6F4EA"/>
            <w:tcBorders>
              <w:top w:val="single" w:sz="4" w:space="0" w:color="8FC99A"/>
              <w:left w:val="single" w:sz="4" w:space="0" w:color="8FC99A"/>
              <w:bottom w:val="single" w:sz="4" w:space="0" w:color="8FC99A"/>
              <w:right w:val="single" w:sz="4" w:space="0" w:color="8FC99A"/>
            </w:tcBorders>
          </w:tcPr>
          <w:p>
            <w:r>
              <w:rPr>
                <w:rFonts w:ascii="Courier New" w:hAnsi="Courier New"/>
                <w:b/>
                <w:color w:val="14532D"/>
                <w:sz w:val="18"/>
              </w:rPr>
              <w:t>hsa04218</w:t>
            </w:r>
          </w:p>
        </w:tc>
        <w:tc>
          <w:tcPr>
            <w:tcW w:type="dxa" w:w="3118"/>
            <w:shd w:val="clear" w:color="auto" w:fill="E6F4EA"/>
            <w:tcBorders>
              <w:top w:val="single" w:sz="4" w:space="0" w:color="8FC99A"/>
              <w:left w:val="single" w:sz="4" w:space="0" w:color="8FC99A"/>
              <w:bottom w:val="single" w:sz="4" w:space="0" w:color="8FC99A"/>
              <w:right w:val="single" w:sz="4" w:space="0" w:color="8FC99A"/>
            </w:tcBorders>
          </w:tcPr>
          <w:p>
            <w:r>
              <w:rPr>
                <w:b/>
                <w:color w:val="14532D"/>
                <w:sz w:val="18"/>
              </w:rPr>
              <w:t>Cellular senescence</w:t>
            </w:r>
          </w:p>
        </w:tc>
        <w:tc>
          <w:tcPr>
            <w:tcW w:type="dxa" w:w="6520"/>
            <w:shd w:val="clear" w:color="auto" w:fill="E6F4EA"/>
            <w:tcBorders>
              <w:top w:val="single" w:sz="4" w:space="0" w:color="8FC99A"/>
              <w:left w:val="single" w:sz="4" w:space="0" w:color="8FC99A"/>
              <w:bottom w:val="single" w:sz="4" w:space="0" w:color="8FC99A"/>
              <w:right w:val="single" w:sz="4" w:space="0" w:color="8FC99A"/>
            </w:tcBorders>
          </w:tcPr>
          <w:p>
            <w:r>
              <w:rPr>
                <w:color w:val="444444"/>
                <w:sz w:val="18"/>
              </w:rPr>
              <w:t>Senescent satellite cells can no longer regenerate muscle fibres — this is the molecular basis of sarcopenia, which reduces creatinine production as age increases.</w:t>
            </w:r>
          </w:p>
        </w:tc>
      </w:tr>
      <w:tr>
        <w:tc>
          <w:tcPr>
            <w:tcW w:type="dxa" w:w="1417"/>
            <w:shd w:val="clear" w:color="auto" w:fill="E6F4EA"/>
            <w:tcBorders>
              <w:top w:val="single" w:sz="4" w:space="0" w:color="8FC99A"/>
              <w:left w:val="single" w:sz="4" w:space="0" w:color="8FC99A"/>
              <w:bottom w:val="single" w:sz="4" w:space="0" w:color="8FC99A"/>
              <w:right w:val="single" w:sz="4" w:space="0" w:color="8FC99A"/>
            </w:tcBorders>
          </w:tcPr>
          <w:p>
            <w:r>
              <w:rPr>
                <w:rFonts w:ascii="Courier New" w:hAnsi="Courier New"/>
                <w:b/>
                <w:color w:val="14532D"/>
                <w:sz w:val="18"/>
              </w:rPr>
              <w:t>hsa04217</w:t>
            </w:r>
          </w:p>
        </w:tc>
        <w:tc>
          <w:tcPr>
            <w:tcW w:type="dxa" w:w="3118"/>
            <w:shd w:val="clear" w:color="auto" w:fill="E6F4EA"/>
            <w:tcBorders>
              <w:top w:val="single" w:sz="4" w:space="0" w:color="8FC99A"/>
              <w:left w:val="single" w:sz="4" w:space="0" w:color="8FC99A"/>
              <w:bottom w:val="single" w:sz="4" w:space="0" w:color="8FC99A"/>
              <w:right w:val="single" w:sz="4" w:space="0" w:color="8FC99A"/>
            </w:tcBorders>
          </w:tcPr>
          <w:p>
            <w:r>
              <w:rPr>
                <w:b/>
                <w:color w:val="14532D"/>
                <w:sz w:val="18"/>
              </w:rPr>
              <w:t>Necroptosis (muscle atrophy)</w:t>
            </w:r>
          </w:p>
        </w:tc>
        <w:tc>
          <w:tcPr>
            <w:tcW w:type="dxa" w:w="6520"/>
            <w:shd w:val="clear" w:color="auto" w:fill="E6F4EA"/>
            <w:tcBorders>
              <w:top w:val="single" w:sz="4" w:space="0" w:color="8FC99A"/>
              <w:left w:val="single" w:sz="4" w:space="0" w:color="8FC99A"/>
              <w:bottom w:val="single" w:sz="4" w:space="0" w:color="8FC99A"/>
              <w:right w:val="single" w:sz="4" w:space="0" w:color="8FC99A"/>
            </w:tcBorders>
          </w:tcPr>
          <w:p>
            <w:r>
              <w:rPr>
                <w:color w:val="444444"/>
                <w:sz w:val="18"/>
              </w:rPr>
              <w:t>Programmed necrotic death of myocytes with aging reduces total muscle mass, directly lowering the creatinine generation rate in the equation.</w:t>
            </w:r>
          </w:p>
        </w:tc>
      </w:tr>
    </w:tbl>
    <w:p/>
    <w:p>
      <w:pPr>
        <w:spacing w:before="120" w:after="40"/>
      </w:pPr>
      <w:r>
        <w:rPr>
          <w:b/>
          <w:color w:val="1A3A5C"/>
          <w:sz w:val="22"/>
        </w:rPr>
        <w:t xml:space="preserve">  GO Biological Processes:</w:t>
      </w:r>
    </w:p>
    <w:tbl>
      <w:tblPr>
        <w:tblStyle w:val="TableGrid"/>
        <w:tblW w:type="auto" w:w="0"/>
        <w:tblLook w:firstColumn="1" w:firstRow="1" w:lastColumn="0" w:lastRow="0" w:noHBand="0" w:noVBand="1" w:val="04A0"/>
      </w:tblPr>
      <w:tblGrid>
        <w:gridCol w:w="3249"/>
        <w:gridCol w:w="3249"/>
        <w:gridCol w:w="3249"/>
      </w:tblGrid>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GO:0007568</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Ageing</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The age variable in the Cockcroft-Gault equation represents cumulative aging effects on muscle and kidney.</w:t>
            </w:r>
          </w:p>
        </w:tc>
      </w:tr>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GO:0014706</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Striated muscle tissue development</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Declining muscle development capacity with age reduces the total creatinine-generating muscle pool.</w:t>
            </w:r>
          </w:p>
        </w:tc>
      </w:tr>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GO:0006544</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Glycine metabolic process (creatine)</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Creatinine is the spontaneous breakdown product of creatine phosphate in muscle — this GO process determines the production rate.</w:t>
            </w:r>
          </w:p>
        </w:tc>
      </w:tr>
    </w:tbl>
    <w:p>
      <w:pPr>
        <w:pBdr>
          <w:bottom w:val="single" w:sz="6" w:space="1" w:color="2B6CB0"/>
        </w:pBdr>
        <w:spacing w:before="40" w:after="40"/>
      </w:pPr>
    </w:p>
    <w:p>
      <w:pPr>
        <w:spacing w:before="200" w:after="40"/>
      </w:pPr>
      <w:r>
        <w:rPr>
          <w:b/>
          <w:color w:val="1A3A5C"/>
          <w:sz w:val="24"/>
        </w:rPr>
        <w:t xml:space="preserve">  ◆  Age → eGFR</w:t>
      </w:r>
    </w:p>
    <w:p>
      <w:pPr>
        <w:spacing w:before="120" w:after="40"/>
      </w:pPr>
      <w:r>
        <w:rPr>
          <w:b/>
          <w:color w:val="1A3A5C"/>
          <w:sz w:val="22"/>
        </w:rPr>
        <w:t xml:space="preserve">  Equation:</w:t>
      </w:r>
    </w:p>
    <w:p>
      <w:pPr>
        <w:spacing w:before="20" w:after="20"/>
        <w:ind w:left="283"/>
      </w:pPr>
      <w:r>
        <w:rPr>
          <w:rFonts w:ascii="Courier New" w:hAnsi="Courier New"/>
          <w:color w:val="1A1A6E"/>
          <w:sz w:val="17"/>
        </w:rPr>
        <w:t>eGFR declines ~0.62–1.0 mL/min/1.73m² per year after age 40</w:t>
        <w:br/>
        <w:t>(Captured in CKD-EPI 2021 via the 0.9938^Age term)</w:t>
      </w:r>
    </w:p>
    <w:tbl>
      <w:tblPr>
        <w:tblStyle w:val="TableGrid"/>
        <w:tblW w:type="auto" w:w="0"/>
        <w:tblLook w:firstColumn="1" w:firstRow="1" w:lastColumn="0" w:lastRow="0" w:noHBand="0" w:noVBand="1" w:val="04A0"/>
      </w:tblPr>
      <w:tblGrid>
        <w:gridCol w:w="3249"/>
        <w:gridCol w:w="3249"/>
        <w:gridCol w:w="3249"/>
      </w:tblGrid>
      <w:tr>
        <w:tc>
          <w:tcPr>
            <w:tcW w:type="dxa" w:w="2551"/>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Coefficient</w:t>
              <w:br/>
            </w:r>
            <w:r>
              <w:rPr>
                <w:color w:val="444444"/>
                <w:sz w:val="18"/>
              </w:rPr>
              <w:t>−0.62 mL/min/yr (linear model [R8]); encoded as 0.9938^Age in CKD-EPI [R1]</w:t>
            </w:r>
          </w:p>
        </w:tc>
        <w:tc>
          <w:tcPr>
            <w:tcW w:type="dxa" w:w="1701"/>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Causal Type</w:t>
              <w:br/>
            </w:r>
            <w:r>
              <w:rPr>
                <w:color w:val="444444"/>
                <w:sz w:val="18"/>
              </w:rPr>
              <w:t>Negative (strong)</w:t>
            </w:r>
          </w:p>
        </w:tc>
        <w:tc>
          <w:tcPr>
            <w:tcW w:type="dxa" w:w="6803"/>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Medical Interpretation</w:t>
              <w:br/>
            </w:r>
            <w:r>
              <w:rPr>
                <w:color w:val="444444"/>
                <w:sz w:val="18"/>
              </w:rPr>
              <w:t>Even in perfectly healthy people with no disease, kidneys lose ~1% of filtering capacity per year after age 40. An 80-year-old's eGFR of 55 may be "normal for age" but still means reduced physiological reserve.</w:t>
            </w:r>
          </w:p>
        </w:tc>
      </w:tr>
    </w:tbl>
    <w:p/>
    <w:p>
      <w:pPr>
        <w:spacing w:before="120" w:after="40"/>
      </w:pPr>
      <w:r>
        <w:rPr>
          <w:b/>
          <w:color w:val="1A3A5C"/>
          <w:sz w:val="22"/>
        </w:rPr>
        <w:t xml:space="preserve">  Literature Reference:</w:t>
      </w:r>
    </w:p>
    <w:tbl>
      <w:tblPr>
        <w:tblStyle w:val="TableGrid"/>
        <w:tblW w:type="auto" w:w="0"/>
        <w:tblLook w:firstColumn="1" w:firstRow="1" w:lastColumn="0" w:lastRow="0" w:noHBand="0" w:noVBand="1" w:val="04A0"/>
      </w:tblPr>
      <w:tblGrid>
        <w:gridCol w:w="4873"/>
        <w:gridCol w:w="4873"/>
      </w:tblGrid>
      <w:tr>
        <w:tc>
          <w:tcPr>
            <w:tcW w:type="dxa" w:w="850"/>
            <w:shd w:val="clear" w:color="auto" w:fill="FFF8E1"/>
            <w:tcBorders>
              <w:top w:val="single" w:sz="4" w:space="0" w:color="D4B896"/>
              <w:left w:val="single" w:sz="4" w:space="0" w:color="D4B896"/>
              <w:bottom w:val="single" w:sz="4" w:space="0" w:color="D4B896"/>
              <w:right w:val="single" w:sz="4" w:space="0" w:color="D4B896"/>
            </w:tcBorders>
          </w:tcPr>
          <w:p>
            <w:r>
              <w:rPr>
                <w:b/>
                <w:color w:val="1A3A5C"/>
                <w:sz w:val="20"/>
              </w:rPr>
              <w:t>R1</w:t>
            </w:r>
          </w:p>
        </w:tc>
        <w:tc>
          <w:tcPr>
            <w:tcW w:type="dxa" w:w="10205"/>
            <w:shd w:val="clear" w:color="auto" w:fill="FFF8E1"/>
            <w:tcBorders>
              <w:top w:val="single" w:sz="4" w:space="0" w:color="D4B896"/>
              <w:left w:val="single" w:sz="4" w:space="0" w:color="D4B896"/>
              <w:bottom w:val="single" w:sz="4" w:space="0" w:color="D4B896"/>
              <w:right w:val="single" w:sz="4" w:space="0" w:color="D4B896"/>
            </w:tcBorders>
          </w:tcPr>
          <w:p>
            <w:r>
              <w:rPr>
                <w:b/>
                <w:color w:val="924008"/>
                <w:sz w:val="18"/>
              </w:rPr>
              <w:t xml:space="preserve">CKD-EPI 2021 — </w:t>
            </w:r>
            <w:r>
              <w:rPr>
                <w:color w:val="444444"/>
                <w:sz w:val="18"/>
              </w:rPr>
              <w:t>CKD-EPI 2021 — the 0.9938^Age term encodes the age-related eGFR decline directly into the formula.</w:t>
            </w:r>
          </w:p>
        </w:tc>
      </w:tr>
      <w:tr>
        <w:tc>
          <w:tcPr>
            <w:tcW w:type="dxa" w:w="850"/>
            <w:shd w:val="clear" w:color="auto" w:fill="FFF8E1"/>
            <w:tcBorders>
              <w:top w:val="single" w:sz="4" w:space="0" w:color="D4B896"/>
              <w:left w:val="single" w:sz="4" w:space="0" w:color="D4B896"/>
              <w:bottom w:val="single" w:sz="4" w:space="0" w:color="D4B896"/>
              <w:right w:val="single" w:sz="4" w:space="0" w:color="D4B896"/>
            </w:tcBorders>
          </w:tcPr>
          <w:p>
            <w:r>
              <w:rPr>
                <w:b/>
                <w:color w:val="1A3A5C"/>
                <w:sz w:val="20"/>
              </w:rPr>
              <w:t>R8</w:t>
            </w:r>
          </w:p>
        </w:tc>
        <w:tc>
          <w:tcPr>
            <w:tcW w:type="dxa" w:w="10205"/>
            <w:shd w:val="clear" w:color="auto" w:fill="FFF8E1"/>
            <w:tcBorders>
              <w:top w:val="single" w:sz="4" w:space="0" w:color="D4B896"/>
              <w:left w:val="single" w:sz="4" w:space="0" w:color="D4B896"/>
              <w:bottom w:val="single" w:sz="4" w:space="0" w:color="D4B896"/>
              <w:right w:val="single" w:sz="4" w:space="0" w:color="D4B896"/>
            </w:tcBorders>
          </w:tcPr>
          <w:p>
            <w:r>
              <w:rPr>
                <w:b/>
                <w:color w:val="924008"/>
                <w:sz w:val="18"/>
              </w:rPr>
              <w:t xml:space="preserve">Nelson JAMA 2019 — </w:t>
            </w:r>
            <w:r>
              <w:rPr>
                <w:color w:val="444444"/>
                <w:sz w:val="18"/>
              </w:rPr>
              <w:t>Nelson 2019 (JAMA) — extracted the −0.62 coefficient from a large incident CKD risk model.</w:t>
            </w:r>
          </w:p>
        </w:tc>
      </w:tr>
    </w:tbl>
    <w:p/>
    <w:p>
      <w:pPr>
        <w:spacing w:before="120" w:after="40"/>
      </w:pPr>
      <w:r>
        <w:rPr>
          <w:b/>
          <w:color w:val="1A3A5C"/>
          <w:sz w:val="22"/>
        </w:rPr>
        <w:t xml:space="preserve">  KEGG Pathways (molecular mechanism):</w:t>
      </w:r>
    </w:p>
    <w:tbl>
      <w:tblPr>
        <w:tblStyle w:val="TableGrid"/>
        <w:tblW w:type="auto" w:w="0"/>
        <w:tblLook w:firstColumn="1" w:firstRow="1" w:lastColumn="0" w:lastRow="0" w:noHBand="0" w:noVBand="1" w:val="04A0"/>
      </w:tblPr>
      <w:tblGrid>
        <w:gridCol w:w="3249"/>
        <w:gridCol w:w="3249"/>
        <w:gridCol w:w="3249"/>
      </w:tblGrid>
      <w:tr>
        <w:tc>
          <w:tcPr>
            <w:tcW w:type="dxa" w:w="1417"/>
            <w:shd w:val="clear" w:color="auto" w:fill="E6F4EA"/>
            <w:tcBorders>
              <w:top w:val="single" w:sz="4" w:space="0" w:color="8FC99A"/>
              <w:left w:val="single" w:sz="4" w:space="0" w:color="8FC99A"/>
              <w:bottom w:val="single" w:sz="4" w:space="0" w:color="8FC99A"/>
              <w:right w:val="single" w:sz="4" w:space="0" w:color="8FC99A"/>
            </w:tcBorders>
          </w:tcPr>
          <w:p>
            <w:r>
              <w:rPr>
                <w:rFonts w:ascii="Courier New" w:hAnsi="Courier New"/>
                <w:b/>
                <w:color w:val="14532D"/>
                <w:sz w:val="18"/>
              </w:rPr>
              <w:t>hsa04218</w:t>
            </w:r>
          </w:p>
        </w:tc>
        <w:tc>
          <w:tcPr>
            <w:tcW w:type="dxa" w:w="3118"/>
            <w:shd w:val="clear" w:color="auto" w:fill="E6F4EA"/>
            <w:tcBorders>
              <w:top w:val="single" w:sz="4" w:space="0" w:color="8FC99A"/>
              <w:left w:val="single" w:sz="4" w:space="0" w:color="8FC99A"/>
              <w:bottom w:val="single" w:sz="4" w:space="0" w:color="8FC99A"/>
              <w:right w:val="single" w:sz="4" w:space="0" w:color="8FC99A"/>
            </w:tcBorders>
          </w:tcPr>
          <w:p>
            <w:r>
              <w:rPr>
                <w:b/>
                <w:color w:val="14532D"/>
                <w:sz w:val="18"/>
              </w:rPr>
              <w:t>Cellular senescence</w:t>
            </w:r>
          </w:p>
        </w:tc>
        <w:tc>
          <w:tcPr>
            <w:tcW w:type="dxa" w:w="6520"/>
            <w:shd w:val="clear" w:color="auto" w:fill="E6F4EA"/>
            <w:tcBorders>
              <w:top w:val="single" w:sz="4" w:space="0" w:color="8FC99A"/>
              <w:left w:val="single" w:sz="4" w:space="0" w:color="8FC99A"/>
              <w:bottom w:val="single" w:sz="4" w:space="0" w:color="8FC99A"/>
              <w:right w:val="single" w:sz="4" w:space="0" w:color="8FC99A"/>
            </w:tcBorders>
          </w:tcPr>
          <w:p>
            <w:r>
              <w:rPr>
                <w:color w:val="444444"/>
                <w:sz w:val="18"/>
              </w:rPr>
              <w:t>Senescent glomerular endothelial and mesangial cells accumulate with age, reducing the functional glomerular surface area and filtration rate.</w:t>
            </w:r>
          </w:p>
        </w:tc>
      </w:tr>
      <w:tr>
        <w:tc>
          <w:tcPr>
            <w:tcW w:type="dxa" w:w="1417"/>
            <w:shd w:val="clear" w:color="auto" w:fill="E6F4EA"/>
            <w:tcBorders>
              <w:top w:val="single" w:sz="4" w:space="0" w:color="8FC99A"/>
              <w:left w:val="single" w:sz="4" w:space="0" w:color="8FC99A"/>
              <w:bottom w:val="single" w:sz="4" w:space="0" w:color="8FC99A"/>
              <w:right w:val="single" w:sz="4" w:space="0" w:color="8FC99A"/>
            </w:tcBorders>
          </w:tcPr>
          <w:p>
            <w:r>
              <w:rPr>
                <w:rFonts w:ascii="Courier New" w:hAnsi="Courier New"/>
                <w:b/>
                <w:color w:val="14532D"/>
                <w:sz w:val="18"/>
              </w:rPr>
              <w:t>hsa04614</w:t>
            </w:r>
          </w:p>
        </w:tc>
        <w:tc>
          <w:tcPr>
            <w:tcW w:type="dxa" w:w="3118"/>
            <w:shd w:val="clear" w:color="auto" w:fill="E6F4EA"/>
            <w:tcBorders>
              <w:top w:val="single" w:sz="4" w:space="0" w:color="8FC99A"/>
              <w:left w:val="single" w:sz="4" w:space="0" w:color="8FC99A"/>
              <w:bottom w:val="single" w:sz="4" w:space="0" w:color="8FC99A"/>
              <w:right w:val="single" w:sz="4" w:space="0" w:color="8FC99A"/>
            </w:tcBorders>
          </w:tcPr>
          <w:p>
            <w:r>
              <w:rPr>
                <w:b/>
                <w:color w:val="14532D"/>
                <w:sz w:val="18"/>
              </w:rPr>
              <w:t>Renin–angiotensin system</w:t>
            </w:r>
          </w:p>
        </w:tc>
        <w:tc>
          <w:tcPr>
            <w:tcW w:type="dxa" w:w="6520"/>
            <w:shd w:val="clear" w:color="auto" w:fill="E6F4EA"/>
            <w:tcBorders>
              <w:top w:val="single" w:sz="4" w:space="0" w:color="8FC99A"/>
              <w:left w:val="single" w:sz="4" w:space="0" w:color="8FC99A"/>
              <w:bottom w:val="single" w:sz="4" w:space="0" w:color="8FC99A"/>
              <w:right w:val="single" w:sz="4" w:space="0" w:color="8FC99A"/>
            </w:tcBorders>
          </w:tcPr>
          <w:p>
            <w:r>
              <w:rPr>
                <w:color w:val="444444"/>
                <w:sz w:val="18"/>
              </w:rPr>
              <w:t>Age-related RAAS upregulation causes progressive intraglomerular hypertension, accelerating nephron loss beyond simple aging.</w:t>
            </w:r>
          </w:p>
        </w:tc>
      </w:tr>
    </w:tbl>
    <w:p/>
    <w:p>
      <w:pPr>
        <w:spacing w:before="120" w:after="40"/>
      </w:pPr>
      <w:r>
        <w:rPr>
          <w:b/>
          <w:color w:val="1A3A5C"/>
          <w:sz w:val="22"/>
        </w:rPr>
        <w:t xml:space="preserve">  GO Biological Processes:</w:t>
      </w:r>
    </w:p>
    <w:tbl>
      <w:tblPr>
        <w:tblStyle w:val="TableGrid"/>
        <w:tblW w:type="auto" w:w="0"/>
        <w:tblLook w:firstColumn="1" w:firstRow="1" w:lastColumn="0" w:lastRow="0" w:noHBand="0" w:noVBand="1" w:val="04A0"/>
      </w:tblPr>
      <w:tblGrid>
        <w:gridCol w:w="3249"/>
        <w:gridCol w:w="3249"/>
        <w:gridCol w:w="3249"/>
      </w:tblGrid>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GO:0003094</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Glomerular filtration</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The biological process being directly quantified by eGFR — age reduces the rate of this process as captured by the 0.9938^Age term.</w:t>
            </w:r>
          </w:p>
        </w:tc>
      </w:tr>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GO:0001822</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Kidney development</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Failure to renew podocytes (terminally differentiated cells) with aging causes progressive filtration barrier deterioration.</w:t>
            </w:r>
          </w:p>
        </w:tc>
      </w:tr>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GO:0007568</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Ageing</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The independent variable driving both the CKD-EPI exponential term and the Nelson linear coefficient.</w:t>
            </w:r>
          </w:p>
        </w:tc>
      </w:tr>
    </w:tbl>
    <w:p>
      <w:pPr>
        <w:pBdr>
          <w:bottom w:val="single" w:sz="6" w:space="1" w:color="2B6CB0"/>
        </w:pBdr>
        <w:spacing w:before="40" w:after="40"/>
      </w:pPr>
    </w:p>
    <w:p>
      <w:pPr>
        <w:spacing w:before="200" w:after="40"/>
      </w:pPr>
      <w:r>
        <w:rPr>
          <w:b/>
          <w:color w:val="1A3A5C"/>
          <w:sz w:val="24"/>
        </w:rPr>
        <w:t xml:space="preserve">  ◆  Age → DM</w:t>
      </w:r>
    </w:p>
    <w:p>
      <w:pPr>
        <w:spacing w:before="120" w:after="40"/>
      </w:pPr>
      <w:r>
        <w:rPr>
          <w:b/>
          <w:color w:val="1A3A5C"/>
          <w:sz w:val="22"/>
        </w:rPr>
        <w:t xml:space="preserve">  Equation:</w:t>
      </w:r>
    </w:p>
    <w:p>
      <w:pPr>
        <w:spacing w:before="20" w:after="20"/>
        <w:ind w:left="283"/>
      </w:pPr>
      <w:r>
        <w:rPr>
          <w:rFonts w:ascii="Courier New" w:hAnsi="Courier New"/>
          <w:color w:val="1A1A6E"/>
          <w:sz w:val="17"/>
        </w:rPr>
        <w:t>P(DM) ↑ ∝ Age  (edge weight +0.52 in network)</w:t>
      </w:r>
    </w:p>
    <w:tbl>
      <w:tblPr>
        <w:tblStyle w:val="TableGrid"/>
        <w:tblW w:type="auto" w:w="0"/>
        <w:tblLook w:firstColumn="1" w:firstRow="1" w:lastColumn="0" w:lastRow="0" w:noHBand="0" w:noVBand="1" w:val="04A0"/>
      </w:tblPr>
      <w:tblGrid>
        <w:gridCol w:w="3249"/>
        <w:gridCol w:w="3249"/>
        <w:gridCol w:w="3249"/>
      </w:tblGrid>
      <w:tr>
        <w:tc>
          <w:tcPr>
            <w:tcW w:type="dxa" w:w="2551"/>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Coefficient</w:t>
              <w:br/>
            </w:r>
            <w:r>
              <w:rPr>
                <w:color w:val="444444"/>
                <w:sz w:val="18"/>
              </w:rPr>
              <w:t>+0.52 causal weight</w:t>
            </w:r>
          </w:p>
        </w:tc>
        <w:tc>
          <w:tcPr>
            <w:tcW w:type="dxa" w:w="1701"/>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Causal Type</w:t>
              <w:br/>
            </w:r>
            <w:r>
              <w:rPr>
                <w:color w:val="444444"/>
                <w:sz w:val="18"/>
              </w:rPr>
              <w:t>Positive</w:t>
            </w:r>
          </w:p>
        </w:tc>
        <w:tc>
          <w:tcPr>
            <w:tcW w:type="dxa" w:w="6803"/>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Medical Interpretation</w:t>
              <w:br/>
            </w:r>
            <w:r>
              <w:rPr>
                <w:color w:val="444444"/>
                <w:sz w:val="18"/>
              </w:rPr>
              <w:t>Diabetes prevalence rises sharply with age — ~25–30% of people over 65 have T2DM. Older cells become progressively more insulin-resistant due to mitochondrial dysfunction and fat redistribution.</w:t>
            </w:r>
          </w:p>
        </w:tc>
      </w:tr>
    </w:tbl>
    <w:p/>
    <w:p>
      <w:pPr>
        <w:spacing w:before="120" w:after="40"/>
      </w:pPr>
      <w:r>
        <w:rPr>
          <w:b/>
          <w:color w:val="1A3A5C"/>
          <w:sz w:val="22"/>
        </w:rPr>
        <w:t xml:space="preserve">  Literature Reference:</w:t>
      </w:r>
    </w:p>
    <w:tbl>
      <w:tblPr>
        <w:tblStyle w:val="TableGrid"/>
        <w:tblW w:type="auto" w:w="0"/>
        <w:tblLook w:firstColumn="1" w:firstRow="1" w:lastColumn="0" w:lastRow="0" w:noHBand="0" w:noVBand="1" w:val="04A0"/>
      </w:tblPr>
      <w:tblGrid>
        <w:gridCol w:w="4873"/>
        <w:gridCol w:w="4873"/>
      </w:tblGrid>
      <w:tr>
        <w:tc>
          <w:tcPr>
            <w:tcW w:type="dxa" w:w="850"/>
            <w:shd w:val="clear" w:color="auto" w:fill="FFF8E1"/>
            <w:tcBorders>
              <w:top w:val="single" w:sz="4" w:space="0" w:color="D4B896"/>
              <w:left w:val="single" w:sz="4" w:space="0" w:color="D4B896"/>
              <w:bottom w:val="single" w:sz="4" w:space="0" w:color="D4B896"/>
              <w:right w:val="single" w:sz="4" w:space="0" w:color="D4B896"/>
            </w:tcBorders>
          </w:tcPr>
          <w:p>
            <w:r>
              <w:rPr>
                <w:b/>
                <w:color w:val="1A3A5C"/>
                <w:sz w:val="20"/>
              </w:rPr>
              <w:t>R8</w:t>
            </w:r>
          </w:p>
        </w:tc>
        <w:tc>
          <w:tcPr>
            <w:tcW w:type="dxa" w:w="10205"/>
            <w:shd w:val="clear" w:color="auto" w:fill="FFF8E1"/>
            <w:tcBorders>
              <w:top w:val="single" w:sz="4" w:space="0" w:color="D4B896"/>
              <w:left w:val="single" w:sz="4" w:space="0" w:color="D4B896"/>
              <w:bottom w:val="single" w:sz="4" w:space="0" w:color="D4B896"/>
              <w:right w:val="single" w:sz="4" w:space="0" w:color="D4B896"/>
            </w:tcBorders>
          </w:tcPr>
          <w:p>
            <w:r>
              <w:rPr>
                <w:b/>
                <w:color w:val="924008"/>
                <w:sz w:val="18"/>
              </w:rPr>
              <w:t xml:space="preserve">Nelson JAMA 2019 — </w:t>
            </w:r>
            <w:r>
              <w:rPr>
                <w:color w:val="444444"/>
                <w:sz w:val="18"/>
              </w:rPr>
              <w:t>Nelson 2019 — DM status was a key covariate in the CKD risk model with age as an upstream driver.</w:t>
            </w:r>
          </w:p>
        </w:tc>
      </w:tr>
    </w:tbl>
    <w:p/>
    <w:p>
      <w:pPr>
        <w:spacing w:before="120" w:after="40"/>
      </w:pPr>
      <w:r>
        <w:rPr>
          <w:b/>
          <w:color w:val="1A3A5C"/>
          <w:sz w:val="22"/>
        </w:rPr>
        <w:t xml:space="preserve">  KEGG Pathways (molecular mechanism):</w:t>
      </w:r>
    </w:p>
    <w:tbl>
      <w:tblPr>
        <w:tblStyle w:val="TableGrid"/>
        <w:tblW w:type="auto" w:w="0"/>
        <w:tblLook w:firstColumn="1" w:firstRow="1" w:lastColumn="0" w:lastRow="0" w:noHBand="0" w:noVBand="1" w:val="04A0"/>
      </w:tblPr>
      <w:tblGrid>
        <w:gridCol w:w="3249"/>
        <w:gridCol w:w="3249"/>
        <w:gridCol w:w="3249"/>
      </w:tblGrid>
      <w:tr>
        <w:tc>
          <w:tcPr>
            <w:tcW w:type="dxa" w:w="1417"/>
            <w:shd w:val="clear" w:color="auto" w:fill="E6F4EA"/>
            <w:tcBorders>
              <w:top w:val="single" w:sz="4" w:space="0" w:color="8FC99A"/>
              <w:left w:val="single" w:sz="4" w:space="0" w:color="8FC99A"/>
              <w:bottom w:val="single" w:sz="4" w:space="0" w:color="8FC99A"/>
              <w:right w:val="single" w:sz="4" w:space="0" w:color="8FC99A"/>
            </w:tcBorders>
          </w:tcPr>
          <w:p>
            <w:r>
              <w:rPr>
                <w:rFonts w:ascii="Courier New" w:hAnsi="Courier New"/>
                <w:b/>
                <w:color w:val="14532D"/>
                <w:sz w:val="18"/>
              </w:rPr>
              <w:t>hsa04930</w:t>
            </w:r>
          </w:p>
        </w:tc>
        <w:tc>
          <w:tcPr>
            <w:tcW w:type="dxa" w:w="3118"/>
            <w:shd w:val="clear" w:color="auto" w:fill="E6F4EA"/>
            <w:tcBorders>
              <w:top w:val="single" w:sz="4" w:space="0" w:color="8FC99A"/>
              <w:left w:val="single" w:sz="4" w:space="0" w:color="8FC99A"/>
              <w:bottom w:val="single" w:sz="4" w:space="0" w:color="8FC99A"/>
              <w:right w:val="single" w:sz="4" w:space="0" w:color="8FC99A"/>
            </w:tcBorders>
          </w:tcPr>
          <w:p>
            <w:r>
              <w:rPr>
                <w:b/>
                <w:color w:val="14532D"/>
                <w:sz w:val="18"/>
              </w:rPr>
              <w:t>Type II diabetes mellitus</w:t>
            </w:r>
          </w:p>
        </w:tc>
        <w:tc>
          <w:tcPr>
            <w:tcW w:type="dxa" w:w="6520"/>
            <w:shd w:val="clear" w:color="auto" w:fill="E6F4EA"/>
            <w:tcBorders>
              <w:top w:val="single" w:sz="4" w:space="0" w:color="8FC99A"/>
              <w:left w:val="single" w:sz="4" w:space="0" w:color="8FC99A"/>
              <w:bottom w:val="single" w:sz="4" w:space="0" w:color="8FC99A"/>
              <w:right w:val="single" w:sz="4" w:space="0" w:color="8FC99A"/>
            </w:tcBorders>
          </w:tcPr>
          <w:p>
            <w:r>
              <w:rPr>
                <w:color w:val="444444"/>
                <w:sz w:val="18"/>
              </w:rPr>
              <w:t>This pathway represents the insulin signaling failure that accumulates with aging and leads to T2DM onset.</w:t>
            </w:r>
          </w:p>
        </w:tc>
      </w:tr>
      <w:tr>
        <w:tc>
          <w:tcPr>
            <w:tcW w:type="dxa" w:w="1417"/>
            <w:shd w:val="clear" w:color="auto" w:fill="E6F4EA"/>
            <w:tcBorders>
              <w:top w:val="single" w:sz="4" w:space="0" w:color="8FC99A"/>
              <w:left w:val="single" w:sz="4" w:space="0" w:color="8FC99A"/>
              <w:bottom w:val="single" w:sz="4" w:space="0" w:color="8FC99A"/>
              <w:right w:val="single" w:sz="4" w:space="0" w:color="8FC99A"/>
            </w:tcBorders>
          </w:tcPr>
          <w:p>
            <w:r>
              <w:rPr>
                <w:rFonts w:ascii="Courier New" w:hAnsi="Courier New"/>
                <w:b/>
                <w:color w:val="14532D"/>
                <w:sz w:val="18"/>
              </w:rPr>
              <w:t>hsa04910</w:t>
            </w:r>
          </w:p>
        </w:tc>
        <w:tc>
          <w:tcPr>
            <w:tcW w:type="dxa" w:w="3118"/>
            <w:shd w:val="clear" w:color="auto" w:fill="E6F4EA"/>
            <w:tcBorders>
              <w:top w:val="single" w:sz="4" w:space="0" w:color="8FC99A"/>
              <w:left w:val="single" w:sz="4" w:space="0" w:color="8FC99A"/>
              <w:bottom w:val="single" w:sz="4" w:space="0" w:color="8FC99A"/>
              <w:right w:val="single" w:sz="4" w:space="0" w:color="8FC99A"/>
            </w:tcBorders>
          </w:tcPr>
          <w:p>
            <w:r>
              <w:rPr>
                <w:b/>
                <w:color w:val="14532D"/>
                <w:sz w:val="18"/>
              </w:rPr>
              <w:t>Insulin signaling pathway</w:t>
            </w:r>
          </w:p>
        </w:tc>
        <w:tc>
          <w:tcPr>
            <w:tcW w:type="dxa" w:w="6520"/>
            <w:shd w:val="clear" w:color="auto" w:fill="E6F4EA"/>
            <w:tcBorders>
              <w:top w:val="single" w:sz="4" w:space="0" w:color="8FC99A"/>
              <w:left w:val="single" w:sz="4" w:space="0" w:color="8FC99A"/>
              <w:bottom w:val="single" w:sz="4" w:space="0" w:color="8FC99A"/>
              <w:right w:val="single" w:sz="4" w:space="0" w:color="8FC99A"/>
            </w:tcBorders>
          </w:tcPr>
          <w:p>
            <w:r>
              <w:rPr>
                <w:color w:val="444444"/>
                <w:sz w:val="18"/>
              </w:rPr>
              <w:t>Age-related mitochondrial dysfunction impairs insulin receptor substrate phosphorylation — the molecular step that makes cells insulin-resistant.</w:t>
            </w:r>
          </w:p>
        </w:tc>
      </w:tr>
    </w:tbl>
    <w:p/>
    <w:p>
      <w:pPr>
        <w:spacing w:before="120" w:after="40"/>
      </w:pPr>
      <w:r>
        <w:rPr>
          <w:b/>
          <w:color w:val="1A3A5C"/>
          <w:sz w:val="22"/>
        </w:rPr>
        <w:t xml:space="preserve">  GO Biological Processes:</w:t>
      </w:r>
    </w:p>
    <w:tbl>
      <w:tblPr>
        <w:tblStyle w:val="TableGrid"/>
        <w:tblW w:type="auto" w:w="0"/>
        <w:tblLook w:firstColumn="1" w:firstRow="1" w:lastColumn="0" w:lastRow="0" w:noHBand="0" w:noVBand="1" w:val="04A0"/>
      </w:tblPr>
      <w:tblGrid>
        <w:gridCol w:w="3249"/>
        <w:gridCol w:w="3249"/>
        <w:gridCol w:w="3249"/>
      </w:tblGrid>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GO:0007568</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Ageing</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Age is the driving variable; the +0.52 weight measures how strongly aging increases DM risk.</w:t>
            </w:r>
          </w:p>
        </w:tc>
      </w:tr>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GO:0032869</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Cellular response to insulin</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Declining response to insulin with age is the biological process that connects aging to DM onset.</w:t>
            </w:r>
          </w:p>
        </w:tc>
      </w:tr>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GO:0006006</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Glucose metabolic process</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Impaired glucose metabolism is the physiological manifestation — age worsens this process.</w:t>
            </w:r>
          </w:p>
        </w:tc>
      </w:tr>
    </w:tbl>
    <w:p>
      <w:pPr>
        <w:pBdr>
          <w:bottom w:val="single" w:sz="6" w:space="1" w:color="2B6CB0"/>
        </w:pBdr>
        <w:spacing w:before="40" w:after="40"/>
      </w:pPr>
    </w:p>
    <w:p>
      <w:pPr>
        <w:spacing w:before="200" w:after="40"/>
      </w:pPr>
      <w:r>
        <w:rPr>
          <w:b/>
          <w:color w:val="1A3A5C"/>
          <w:sz w:val="24"/>
        </w:rPr>
        <w:t xml:space="preserve">  ◆  Age → HTN</w:t>
      </w:r>
    </w:p>
    <w:p>
      <w:pPr>
        <w:spacing w:before="120" w:after="40"/>
      </w:pPr>
      <w:r>
        <w:rPr>
          <w:b/>
          <w:color w:val="1A3A5C"/>
          <w:sz w:val="22"/>
        </w:rPr>
        <w:t xml:space="preserve">  Equation:</w:t>
      </w:r>
    </w:p>
    <w:p>
      <w:pPr>
        <w:spacing w:before="20" w:after="20"/>
        <w:ind w:left="283"/>
      </w:pPr>
      <w:r>
        <w:rPr>
          <w:rFonts w:ascii="Courier New" w:hAnsi="Courier New"/>
          <w:color w:val="1A1A6E"/>
          <w:sz w:val="17"/>
        </w:rPr>
        <w:t>P(HTN) ↑ ∝ Age  (edge weight +0.62 — strongest age effect in network)</w:t>
      </w:r>
    </w:p>
    <w:tbl>
      <w:tblPr>
        <w:tblStyle w:val="TableGrid"/>
        <w:tblW w:type="auto" w:w="0"/>
        <w:tblLook w:firstColumn="1" w:firstRow="1" w:lastColumn="0" w:lastRow="0" w:noHBand="0" w:noVBand="1" w:val="04A0"/>
      </w:tblPr>
      <w:tblGrid>
        <w:gridCol w:w="3249"/>
        <w:gridCol w:w="3249"/>
        <w:gridCol w:w="3249"/>
      </w:tblGrid>
      <w:tr>
        <w:tc>
          <w:tcPr>
            <w:tcW w:type="dxa" w:w="2551"/>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Coefficient</w:t>
              <w:br/>
            </w:r>
            <w:r>
              <w:rPr>
                <w:color w:val="444444"/>
                <w:sz w:val="18"/>
              </w:rPr>
              <w:t>+0.62 causal weight (strongest age edge)</w:t>
            </w:r>
          </w:p>
        </w:tc>
        <w:tc>
          <w:tcPr>
            <w:tcW w:type="dxa" w:w="1701"/>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Causal Type</w:t>
              <w:br/>
            </w:r>
            <w:r>
              <w:rPr>
                <w:color w:val="444444"/>
                <w:sz w:val="18"/>
              </w:rPr>
              <w:t>Strong positive</w:t>
            </w:r>
          </w:p>
        </w:tc>
        <w:tc>
          <w:tcPr>
            <w:tcW w:type="dxa" w:w="6803"/>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Medical Interpretation</w:t>
              <w:br/>
            </w:r>
            <w:r>
              <w:rPr>
                <w:color w:val="444444"/>
                <w:sz w:val="18"/>
              </w:rPr>
              <w:t>Hypertension is near-universal in the elderly. Aging makes artery walls stiffer (collagen cross-linking, elastin degradation), so the heart must pump harder. The Framingham Heart Study tracked this over 30+ years.</w:t>
            </w:r>
          </w:p>
        </w:tc>
      </w:tr>
    </w:tbl>
    <w:p/>
    <w:p>
      <w:pPr>
        <w:spacing w:before="120" w:after="40"/>
      </w:pPr>
      <w:r>
        <w:rPr>
          <w:b/>
          <w:color w:val="1A3A5C"/>
          <w:sz w:val="22"/>
        </w:rPr>
        <w:t xml:space="preserve">  Literature Reference:</w:t>
      </w:r>
    </w:p>
    <w:tbl>
      <w:tblPr>
        <w:tblStyle w:val="TableGrid"/>
        <w:tblW w:type="auto" w:w="0"/>
        <w:tblLook w:firstColumn="1" w:firstRow="1" w:lastColumn="0" w:lastRow="0" w:noHBand="0" w:noVBand="1" w:val="04A0"/>
      </w:tblPr>
      <w:tblGrid>
        <w:gridCol w:w="4873"/>
        <w:gridCol w:w="4873"/>
      </w:tblGrid>
      <w:tr>
        <w:tc>
          <w:tcPr>
            <w:tcW w:type="dxa" w:w="850"/>
            <w:shd w:val="clear" w:color="auto" w:fill="FFF8E1"/>
            <w:tcBorders>
              <w:top w:val="single" w:sz="4" w:space="0" w:color="D4B896"/>
              <w:left w:val="single" w:sz="4" w:space="0" w:color="D4B896"/>
              <w:bottom w:val="single" w:sz="4" w:space="0" w:color="D4B896"/>
              <w:right w:val="single" w:sz="4" w:space="0" w:color="D4B896"/>
            </w:tcBorders>
          </w:tcPr>
          <w:p>
            <w:r>
              <w:rPr>
                <w:b/>
                <w:color w:val="1A3A5C"/>
                <w:sz w:val="20"/>
              </w:rPr>
              <w:t>R4</w:t>
            </w:r>
          </w:p>
        </w:tc>
        <w:tc>
          <w:tcPr>
            <w:tcW w:type="dxa" w:w="10205"/>
            <w:shd w:val="clear" w:color="auto" w:fill="FFF8E1"/>
            <w:tcBorders>
              <w:top w:val="single" w:sz="4" w:space="0" w:color="D4B896"/>
              <w:left w:val="single" w:sz="4" w:space="0" w:color="D4B896"/>
              <w:bottom w:val="single" w:sz="4" w:space="0" w:color="D4B896"/>
              <w:right w:val="single" w:sz="4" w:space="0" w:color="D4B896"/>
            </w:tcBorders>
          </w:tcPr>
          <w:p>
            <w:r>
              <w:rPr>
                <w:b/>
                <w:color w:val="924008"/>
                <w:sz w:val="18"/>
              </w:rPr>
              <w:t xml:space="preserve">Vasan JAMA 2002 (Framingham) — </w:t>
            </w:r>
            <w:r>
              <w:rPr>
                <w:color w:val="444444"/>
                <w:sz w:val="18"/>
              </w:rPr>
              <w:t>Vasan 2002 (Framingham) — longitudinal data directly establishing the age–HTN causal relationship and its population-level magnitude.</w:t>
            </w:r>
          </w:p>
        </w:tc>
      </w:tr>
    </w:tbl>
    <w:p/>
    <w:p>
      <w:pPr>
        <w:spacing w:before="120" w:after="40"/>
      </w:pPr>
      <w:r>
        <w:rPr>
          <w:b/>
          <w:color w:val="1A3A5C"/>
          <w:sz w:val="22"/>
        </w:rPr>
        <w:t xml:space="preserve">  KEGG Pathways (molecular mechanism):</w:t>
      </w:r>
    </w:p>
    <w:tbl>
      <w:tblPr>
        <w:tblStyle w:val="TableGrid"/>
        <w:tblW w:type="auto" w:w="0"/>
        <w:tblLook w:firstColumn="1" w:firstRow="1" w:lastColumn="0" w:lastRow="0" w:noHBand="0" w:noVBand="1" w:val="04A0"/>
      </w:tblPr>
      <w:tblGrid>
        <w:gridCol w:w="3249"/>
        <w:gridCol w:w="3249"/>
        <w:gridCol w:w="3249"/>
      </w:tblGrid>
      <w:tr>
        <w:tc>
          <w:tcPr>
            <w:tcW w:type="dxa" w:w="1417"/>
            <w:shd w:val="clear" w:color="auto" w:fill="E6F4EA"/>
            <w:tcBorders>
              <w:top w:val="single" w:sz="4" w:space="0" w:color="8FC99A"/>
              <w:left w:val="single" w:sz="4" w:space="0" w:color="8FC99A"/>
              <w:bottom w:val="single" w:sz="4" w:space="0" w:color="8FC99A"/>
              <w:right w:val="single" w:sz="4" w:space="0" w:color="8FC99A"/>
            </w:tcBorders>
          </w:tcPr>
          <w:p>
            <w:r>
              <w:rPr>
                <w:rFonts w:ascii="Courier New" w:hAnsi="Courier New"/>
                <w:b/>
                <w:color w:val="14532D"/>
                <w:sz w:val="18"/>
              </w:rPr>
              <w:t>hsa04614</w:t>
            </w:r>
          </w:p>
        </w:tc>
        <w:tc>
          <w:tcPr>
            <w:tcW w:type="dxa" w:w="3118"/>
            <w:shd w:val="clear" w:color="auto" w:fill="E6F4EA"/>
            <w:tcBorders>
              <w:top w:val="single" w:sz="4" w:space="0" w:color="8FC99A"/>
              <w:left w:val="single" w:sz="4" w:space="0" w:color="8FC99A"/>
              <w:bottom w:val="single" w:sz="4" w:space="0" w:color="8FC99A"/>
              <w:right w:val="single" w:sz="4" w:space="0" w:color="8FC99A"/>
            </w:tcBorders>
          </w:tcPr>
          <w:p>
            <w:r>
              <w:rPr>
                <w:b/>
                <w:color w:val="14532D"/>
                <w:sz w:val="18"/>
              </w:rPr>
              <w:t>Renin–angiotensin system</w:t>
            </w:r>
          </w:p>
        </w:tc>
        <w:tc>
          <w:tcPr>
            <w:tcW w:type="dxa" w:w="6520"/>
            <w:shd w:val="clear" w:color="auto" w:fill="E6F4EA"/>
            <w:tcBorders>
              <w:top w:val="single" w:sz="4" w:space="0" w:color="8FC99A"/>
              <w:left w:val="single" w:sz="4" w:space="0" w:color="8FC99A"/>
              <w:bottom w:val="single" w:sz="4" w:space="0" w:color="8FC99A"/>
              <w:right w:val="single" w:sz="4" w:space="0" w:color="8FC99A"/>
            </w:tcBorders>
          </w:tcPr>
          <w:p>
            <w:r>
              <w:rPr>
                <w:color w:val="444444"/>
                <w:sz w:val="18"/>
              </w:rPr>
              <w:t>Chronic RAAS activation with aging drives persistent vasoconstriction — this is the molecular pathway linking age to hypertension onset, quantified by the +0.62 weight.</w:t>
            </w:r>
          </w:p>
        </w:tc>
      </w:tr>
      <w:tr>
        <w:tc>
          <w:tcPr>
            <w:tcW w:type="dxa" w:w="1417"/>
            <w:shd w:val="clear" w:color="auto" w:fill="E6F4EA"/>
            <w:tcBorders>
              <w:top w:val="single" w:sz="4" w:space="0" w:color="8FC99A"/>
              <w:left w:val="single" w:sz="4" w:space="0" w:color="8FC99A"/>
              <w:bottom w:val="single" w:sz="4" w:space="0" w:color="8FC99A"/>
              <w:right w:val="single" w:sz="4" w:space="0" w:color="8FC99A"/>
            </w:tcBorders>
          </w:tcPr>
          <w:p>
            <w:r>
              <w:rPr>
                <w:rFonts w:ascii="Courier New" w:hAnsi="Courier New"/>
                <w:b/>
                <w:color w:val="14532D"/>
                <w:sz w:val="18"/>
              </w:rPr>
              <w:t>hsa04022</w:t>
            </w:r>
          </w:p>
        </w:tc>
        <w:tc>
          <w:tcPr>
            <w:tcW w:type="dxa" w:w="3118"/>
            <w:shd w:val="clear" w:color="auto" w:fill="E6F4EA"/>
            <w:tcBorders>
              <w:top w:val="single" w:sz="4" w:space="0" w:color="8FC99A"/>
              <w:left w:val="single" w:sz="4" w:space="0" w:color="8FC99A"/>
              <w:bottom w:val="single" w:sz="4" w:space="0" w:color="8FC99A"/>
              <w:right w:val="single" w:sz="4" w:space="0" w:color="8FC99A"/>
            </w:tcBorders>
          </w:tcPr>
          <w:p>
            <w:r>
              <w:rPr>
                <w:b/>
                <w:color w:val="14532D"/>
                <w:sz w:val="18"/>
              </w:rPr>
              <w:t>cGMP–PKG signaling</w:t>
            </w:r>
          </w:p>
        </w:tc>
        <w:tc>
          <w:tcPr>
            <w:tcW w:type="dxa" w:w="6520"/>
            <w:shd w:val="clear" w:color="auto" w:fill="E6F4EA"/>
            <w:tcBorders>
              <w:top w:val="single" w:sz="4" w:space="0" w:color="8FC99A"/>
              <w:left w:val="single" w:sz="4" w:space="0" w:color="8FC99A"/>
              <w:bottom w:val="single" w:sz="4" w:space="0" w:color="8FC99A"/>
              <w:right w:val="single" w:sz="4" w:space="0" w:color="8FC99A"/>
            </w:tcBorders>
          </w:tcPr>
          <w:p>
            <w:r>
              <w:rPr>
                <w:color w:val="444444"/>
                <w:sz w:val="18"/>
              </w:rPr>
              <w:t>Reduced NO production in aging endothelium diminishes vasodilation capacity, raising resting BP to the level captured by the edge weight.</w:t>
            </w:r>
          </w:p>
        </w:tc>
      </w:tr>
    </w:tbl>
    <w:p/>
    <w:p>
      <w:pPr>
        <w:spacing w:before="120" w:after="40"/>
      </w:pPr>
      <w:r>
        <w:rPr>
          <w:b/>
          <w:color w:val="1A3A5C"/>
          <w:sz w:val="22"/>
        </w:rPr>
        <w:t xml:space="preserve">  GO Biological Processes:</w:t>
      </w:r>
    </w:p>
    <w:tbl>
      <w:tblPr>
        <w:tblStyle w:val="TableGrid"/>
        <w:tblW w:type="auto" w:w="0"/>
        <w:tblLook w:firstColumn="1" w:firstRow="1" w:lastColumn="0" w:lastRow="0" w:noHBand="0" w:noVBand="1" w:val="04A0"/>
      </w:tblPr>
      <w:tblGrid>
        <w:gridCol w:w="3249"/>
        <w:gridCol w:w="3249"/>
        <w:gridCol w:w="3249"/>
      </w:tblGrid>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GO:0007568</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Ageing</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The causal driver; the +0.62 weight measures how strongly this process leads to HTN.</w:t>
            </w:r>
          </w:p>
        </w:tc>
      </w:tr>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GO:0008217</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Regulation of blood pressure</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The biological process impaired — aging compromises the feedback loops that normally keep BP in range.</w:t>
            </w:r>
          </w:p>
        </w:tc>
      </w:tr>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GO:0001974</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Blood vessel remodeling</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Structural arterial stiffening is the physical mechanism behind both the age→MAP and age→HTN edges.</w:t>
            </w:r>
          </w:p>
        </w:tc>
      </w:tr>
    </w:tbl>
    <w:p>
      <w:pPr>
        <w:pBdr>
          <w:bottom w:val="single" w:sz="6" w:space="1" w:color="2B6CB0"/>
        </w:pBdr>
        <w:spacing w:before="40" w:after="40"/>
      </w:pPr>
    </w:p>
    <w:p>
      <w:pPr>
        <w:spacing w:before="200" w:after="60"/>
      </w:pPr>
      <w:r>
        <w:rPr>
          <w:b/>
          <w:color w:val="2B6CB0"/>
          <w:sz w:val="26"/>
        </w:rPr>
        <w:t xml:space="preserve">  BMI Relationships</w:t>
      </w:r>
    </w:p>
    <w:p/>
    <w:p>
      <w:pPr>
        <w:spacing w:before="200" w:after="40"/>
      </w:pPr>
      <w:r>
        <w:rPr>
          <w:b/>
          <w:color w:val="1A3A5C"/>
          <w:sz w:val="24"/>
        </w:rPr>
        <w:t xml:space="preserve">  ◆  BMI → DM</w:t>
      </w:r>
    </w:p>
    <w:p>
      <w:pPr>
        <w:spacing w:before="120" w:after="40"/>
      </w:pPr>
      <w:r>
        <w:rPr>
          <w:b/>
          <w:color w:val="1A3A5C"/>
          <w:sz w:val="22"/>
        </w:rPr>
        <w:t xml:space="preserve">  Equation:</w:t>
      </w:r>
    </w:p>
    <w:p>
      <w:pPr>
        <w:spacing w:before="20" w:after="20"/>
        <w:ind w:left="283"/>
      </w:pPr>
      <w:r>
        <w:rPr>
          <w:rFonts w:ascii="Courier New" w:hAnsi="Courier New"/>
          <w:color w:val="1A1A6E"/>
          <w:sz w:val="17"/>
        </w:rPr>
        <w:t>P(DM) ↑ ∝ BMI  (edge weight +0.66 — strongest BMI effect in network)</w:t>
      </w:r>
    </w:p>
    <w:tbl>
      <w:tblPr>
        <w:tblStyle w:val="TableGrid"/>
        <w:tblW w:type="auto" w:w="0"/>
        <w:tblLook w:firstColumn="1" w:firstRow="1" w:lastColumn="0" w:lastRow="0" w:noHBand="0" w:noVBand="1" w:val="04A0"/>
      </w:tblPr>
      <w:tblGrid>
        <w:gridCol w:w="3249"/>
        <w:gridCol w:w="3249"/>
        <w:gridCol w:w="3249"/>
      </w:tblGrid>
      <w:tr>
        <w:tc>
          <w:tcPr>
            <w:tcW w:type="dxa" w:w="2551"/>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Coefficient</w:t>
              <w:br/>
            </w:r>
            <w:r>
              <w:rPr>
                <w:color w:val="444444"/>
                <w:sz w:val="18"/>
              </w:rPr>
              <w:t>+0.66 causal weight</w:t>
            </w:r>
          </w:p>
        </w:tc>
        <w:tc>
          <w:tcPr>
            <w:tcW w:type="dxa" w:w="1701"/>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Causal Type</w:t>
              <w:br/>
            </w:r>
            <w:r>
              <w:rPr>
                <w:color w:val="444444"/>
                <w:sz w:val="18"/>
              </w:rPr>
              <w:t>Strong positive</w:t>
            </w:r>
          </w:p>
        </w:tc>
        <w:tc>
          <w:tcPr>
            <w:tcW w:type="dxa" w:w="6803"/>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Medical Interpretation</w:t>
              <w:br/>
            </w:r>
            <w:r>
              <w:rPr>
                <w:color w:val="444444"/>
                <w:sz w:val="18"/>
              </w:rPr>
              <w:t>Obesity is the primary modifiable driver of T2DM. Excess visceral fat releases adipokines (TNF-α, IL-6, resistin) that interfere with insulin receptor signaling, causing insulin resistance. Each BMI unit adds measurable DM risk.</w:t>
            </w:r>
          </w:p>
        </w:tc>
      </w:tr>
    </w:tbl>
    <w:p/>
    <w:p>
      <w:pPr>
        <w:spacing w:before="120" w:after="40"/>
      </w:pPr>
      <w:r>
        <w:rPr>
          <w:b/>
          <w:color w:val="1A3A5C"/>
          <w:sz w:val="22"/>
        </w:rPr>
        <w:t xml:space="preserve">  Literature Reference:</w:t>
      </w:r>
    </w:p>
    <w:tbl>
      <w:tblPr>
        <w:tblStyle w:val="TableGrid"/>
        <w:tblW w:type="auto" w:w="0"/>
        <w:tblLook w:firstColumn="1" w:firstRow="1" w:lastColumn="0" w:lastRow="0" w:noHBand="0" w:noVBand="1" w:val="04A0"/>
      </w:tblPr>
      <w:tblGrid>
        <w:gridCol w:w="4873"/>
        <w:gridCol w:w="4873"/>
      </w:tblGrid>
      <w:tr>
        <w:tc>
          <w:tcPr>
            <w:tcW w:type="dxa" w:w="850"/>
            <w:shd w:val="clear" w:color="auto" w:fill="FFF8E1"/>
            <w:tcBorders>
              <w:top w:val="single" w:sz="4" w:space="0" w:color="D4B896"/>
              <w:left w:val="single" w:sz="4" w:space="0" w:color="D4B896"/>
              <w:bottom w:val="single" w:sz="4" w:space="0" w:color="D4B896"/>
              <w:right w:val="single" w:sz="4" w:space="0" w:color="D4B896"/>
            </w:tcBorders>
          </w:tcPr>
          <w:p>
            <w:r>
              <w:rPr>
                <w:b/>
                <w:color w:val="1A3A5C"/>
                <w:sz w:val="20"/>
              </w:rPr>
              <w:t>R8</w:t>
            </w:r>
          </w:p>
        </w:tc>
        <w:tc>
          <w:tcPr>
            <w:tcW w:type="dxa" w:w="10205"/>
            <w:shd w:val="clear" w:color="auto" w:fill="FFF8E1"/>
            <w:tcBorders>
              <w:top w:val="single" w:sz="4" w:space="0" w:color="D4B896"/>
              <w:left w:val="single" w:sz="4" w:space="0" w:color="D4B896"/>
              <w:bottom w:val="single" w:sz="4" w:space="0" w:color="D4B896"/>
              <w:right w:val="single" w:sz="4" w:space="0" w:color="D4B896"/>
            </w:tcBorders>
          </w:tcPr>
          <w:p>
            <w:r>
              <w:rPr>
                <w:b/>
                <w:color w:val="924008"/>
                <w:sz w:val="18"/>
              </w:rPr>
              <w:t xml:space="preserve">Nelson JAMA 2019 — </w:t>
            </w:r>
            <w:r>
              <w:rPr>
                <w:color w:val="444444"/>
                <w:sz w:val="18"/>
              </w:rPr>
              <w:t>Nelson 2019 — BMI→DM is one of the strongest upstream effects on CKD risk in the JAMA model; the +0.66 weight derives from this.</w:t>
            </w:r>
          </w:p>
        </w:tc>
      </w:tr>
    </w:tbl>
    <w:p/>
    <w:p>
      <w:pPr>
        <w:spacing w:before="120" w:after="40"/>
      </w:pPr>
      <w:r>
        <w:rPr>
          <w:b/>
          <w:color w:val="1A3A5C"/>
          <w:sz w:val="22"/>
        </w:rPr>
        <w:t xml:space="preserve">  KEGG Pathways (molecular mechanism):</w:t>
      </w:r>
    </w:p>
    <w:tbl>
      <w:tblPr>
        <w:tblStyle w:val="TableGrid"/>
        <w:tblW w:type="auto" w:w="0"/>
        <w:tblLook w:firstColumn="1" w:firstRow="1" w:lastColumn="0" w:lastRow="0" w:noHBand="0" w:noVBand="1" w:val="04A0"/>
      </w:tblPr>
      <w:tblGrid>
        <w:gridCol w:w="3249"/>
        <w:gridCol w:w="3249"/>
        <w:gridCol w:w="3249"/>
      </w:tblGrid>
      <w:tr>
        <w:tc>
          <w:tcPr>
            <w:tcW w:type="dxa" w:w="1417"/>
            <w:shd w:val="clear" w:color="auto" w:fill="E6F4EA"/>
            <w:tcBorders>
              <w:top w:val="single" w:sz="4" w:space="0" w:color="8FC99A"/>
              <w:left w:val="single" w:sz="4" w:space="0" w:color="8FC99A"/>
              <w:bottom w:val="single" w:sz="4" w:space="0" w:color="8FC99A"/>
              <w:right w:val="single" w:sz="4" w:space="0" w:color="8FC99A"/>
            </w:tcBorders>
          </w:tcPr>
          <w:p>
            <w:r>
              <w:rPr>
                <w:rFonts w:ascii="Courier New" w:hAnsi="Courier New"/>
                <w:b/>
                <w:color w:val="14532D"/>
                <w:sz w:val="18"/>
              </w:rPr>
              <w:t>hsa04910</w:t>
            </w:r>
          </w:p>
        </w:tc>
        <w:tc>
          <w:tcPr>
            <w:tcW w:type="dxa" w:w="3118"/>
            <w:shd w:val="clear" w:color="auto" w:fill="E6F4EA"/>
            <w:tcBorders>
              <w:top w:val="single" w:sz="4" w:space="0" w:color="8FC99A"/>
              <w:left w:val="single" w:sz="4" w:space="0" w:color="8FC99A"/>
              <w:bottom w:val="single" w:sz="4" w:space="0" w:color="8FC99A"/>
              <w:right w:val="single" w:sz="4" w:space="0" w:color="8FC99A"/>
            </w:tcBorders>
          </w:tcPr>
          <w:p>
            <w:r>
              <w:rPr>
                <w:b/>
                <w:color w:val="14532D"/>
                <w:sz w:val="18"/>
              </w:rPr>
              <w:t>Insulin signaling pathway</w:t>
            </w:r>
          </w:p>
        </w:tc>
        <w:tc>
          <w:tcPr>
            <w:tcW w:type="dxa" w:w="6520"/>
            <w:shd w:val="clear" w:color="auto" w:fill="E6F4EA"/>
            <w:tcBorders>
              <w:top w:val="single" w:sz="4" w:space="0" w:color="8FC99A"/>
              <w:left w:val="single" w:sz="4" w:space="0" w:color="8FC99A"/>
              <w:bottom w:val="single" w:sz="4" w:space="0" w:color="8FC99A"/>
              <w:right w:val="single" w:sz="4" w:space="0" w:color="8FC99A"/>
            </w:tcBorders>
          </w:tcPr>
          <w:p>
            <w:r>
              <w:rPr>
                <w:color w:val="444444"/>
                <w:sz w:val="18"/>
              </w:rPr>
              <w:t>Adipokines from excess fat tissue phosphorylate IRS-1 on serine (not tyrosine), blocking the insulin signal — this KEGG pathway IS the molecular mechanism behind the +0.66 BMI→DM coefficient.</w:t>
            </w:r>
          </w:p>
        </w:tc>
      </w:tr>
      <w:tr>
        <w:tc>
          <w:tcPr>
            <w:tcW w:type="dxa" w:w="1417"/>
            <w:shd w:val="clear" w:color="auto" w:fill="E6F4EA"/>
            <w:tcBorders>
              <w:top w:val="single" w:sz="4" w:space="0" w:color="8FC99A"/>
              <w:left w:val="single" w:sz="4" w:space="0" w:color="8FC99A"/>
              <w:bottom w:val="single" w:sz="4" w:space="0" w:color="8FC99A"/>
              <w:right w:val="single" w:sz="4" w:space="0" w:color="8FC99A"/>
            </w:tcBorders>
          </w:tcPr>
          <w:p>
            <w:r>
              <w:rPr>
                <w:rFonts w:ascii="Courier New" w:hAnsi="Courier New"/>
                <w:b/>
                <w:color w:val="14532D"/>
                <w:sz w:val="18"/>
              </w:rPr>
              <w:t>hsa04930</w:t>
            </w:r>
          </w:p>
        </w:tc>
        <w:tc>
          <w:tcPr>
            <w:tcW w:type="dxa" w:w="3118"/>
            <w:shd w:val="clear" w:color="auto" w:fill="E6F4EA"/>
            <w:tcBorders>
              <w:top w:val="single" w:sz="4" w:space="0" w:color="8FC99A"/>
              <w:left w:val="single" w:sz="4" w:space="0" w:color="8FC99A"/>
              <w:bottom w:val="single" w:sz="4" w:space="0" w:color="8FC99A"/>
              <w:right w:val="single" w:sz="4" w:space="0" w:color="8FC99A"/>
            </w:tcBorders>
          </w:tcPr>
          <w:p>
            <w:r>
              <w:rPr>
                <w:b/>
                <w:color w:val="14532D"/>
                <w:sz w:val="18"/>
              </w:rPr>
              <w:t>Type II diabetes mellitus</w:t>
            </w:r>
          </w:p>
        </w:tc>
        <w:tc>
          <w:tcPr>
            <w:tcW w:type="dxa" w:w="6520"/>
            <w:shd w:val="clear" w:color="auto" w:fill="E6F4EA"/>
            <w:tcBorders>
              <w:top w:val="single" w:sz="4" w:space="0" w:color="8FC99A"/>
              <w:left w:val="single" w:sz="4" w:space="0" w:color="8FC99A"/>
              <w:bottom w:val="single" w:sz="4" w:space="0" w:color="8FC99A"/>
              <w:right w:val="single" w:sz="4" w:space="0" w:color="8FC99A"/>
            </w:tcBorders>
          </w:tcPr>
          <w:p>
            <w:r>
              <w:rPr>
                <w:color w:val="444444"/>
                <w:sz w:val="18"/>
              </w:rPr>
              <w:t>The downstream disease pathway activated when insulin signaling is chronically impaired by obesity.</w:t>
            </w:r>
          </w:p>
        </w:tc>
      </w:tr>
      <w:tr>
        <w:tc>
          <w:tcPr>
            <w:tcW w:type="dxa" w:w="1417"/>
            <w:shd w:val="clear" w:color="auto" w:fill="E6F4EA"/>
            <w:tcBorders>
              <w:top w:val="single" w:sz="4" w:space="0" w:color="8FC99A"/>
              <w:left w:val="single" w:sz="4" w:space="0" w:color="8FC99A"/>
              <w:bottom w:val="single" w:sz="4" w:space="0" w:color="8FC99A"/>
              <w:right w:val="single" w:sz="4" w:space="0" w:color="8FC99A"/>
            </w:tcBorders>
          </w:tcPr>
          <w:p>
            <w:r>
              <w:rPr>
                <w:rFonts w:ascii="Courier New" w:hAnsi="Courier New"/>
                <w:b/>
                <w:color w:val="14532D"/>
                <w:sz w:val="18"/>
              </w:rPr>
              <w:t>hsa04932</w:t>
            </w:r>
          </w:p>
        </w:tc>
        <w:tc>
          <w:tcPr>
            <w:tcW w:type="dxa" w:w="3118"/>
            <w:shd w:val="clear" w:color="auto" w:fill="E6F4EA"/>
            <w:tcBorders>
              <w:top w:val="single" w:sz="4" w:space="0" w:color="8FC99A"/>
              <w:left w:val="single" w:sz="4" w:space="0" w:color="8FC99A"/>
              <w:bottom w:val="single" w:sz="4" w:space="0" w:color="8FC99A"/>
              <w:right w:val="single" w:sz="4" w:space="0" w:color="8FC99A"/>
            </w:tcBorders>
          </w:tcPr>
          <w:p>
            <w:r>
              <w:rPr>
                <w:b/>
                <w:color w:val="14532D"/>
                <w:sz w:val="18"/>
              </w:rPr>
              <w:t>Non-alcoholic fatty liver disease</w:t>
            </w:r>
          </w:p>
        </w:tc>
        <w:tc>
          <w:tcPr>
            <w:tcW w:type="dxa" w:w="6520"/>
            <w:shd w:val="clear" w:color="auto" w:fill="E6F4EA"/>
            <w:tcBorders>
              <w:top w:val="single" w:sz="4" w:space="0" w:color="8FC99A"/>
              <w:left w:val="single" w:sz="4" w:space="0" w:color="8FC99A"/>
              <w:bottom w:val="single" w:sz="4" w:space="0" w:color="8FC99A"/>
              <w:right w:val="single" w:sz="4" w:space="0" w:color="8FC99A"/>
            </w:tcBorders>
          </w:tcPr>
          <w:p>
            <w:r>
              <w:rPr>
                <w:color w:val="444444"/>
                <w:sz w:val="18"/>
              </w:rPr>
              <w:t>Obesity causes hepatic fat accumulation, which drives hepatic insulin resistance and raises blood glucose — a second pathway linking BMI to DM.</w:t>
            </w:r>
          </w:p>
        </w:tc>
      </w:tr>
    </w:tbl>
    <w:p/>
    <w:p>
      <w:pPr>
        <w:spacing w:before="120" w:after="40"/>
      </w:pPr>
      <w:r>
        <w:rPr>
          <w:b/>
          <w:color w:val="1A3A5C"/>
          <w:sz w:val="22"/>
        </w:rPr>
        <w:t xml:space="preserve">  GO Biological Processes:</w:t>
      </w:r>
    </w:p>
    <w:tbl>
      <w:tblPr>
        <w:tblStyle w:val="TableGrid"/>
        <w:tblW w:type="auto" w:w="0"/>
        <w:tblLook w:firstColumn="1" w:firstRow="1" w:lastColumn="0" w:lastRow="0" w:noHBand="0" w:noVBand="1" w:val="04A0"/>
      </w:tblPr>
      <w:tblGrid>
        <w:gridCol w:w="3249"/>
        <w:gridCol w:w="3249"/>
        <w:gridCol w:w="3249"/>
      </w:tblGrid>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GO:0032869</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Cellular response to insulin stimulus</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The impaired biological response that converts BMI excess into DM — directly corresponds to the insulin signaling KEGG pathway.</w:t>
            </w:r>
          </w:p>
        </w:tc>
      </w:tr>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GO:0045598</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Regulation of fat cell differentiation</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Adipocyte hypertrophy with obesity dysregulates adipokine secretion — the upstream event that triggers the +0.66 causal effect.</w:t>
            </w:r>
          </w:p>
        </w:tc>
      </w:tr>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GO:0006006</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Glucose metabolic process</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Disrupted glucose disposal is the functional outcome of impaired insulin signaling — what the DM flag captures in the eGFR equation.</w:t>
            </w:r>
          </w:p>
        </w:tc>
      </w:tr>
    </w:tbl>
    <w:p>
      <w:pPr>
        <w:pBdr>
          <w:bottom w:val="single" w:sz="6" w:space="1" w:color="2B6CB0"/>
        </w:pBdr>
        <w:spacing w:before="40" w:after="40"/>
      </w:pPr>
    </w:p>
    <w:p>
      <w:pPr>
        <w:spacing w:before="200" w:after="40"/>
      </w:pPr>
      <w:r>
        <w:rPr>
          <w:b/>
          <w:color w:val="1A3A5C"/>
          <w:sz w:val="24"/>
        </w:rPr>
        <w:t xml:space="preserve">  ◆  BMI → HTN</w:t>
      </w:r>
    </w:p>
    <w:p>
      <w:pPr>
        <w:spacing w:before="120" w:after="40"/>
      </w:pPr>
      <w:r>
        <w:rPr>
          <w:b/>
          <w:color w:val="1A3A5C"/>
          <w:sz w:val="22"/>
        </w:rPr>
        <w:t xml:space="preserve">  Equation:</w:t>
      </w:r>
    </w:p>
    <w:p>
      <w:pPr>
        <w:spacing w:before="20" w:after="20"/>
        <w:ind w:left="283"/>
      </w:pPr>
      <w:r>
        <w:rPr>
          <w:rFonts w:ascii="Courier New" w:hAnsi="Courier New"/>
          <w:color w:val="1A1A6E"/>
          <w:sz w:val="17"/>
        </w:rPr>
        <w:t>BP ↑ ∝ BMI  (edge weight +0.58)</w:t>
      </w:r>
    </w:p>
    <w:tbl>
      <w:tblPr>
        <w:tblStyle w:val="TableGrid"/>
        <w:tblW w:type="auto" w:w="0"/>
        <w:tblLook w:firstColumn="1" w:firstRow="1" w:lastColumn="0" w:lastRow="0" w:noHBand="0" w:noVBand="1" w:val="04A0"/>
      </w:tblPr>
      <w:tblGrid>
        <w:gridCol w:w="3249"/>
        <w:gridCol w:w="3249"/>
        <w:gridCol w:w="3249"/>
      </w:tblGrid>
      <w:tr>
        <w:tc>
          <w:tcPr>
            <w:tcW w:type="dxa" w:w="2551"/>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Coefficient</w:t>
              <w:br/>
            </w:r>
            <w:r>
              <w:rPr>
                <w:color w:val="444444"/>
                <w:sz w:val="18"/>
              </w:rPr>
              <w:t>+0.58 causal weight</w:t>
            </w:r>
          </w:p>
        </w:tc>
        <w:tc>
          <w:tcPr>
            <w:tcW w:type="dxa" w:w="1701"/>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Causal Type</w:t>
              <w:br/>
            </w:r>
            <w:r>
              <w:rPr>
                <w:color w:val="444444"/>
                <w:sz w:val="18"/>
              </w:rPr>
              <w:t>Positive</w:t>
            </w:r>
          </w:p>
        </w:tc>
        <w:tc>
          <w:tcPr>
            <w:tcW w:type="dxa" w:w="6803"/>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Medical Interpretation</w:t>
              <w:br/>
            </w:r>
            <w:r>
              <w:rPr>
                <w:color w:val="444444"/>
                <w:sz w:val="18"/>
              </w:rPr>
              <w:t>Obesity raises blood pressure through: (1) kidneys retaining more Na⁺/water in obese patients → ↑ blood volume; (2) RAAS activation by adipose tissue → vasoconstriction; (3) sympathetic nervous system overactivation.</w:t>
            </w:r>
          </w:p>
        </w:tc>
      </w:tr>
    </w:tbl>
    <w:p/>
    <w:p>
      <w:pPr>
        <w:spacing w:before="120" w:after="40"/>
      </w:pPr>
      <w:r>
        <w:rPr>
          <w:b/>
          <w:color w:val="1A3A5C"/>
          <w:sz w:val="22"/>
        </w:rPr>
        <w:t xml:space="preserve">  Literature Reference:</w:t>
      </w:r>
    </w:p>
    <w:tbl>
      <w:tblPr>
        <w:tblStyle w:val="TableGrid"/>
        <w:tblW w:type="auto" w:w="0"/>
        <w:tblLook w:firstColumn="1" w:firstRow="1" w:lastColumn="0" w:lastRow="0" w:noHBand="0" w:noVBand="1" w:val="04A0"/>
      </w:tblPr>
      <w:tblGrid>
        <w:gridCol w:w="4873"/>
        <w:gridCol w:w="4873"/>
      </w:tblGrid>
      <w:tr>
        <w:tc>
          <w:tcPr>
            <w:tcW w:type="dxa" w:w="850"/>
            <w:shd w:val="clear" w:color="auto" w:fill="FFF8E1"/>
            <w:tcBorders>
              <w:top w:val="single" w:sz="4" w:space="0" w:color="D4B896"/>
              <w:left w:val="single" w:sz="4" w:space="0" w:color="D4B896"/>
              <w:bottom w:val="single" w:sz="4" w:space="0" w:color="D4B896"/>
              <w:right w:val="single" w:sz="4" w:space="0" w:color="D4B896"/>
            </w:tcBorders>
          </w:tcPr>
          <w:p>
            <w:r>
              <w:rPr>
                <w:b/>
                <w:color w:val="1A3A5C"/>
                <w:sz w:val="20"/>
              </w:rPr>
              <w:t>R8</w:t>
            </w:r>
          </w:p>
        </w:tc>
        <w:tc>
          <w:tcPr>
            <w:tcW w:type="dxa" w:w="10205"/>
            <w:shd w:val="clear" w:color="auto" w:fill="FFF8E1"/>
            <w:tcBorders>
              <w:top w:val="single" w:sz="4" w:space="0" w:color="D4B896"/>
              <w:left w:val="single" w:sz="4" w:space="0" w:color="D4B896"/>
              <w:bottom w:val="single" w:sz="4" w:space="0" w:color="D4B896"/>
              <w:right w:val="single" w:sz="4" w:space="0" w:color="D4B896"/>
            </w:tcBorders>
          </w:tcPr>
          <w:p>
            <w:r>
              <w:rPr>
                <w:b/>
                <w:color w:val="924008"/>
                <w:sz w:val="18"/>
              </w:rPr>
              <w:t xml:space="preserve">Nelson JAMA 2019 — </w:t>
            </w:r>
            <w:r>
              <w:rPr>
                <w:color w:val="444444"/>
                <w:sz w:val="18"/>
              </w:rPr>
              <w:t>Nelson 2019 — BMI effect on BP was captured as a covariate in the CKD risk equations.</w:t>
            </w:r>
          </w:p>
        </w:tc>
      </w:tr>
    </w:tbl>
    <w:p/>
    <w:p>
      <w:pPr>
        <w:spacing w:before="120" w:after="40"/>
      </w:pPr>
      <w:r>
        <w:rPr>
          <w:b/>
          <w:color w:val="1A3A5C"/>
          <w:sz w:val="22"/>
        </w:rPr>
        <w:t xml:space="preserve">  KEGG Pathways (molecular mechanism):</w:t>
      </w:r>
    </w:p>
    <w:tbl>
      <w:tblPr>
        <w:tblStyle w:val="TableGrid"/>
        <w:tblW w:type="auto" w:w="0"/>
        <w:tblLook w:firstColumn="1" w:firstRow="1" w:lastColumn="0" w:lastRow="0" w:noHBand="0" w:noVBand="1" w:val="04A0"/>
      </w:tblPr>
      <w:tblGrid>
        <w:gridCol w:w="3249"/>
        <w:gridCol w:w="3249"/>
        <w:gridCol w:w="3249"/>
      </w:tblGrid>
      <w:tr>
        <w:tc>
          <w:tcPr>
            <w:tcW w:type="dxa" w:w="1417"/>
            <w:shd w:val="clear" w:color="auto" w:fill="E6F4EA"/>
            <w:tcBorders>
              <w:top w:val="single" w:sz="4" w:space="0" w:color="8FC99A"/>
              <w:left w:val="single" w:sz="4" w:space="0" w:color="8FC99A"/>
              <w:bottom w:val="single" w:sz="4" w:space="0" w:color="8FC99A"/>
              <w:right w:val="single" w:sz="4" w:space="0" w:color="8FC99A"/>
            </w:tcBorders>
          </w:tcPr>
          <w:p>
            <w:r>
              <w:rPr>
                <w:rFonts w:ascii="Courier New" w:hAnsi="Courier New"/>
                <w:b/>
                <w:color w:val="14532D"/>
                <w:sz w:val="18"/>
              </w:rPr>
              <w:t>hsa04614</w:t>
            </w:r>
          </w:p>
        </w:tc>
        <w:tc>
          <w:tcPr>
            <w:tcW w:type="dxa" w:w="3118"/>
            <w:shd w:val="clear" w:color="auto" w:fill="E6F4EA"/>
            <w:tcBorders>
              <w:top w:val="single" w:sz="4" w:space="0" w:color="8FC99A"/>
              <w:left w:val="single" w:sz="4" w:space="0" w:color="8FC99A"/>
              <w:bottom w:val="single" w:sz="4" w:space="0" w:color="8FC99A"/>
              <w:right w:val="single" w:sz="4" w:space="0" w:color="8FC99A"/>
            </w:tcBorders>
          </w:tcPr>
          <w:p>
            <w:r>
              <w:rPr>
                <w:b/>
                <w:color w:val="14532D"/>
                <w:sz w:val="18"/>
              </w:rPr>
              <w:t>Renin–angiotensin system</w:t>
            </w:r>
          </w:p>
        </w:tc>
        <w:tc>
          <w:tcPr>
            <w:tcW w:type="dxa" w:w="6520"/>
            <w:shd w:val="clear" w:color="auto" w:fill="E6F4EA"/>
            <w:tcBorders>
              <w:top w:val="single" w:sz="4" w:space="0" w:color="8FC99A"/>
              <w:left w:val="single" w:sz="4" w:space="0" w:color="8FC99A"/>
              <w:bottom w:val="single" w:sz="4" w:space="0" w:color="8FC99A"/>
              <w:right w:val="single" w:sz="4" w:space="0" w:color="8FC99A"/>
            </w:tcBorders>
          </w:tcPr>
          <w:p>
            <w:r>
              <w:rPr>
                <w:color w:val="444444"/>
                <w:sz w:val="18"/>
              </w:rPr>
              <w:t>Adipose tissue directly secretes angiotensinogen → converts to angiotensin II → vasoconstriction + Na⁺ retention. This KEGG pathway is the direct molecular link, quantified by the +0.58 weight.</w:t>
            </w:r>
          </w:p>
        </w:tc>
      </w:tr>
      <w:tr>
        <w:tc>
          <w:tcPr>
            <w:tcW w:type="dxa" w:w="1417"/>
            <w:shd w:val="clear" w:color="auto" w:fill="E6F4EA"/>
            <w:tcBorders>
              <w:top w:val="single" w:sz="4" w:space="0" w:color="8FC99A"/>
              <w:left w:val="single" w:sz="4" w:space="0" w:color="8FC99A"/>
              <w:bottom w:val="single" w:sz="4" w:space="0" w:color="8FC99A"/>
              <w:right w:val="single" w:sz="4" w:space="0" w:color="8FC99A"/>
            </w:tcBorders>
          </w:tcPr>
          <w:p>
            <w:r>
              <w:rPr>
                <w:rFonts w:ascii="Courier New" w:hAnsi="Courier New"/>
                <w:b/>
                <w:color w:val="14532D"/>
                <w:sz w:val="18"/>
              </w:rPr>
              <w:t>hsa04022</w:t>
            </w:r>
          </w:p>
        </w:tc>
        <w:tc>
          <w:tcPr>
            <w:tcW w:type="dxa" w:w="3118"/>
            <w:shd w:val="clear" w:color="auto" w:fill="E6F4EA"/>
            <w:tcBorders>
              <w:top w:val="single" w:sz="4" w:space="0" w:color="8FC99A"/>
              <w:left w:val="single" w:sz="4" w:space="0" w:color="8FC99A"/>
              <w:bottom w:val="single" w:sz="4" w:space="0" w:color="8FC99A"/>
              <w:right w:val="single" w:sz="4" w:space="0" w:color="8FC99A"/>
            </w:tcBorders>
          </w:tcPr>
          <w:p>
            <w:r>
              <w:rPr>
                <w:b/>
                <w:color w:val="14532D"/>
                <w:sz w:val="18"/>
              </w:rPr>
              <w:t>cGMP–PKG signaling</w:t>
            </w:r>
          </w:p>
        </w:tc>
        <w:tc>
          <w:tcPr>
            <w:tcW w:type="dxa" w:w="6520"/>
            <w:shd w:val="clear" w:color="auto" w:fill="E6F4EA"/>
            <w:tcBorders>
              <w:top w:val="single" w:sz="4" w:space="0" w:color="8FC99A"/>
              <w:left w:val="single" w:sz="4" w:space="0" w:color="8FC99A"/>
              <w:bottom w:val="single" w:sz="4" w:space="0" w:color="8FC99A"/>
              <w:right w:val="single" w:sz="4" w:space="0" w:color="8FC99A"/>
            </w:tcBorders>
          </w:tcPr>
          <w:p>
            <w:r>
              <w:rPr>
                <w:color w:val="444444"/>
                <w:sz w:val="18"/>
              </w:rPr>
              <w:t>Obesity-induced oxidative stress reduces NO bioavailability → less vasodilation → chronically elevated BP.</w:t>
            </w:r>
          </w:p>
        </w:tc>
      </w:tr>
    </w:tbl>
    <w:p/>
    <w:p>
      <w:pPr>
        <w:spacing w:before="120" w:after="40"/>
      </w:pPr>
      <w:r>
        <w:rPr>
          <w:b/>
          <w:color w:val="1A3A5C"/>
          <w:sz w:val="22"/>
        </w:rPr>
        <w:t xml:space="preserve">  GO Biological Processes:</w:t>
      </w:r>
    </w:p>
    <w:tbl>
      <w:tblPr>
        <w:tblStyle w:val="TableGrid"/>
        <w:tblW w:type="auto" w:w="0"/>
        <w:tblLook w:firstColumn="1" w:firstRow="1" w:lastColumn="0" w:lastRow="0" w:noHBand="0" w:noVBand="1" w:val="04A0"/>
      </w:tblPr>
      <w:tblGrid>
        <w:gridCol w:w="3249"/>
        <w:gridCol w:w="3249"/>
        <w:gridCol w:w="3249"/>
      </w:tblGrid>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GO:0045598</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Regulation of fat cell differentiation</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Obese adipocytes secrete the angiotensinogen that activates the RAAS, driving the BMI→HTN causal edge.</w:t>
            </w:r>
          </w:p>
        </w:tc>
      </w:tr>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GO:0008217</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Regulation of blood pressure</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The target biological process — obesity shifts the set-point of this process upwards, captured by the +0.58 coefficient.</w:t>
            </w:r>
          </w:p>
        </w:tc>
      </w:tr>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GO:0001974</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Blood vessel remodeling</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Sustained high angiotensin II causes structural arterial remodeling that maintains the elevated BP even at rest.</w:t>
            </w:r>
          </w:p>
        </w:tc>
      </w:tr>
    </w:tbl>
    <w:p>
      <w:pPr>
        <w:pBdr>
          <w:bottom w:val="single" w:sz="6" w:space="1" w:color="2B6CB0"/>
        </w:pBdr>
        <w:spacing w:before="40" w:after="40"/>
      </w:pPr>
    </w:p>
    <w:p>
      <w:pPr>
        <w:spacing w:before="200" w:after="40"/>
      </w:pPr>
      <w:r>
        <w:rPr>
          <w:b/>
          <w:color w:val="1A3A5C"/>
          <w:sz w:val="24"/>
        </w:rPr>
        <w:t xml:space="preserve">  ◆  BMI → HDL</w:t>
      </w:r>
    </w:p>
    <w:p>
      <w:pPr>
        <w:spacing w:before="120" w:after="40"/>
      </w:pPr>
      <w:r>
        <w:rPr>
          <w:b/>
          <w:color w:val="1A3A5C"/>
          <w:sz w:val="22"/>
        </w:rPr>
        <w:t xml:space="preserve">  Equation:</w:t>
      </w:r>
    </w:p>
    <w:p>
      <w:pPr>
        <w:spacing w:before="20" w:after="20"/>
        <w:ind w:left="283"/>
      </w:pPr>
      <w:r>
        <w:rPr>
          <w:rFonts w:ascii="Courier New" w:hAnsi="Courier New"/>
          <w:color w:val="1A1A6E"/>
          <w:sz w:val="17"/>
        </w:rPr>
        <w:t>HDL_expected = HDL_base − 0.777 × BMI</w:t>
      </w:r>
    </w:p>
    <w:tbl>
      <w:tblPr>
        <w:tblStyle w:val="TableGrid"/>
        <w:tblW w:type="auto" w:w="0"/>
        <w:tblLook w:firstColumn="1" w:firstRow="1" w:lastColumn="0" w:lastRow="0" w:noHBand="0" w:noVBand="1" w:val="04A0"/>
      </w:tblPr>
      <w:tblGrid>
        <w:gridCol w:w="3249"/>
        <w:gridCol w:w="3249"/>
        <w:gridCol w:w="3249"/>
      </w:tblGrid>
      <w:tr>
        <w:tc>
          <w:tcPr>
            <w:tcW w:type="dxa" w:w="2551"/>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Coefficient</w:t>
              <w:br/>
            </w:r>
            <w:r>
              <w:rPr>
                <w:color w:val="444444"/>
                <w:sz w:val="18"/>
              </w:rPr>
              <w:t>−0.777 mg/dL HDL per BMI unit  (edge weight −0.48)</w:t>
            </w:r>
          </w:p>
        </w:tc>
        <w:tc>
          <w:tcPr>
            <w:tcW w:type="dxa" w:w="1701"/>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Causal Type</w:t>
              <w:br/>
            </w:r>
            <w:r>
              <w:rPr>
                <w:color w:val="444444"/>
                <w:sz w:val="18"/>
              </w:rPr>
              <w:t>Negative</w:t>
            </w:r>
          </w:p>
        </w:tc>
        <w:tc>
          <w:tcPr>
            <w:tcW w:type="dxa" w:w="6803"/>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Medical Interpretation</w:t>
              <w:br/>
            </w:r>
            <w:r>
              <w:rPr>
                <w:color w:val="444444"/>
                <w:sz w:val="18"/>
              </w:rPr>
              <w:t>Obesity raises blood triglycerides (via VLDL overproduction). High TG competes with HDL for the same lipid transport proteins (CETP exchange), causing HDL to fall. The slope −0.777 was measured directly in Project HeartBeat!</w:t>
            </w:r>
          </w:p>
        </w:tc>
      </w:tr>
    </w:tbl>
    <w:p/>
    <w:p>
      <w:pPr>
        <w:spacing w:before="120" w:after="40"/>
      </w:pPr>
      <w:r>
        <w:rPr>
          <w:b/>
          <w:color w:val="1A3A5C"/>
          <w:sz w:val="22"/>
        </w:rPr>
        <w:t xml:space="preserve">  Literature Reference:</w:t>
      </w:r>
    </w:p>
    <w:tbl>
      <w:tblPr>
        <w:tblStyle w:val="TableGrid"/>
        <w:tblW w:type="auto" w:w="0"/>
        <w:tblLook w:firstColumn="1" w:firstRow="1" w:lastColumn="0" w:lastRow="0" w:noHBand="0" w:noVBand="1" w:val="04A0"/>
      </w:tblPr>
      <w:tblGrid>
        <w:gridCol w:w="4873"/>
        <w:gridCol w:w="4873"/>
      </w:tblGrid>
      <w:tr>
        <w:tc>
          <w:tcPr>
            <w:tcW w:type="dxa" w:w="850"/>
            <w:shd w:val="clear" w:color="auto" w:fill="FFF8E1"/>
            <w:tcBorders>
              <w:top w:val="single" w:sz="4" w:space="0" w:color="D4B896"/>
              <w:left w:val="single" w:sz="4" w:space="0" w:color="D4B896"/>
              <w:bottom w:val="single" w:sz="4" w:space="0" w:color="D4B896"/>
              <w:right w:val="single" w:sz="4" w:space="0" w:color="D4B896"/>
            </w:tcBorders>
          </w:tcPr>
          <w:p>
            <w:r>
              <w:rPr>
                <w:b/>
                <w:color w:val="1A3A5C"/>
                <w:sz w:val="20"/>
              </w:rPr>
              <w:t>R10</w:t>
            </w:r>
          </w:p>
        </w:tc>
        <w:tc>
          <w:tcPr>
            <w:tcW w:type="dxa" w:w="10205"/>
            <w:shd w:val="clear" w:color="auto" w:fill="FFF8E1"/>
            <w:tcBorders>
              <w:top w:val="single" w:sz="4" w:space="0" w:color="D4B896"/>
              <w:left w:val="single" w:sz="4" w:space="0" w:color="D4B896"/>
              <w:bottom w:val="single" w:sz="4" w:space="0" w:color="D4B896"/>
              <w:right w:val="single" w:sz="4" w:space="0" w:color="D4B896"/>
            </w:tcBorders>
          </w:tcPr>
          <w:p>
            <w:r>
              <w:rPr>
                <w:b/>
                <w:color w:val="924008"/>
                <w:sz w:val="18"/>
              </w:rPr>
              <w:t xml:space="preserve">Project HeartBeat! Int J Obes 2011 — </w:t>
            </w:r>
            <w:r>
              <w:rPr>
                <w:color w:val="444444"/>
                <w:sz w:val="18"/>
              </w:rPr>
              <w:t>Project HeartBeat! 2011 — longitudinal cohort study measuring the regression coefficient HDL = a − 0.777 × BMI directly from data.</w:t>
            </w:r>
          </w:p>
        </w:tc>
      </w:tr>
    </w:tbl>
    <w:p/>
    <w:p>
      <w:pPr>
        <w:spacing w:before="120" w:after="40"/>
      </w:pPr>
      <w:r>
        <w:rPr>
          <w:b/>
          <w:color w:val="1A3A5C"/>
          <w:sz w:val="22"/>
        </w:rPr>
        <w:t xml:space="preserve">  KEGG Pathways (molecular mechanism):</w:t>
      </w:r>
    </w:p>
    <w:tbl>
      <w:tblPr>
        <w:tblStyle w:val="TableGrid"/>
        <w:tblW w:type="auto" w:w="0"/>
        <w:tblLook w:firstColumn="1" w:firstRow="1" w:lastColumn="0" w:lastRow="0" w:noHBand="0" w:noVBand="1" w:val="04A0"/>
      </w:tblPr>
      <w:tblGrid>
        <w:gridCol w:w="3249"/>
        <w:gridCol w:w="3249"/>
        <w:gridCol w:w="3249"/>
      </w:tblGrid>
      <w:tr>
        <w:tc>
          <w:tcPr>
            <w:tcW w:type="dxa" w:w="1417"/>
            <w:shd w:val="clear" w:color="auto" w:fill="E6F4EA"/>
            <w:tcBorders>
              <w:top w:val="single" w:sz="4" w:space="0" w:color="8FC99A"/>
              <w:left w:val="single" w:sz="4" w:space="0" w:color="8FC99A"/>
              <w:bottom w:val="single" w:sz="4" w:space="0" w:color="8FC99A"/>
              <w:right w:val="single" w:sz="4" w:space="0" w:color="8FC99A"/>
            </w:tcBorders>
          </w:tcPr>
          <w:p>
            <w:r>
              <w:rPr>
                <w:rFonts w:ascii="Courier New" w:hAnsi="Courier New"/>
                <w:b/>
                <w:color w:val="14532D"/>
                <w:sz w:val="18"/>
              </w:rPr>
              <w:t>hsa04979</w:t>
            </w:r>
          </w:p>
        </w:tc>
        <w:tc>
          <w:tcPr>
            <w:tcW w:type="dxa" w:w="3118"/>
            <w:shd w:val="clear" w:color="auto" w:fill="E6F4EA"/>
            <w:tcBorders>
              <w:top w:val="single" w:sz="4" w:space="0" w:color="8FC99A"/>
              <w:left w:val="single" w:sz="4" w:space="0" w:color="8FC99A"/>
              <w:bottom w:val="single" w:sz="4" w:space="0" w:color="8FC99A"/>
              <w:right w:val="single" w:sz="4" w:space="0" w:color="8FC99A"/>
            </w:tcBorders>
          </w:tcPr>
          <w:p>
            <w:r>
              <w:rPr>
                <w:b/>
                <w:color w:val="14532D"/>
                <w:sz w:val="18"/>
              </w:rPr>
              <w:t>Cholesterol metabolism</w:t>
            </w:r>
          </w:p>
        </w:tc>
        <w:tc>
          <w:tcPr>
            <w:tcW w:type="dxa" w:w="6520"/>
            <w:shd w:val="clear" w:color="auto" w:fill="E6F4EA"/>
            <w:tcBorders>
              <w:top w:val="single" w:sz="4" w:space="0" w:color="8FC99A"/>
              <w:left w:val="single" w:sz="4" w:space="0" w:color="8FC99A"/>
              <w:bottom w:val="single" w:sz="4" w:space="0" w:color="8FC99A"/>
              <w:right w:val="single" w:sz="4" w:space="0" w:color="8FC99A"/>
            </w:tcBorders>
          </w:tcPr>
          <w:p>
            <w:r>
              <w:rPr>
                <w:color w:val="444444"/>
                <w:sz w:val="18"/>
              </w:rPr>
              <w:t>CETP (cholesterol ester transfer protein) in this pathway exchanges TG for cholesteryl esters from HDL, reducing HDL size and promoting its clearance — this is the molecular mechanism behind the −0.777 slope.</w:t>
            </w:r>
          </w:p>
        </w:tc>
      </w:tr>
      <w:tr>
        <w:tc>
          <w:tcPr>
            <w:tcW w:type="dxa" w:w="1417"/>
            <w:shd w:val="clear" w:color="auto" w:fill="E6F4EA"/>
            <w:tcBorders>
              <w:top w:val="single" w:sz="4" w:space="0" w:color="8FC99A"/>
              <w:left w:val="single" w:sz="4" w:space="0" w:color="8FC99A"/>
              <w:bottom w:val="single" w:sz="4" w:space="0" w:color="8FC99A"/>
              <w:right w:val="single" w:sz="4" w:space="0" w:color="8FC99A"/>
            </w:tcBorders>
          </w:tcPr>
          <w:p>
            <w:r>
              <w:rPr>
                <w:rFonts w:ascii="Courier New" w:hAnsi="Courier New"/>
                <w:b/>
                <w:color w:val="14532D"/>
                <w:sz w:val="18"/>
              </w:rPr>
              <w:t>hsa01212</w:t>
            </w:r>
          </w:p>
        </w:tc>
        <w:tc>
          <w:tcPr>
            <w:tcW w:type="dxa" w:w="3118"/>
            <w:shd w:val="clear" w:color="auto" w:fill="E6F4EA"/>
            <w:tcBorders>
              <w:top w:val="single" w:sz="4" w:space="0" w:color="8FC99A"/>
              <w:left w:val="single" w:sz="4" w:space="0" w:color="8FC99A"/>
              <w:bottom w:val="single" w:sz="4" w:space="0" w:color="8FC99A"/>
              <w:right w:val="single" w:sz="4" w:space="0" w:color="8FC99A"/>
            </w:tcBorders>
          </w:tcPr>
          <w:p>
            <w:r>
              <w:rPr>
                <w:b/>
                <w:color w:val="14532D"/>
                <w:sz w:val="18"/>
              </w:rPr>
              <w:t>Fatty acid metabolism</w:t>
            </w:r>
          </w:p>
        </w:tc>
        <w:tc>
          <w:tcPr>
            <w:tcW w:type="dxa" w:w="6520"/>
            <w:shd w:val="clear" w:color="auto" w:fill="E6F4EA"/>
            <w:tcBorders>
              <w:top w:val="single" w:sz="4" w:space="0" w:color="8FC99A"/>
              <w:left w:val="single" w:sz="4" w:space="0" w:color="8FC99A"/>
              <w:bottom w:val="single" w:sz="4" w:space="0" w:color="8FC99A"/>
              <w:right w:val="single" w:sz="4" w:space="0" w:color="8FC99A"/>
            </w:tcBorders>
          </w:tcPr>
          <w:p>
            <w:r>
              <w:rPr>
                <w:color w:val="444444"/>
                <w:sz w:val="18"/>
              </w:rPr>
              <w:t>Obesity drives hepatic VLDL overproduction, flooding the circulation with TG-rich particles that compete with HDL, explaining the linear relationship in the equation.</w:t>
            </w:r>
          </w:p>
        </w:tc>
      </w:tr>
    </w:tbl>
    <w:p/>
    <w:p>
      <w:pPr>
        <w:spacing w:before="120" w:after="40"/>
      </w:pPr>
      <w:r>
        <w:rPr>
          <w:b/>
          <w:color w:val="1A3A5C"/>
          <w:sz w:val="22"/>
        </w:rPr>
        <w:t xml:space="preserve">  GO Biological Processes:</w:t>
      </w:r>
    </w:p>
    <w:tbl>
      <w:tblPr>
        <w:tblStyle w:val="TableGrid"/>
        <w:tblW w:type="auto" w:w="0"/>
        <w:tblLook w:firstColumn="1" w:firstRow="1" w:lastColumn="0" w:lastRow="0" w:noHBand="0" w:noVBand="1" w:val="04A0"/>
      </w:tblPr>
      <w:tblGrid>
        <w:gridCol w:w="3249"/>
        <w:gridCol w:w="3249"/>
        <w:gridCol w:w="3249"/>
      </w:tblGrid>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GO:0042157</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Lipoprotein metabolic process</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The biological process governing HDL and VLDL interactions — the −0.777 coefficient quantifies how obesity dysregulates this process.</w:t>
            </w:r>
          </w:p>
        </w:tc>
      </w:tr>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GO:0033344</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Cholesterol efflux</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HDL's protective function (removing cholesterol from vessel walls) is the process being reduced by the equation's negative slope.</w:t>
            </w:r>
          </w:p>
        </w:tc>
      </w:tr>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GO:0006629</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Lipid metabolic process</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The broad lipid handling process disrupted by obesity — provides the mechanistic context for both BMI→HDL and BMI→Cholesterol equations.</w:t>
            </w:r>
          </w:p>
        </w:tc>
      </w:tr>
    </w:tbl>
    <w:p>
      <w:pPr>
        <w:pBdr>
          <w:bottom w:val="single" w:sz="6" w:space="1" w:color="2B6CB0"/>
        </w:pBdr>
        <w:spacing w:before="40" w:after="40"/>
      </w:pPr>
    </w:p>
    <w:p>
      <w:pPr>
        <w:spacing w:before="200" w:after="40"/>
      </w:pPr>
      <w:r>
        <w:rPr>
          <w:b/>
          <w:color w:val="1A3A5C"/>
          <w:sz w:val="24"/>
        </w:rPr>
        <w:t xml:space="preserve">  ◆  BMI → Total Cholesterol</w:t>
      </w:r>
    </w:p>
    <w:p>
      <w:pPr>
        <w:spacing w:before="120" w:after="40"/>
      </w:pPr>
      <w:r>
        <w:rPr>
          <w:b/>
          <w:color w:val="1A3A5C"/>
          <w:sz w:val="22"/>
        </w:rPr>
        <w:t xml:space="preserve">  Equation:</w:t>
      </w:r>
    </w:p>
    <w:p>
      <w:pPr>
        <w:spacing w:before="20" w:after="20"/>
        <w:ind w:left="283"/>
      </w:pPr>
      <w:r>
        <w:rPr>
          <w:rFonts w:ascii="Courier New" w:hAnsi="Courier New"/>
          <w:color w:val="1A1A6E"/>
          <w:sz w:val="17"/>
        </w:rPr>
        <w:t>TC_expected = TC_base + 1.539 × BMI</w:t>
      </w:r>
    </w:p>
    <w:tbl>
      <w:tblPr>
        <w:tblStyle w:val="TableGrid"/>
        <w:tblW w:type="auto" w:w="0"/>
        <w:tblLook w:firstColumn="1" w:firstRow="1" w:lastColumn="0" w:lastRow="0" w:noHBand="0" w:noVBand="1" w:val="04A0"/>
      </w:tblPr>
      <w:tblGrid>
        <w:gridCol w:w="3249"/>
        <w:gridCol w:w="3249"/>
        <w:gridCol w:w="3249"/>
      </w:tblGrid>
      <w:tr>
        <w:tc>
          <w:tcPr>
            <w:tcW w:type="dxa" w:w="2551"/>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Coefficient</w:t>
              <w:br/>
            </w:r>
            <w:r>
              <w:rPr>
                <w:color w:val="444444"/>
                <w:sz w:val="18"/>
              </w:rPr>
              <w:t>+1.539 mg/dL TC per BMI unit  (edge weight +0.39)</w:t>
            </w:r>
          </w:p>
        </w:tc>
        <w:tc>
          <w:tcPr>
            <w:tcW w:type="dxa" w:w="1701"/>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Causal Type</w:t>
              <w:br/>
            </w:r>
            <w:r>
              <w:rPr>
                <w:color w:val="444444"/>
                <w:sz w:val="18"/>
              </w:rPr>
              <w:t>Positive</w:t>
            </w:r>
          </w:p>
        </w:tc>
        <w:tc>
          <w:tcPr>
            <w:tcW w:type="dxa" w:w="6803"/>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Medical Interpretation</w:t>
              <w:br/>
            </w:r>
            <w:r>
              <w:rPr>
                <w:color w:val="444444"/>
                <w:sz w:val="18"/>
              </w:rPr>
              <w:t>Obesity drives VLDL overproduction in the liver (via excess free fatty acid delivery from adipose tissue). VLDL carries cholesterol, raising total cholesterol. The slope +1.539 was measured in Project HeartBeat!</w:t>
            </w:r>
          </w:p>
        </w:tc>
      </w:tr>
    </w:tbl>
    <w:p/>
    <w:p>
      <w:pPr>
        <w:spacing w:before="120" w:after="40"/>
      </w:pPr>
      <w:r>
        <w:rPr>
          <w:b/>
          <w:color w:val="1A3A5C"/>
          <w:sz w:val="22"/>
        </w:rPr>
        <w:t xml:space="preserve">  Literature Reference:</w:t>
      </w:r>
    </w:p>
    <w:tbl>
      <w:tblPr>
        <w:tblStyle w:val="TableGrid"/>
        <w:tblW w:type="auto" w:w="0"/>
        <w:tblLook w:firstColumn="1" w:firstRow="1" w:lastColumn="0" w:lastRow="0" w:noHBand="0" w:noVBand="1" w:val="04A0"/>
      </w:tblPr>
      <w:tblGrid>
        <w:gridCol w:w="4873"/>
        <w:gridCol w:w="4873"/>
      </w:tblGrid>
      <w:tr>
        <w:tc>
          <w:tcPr>
            <w:tcW w:type="dxa" w:w="850"/>
            <w:shd w:val="clear" w:color="auto" w:fill="FFF8E1"/>
            <w:tcBorders>
              <w:top w:val="single" w:sz="4" w:space="0" w:color="D4B896"/>
              <w:left w:val="single" w:sz="4" w:space="0" w:color="D4B896"/>
              <w:bottom w:val="single" w:sz="4" w:space="0" w:color="D4B896"/>
              <w:right w:val="single" w:sz="4" w:space="0" w:color="D4B896"/>
            </w:tcBorders>
          </w:tcPr>
          <w:p>
            <w:r>
              <w:rPr>
                <w:b/>
                <w:color w:val="1A3A5C"/>
                <w:sz w:val="20"/>
              </w:rPr>
              <w:t>R10</w:t>
            </w:r>
          </w:p>
        </w:tc>
        <w:tc>
          <w:tcPr>
            <w:tcW w:type="dxa" w:w="10205"/>
            <w:shd w:val="clear" w:color="auto" w:fill="FFF8E1"/>
            <w:tcBorders>
              <w:top w:val="single" w:sz="4" w:space="0" w:color="D4B896"/>
              <w:left w:val="single" w:sz="4" w:space="0" w:color="D4B896"/>
              <w:bottom w:val="single" w:sz="4" w:space="0" w:color="D4B896"/>
              <w:right w:val="single" w:sz="4" w:space="0" w:color="D4B896"/>
            </w:tcBorders>
          </w:tcPr>
          <w:p>
            <w:r>
              <w:rPr>
                <w:b/>
                <w:color w:val="924008"/>
                <w:sz w:val="18"/>
              </w:rPr>
              <w:t xml:space="preserve">Project HeartBeat! Int J Obes 2011 — </w:t>
            </w:r>
            <w:r>
              <w:rPr>
                <w:color w:val="444444"/>
                <w:sz w:val="18"/>
              </w:rPr>
              <w:t>Project HeartBeat! 2011 — regression coefficient TC = a + 1.539 × BMI derived from longitudinal cohort data.</w:t>
            </w:r>
          </w:p>
        </w:tc>
      </w:tr>
    </w:tbl>
    <w:p/>
    <w:p>
      <w:pPr>
        <w:spacing w:before="120" w:after="40"/>
      </w:pPr>
      <w:r>
        <w:rPr>
          <w:b/>
          <w:color w:val="1A3A5C"/>
          <w:sz w:val="22"/>
        </w:rPr>
        <w:t xml:space="preserve">  KEGG Pathways (molecular mechanism):</w:t>
      </w:r>
    </w:p>
    <w:tbl>
      <w:tblPr>
        <w:tblStyle w:val="TableGrid"/>
        <w:tblW w:type="auto" w:w="0"/>
        <w:tblLook w:firstColumn="1" w:firstRow="1" w:lastColumn="0" w:lastRow="0" w:noHBand="0" w:noVBand="1" w:val="04A0"/>
      </w:tblPr>
      <w:tblGrid>
        <w:gridCol w:w="3249"/>
        <w:gridCol w:w="3249"/>
        <w:gridCol w:w="3249"/>
      </w:tblGrid>
      <w:tr>
        <w:tc>
          <w:tcPr>
            <w:tcW w:type="dxa" w:w="1417"/>
            <w:shd w:val="clear" w:color="auto" w:fill="E6F4EA"/>
            <w:tcBorders>
              <w:top w:val="single" w:sz="4" w:space="0" w:color="8FC99A"/>
              <w:left w:val="single" w:sz="4" w:space="0" w:color="8FC99A"/>
              <w:bottom w:val="single" w:sz="4" w:space="0" w:color="8FC99A"/>
              <w:right w:val="single" w:sz="4" w:space="0" w:color="8FC99A"/>
            </w:tcBorders>
          </w:tcPr>
          <w:p>
            <w:r>
              <w:rPr>
                <w:rFonts w:ascii="Courier New" w:hAnsi="Courier New"/>
                <w:b/>
                <w:color w:val="14532D"/>
                <w:sz w:val="18"/>
              </w:rPr>
              <w:t>hsa01212</w:t>
            </w:r>
          </w:p>
        </w:tc>
        <w:tc>
          <w:tcPr>
            <w:tcW w:type="dxa" w:w="3118"/>
            <w:shd w:val="clear" w:color="auto" w:fill="E6F4EA"/>
            <w:tcBorders>
              <w:top w:val="single" w:sz="4" w:space="0" w:color="8FC99A"/>
              <w:left w:val="single" w:sz="4" w:space="0" w:color="8FC99A"/>
              <w:bottom w:val="single" w:sz="4" w:space="0" w:color="8FC99A"/>
              <w:right w:val="single" w:sz="4" w:space="0" w:color="8FC99A"/>
            </w:tcBorders>
          </w:tcPr>
          <w:p>
            <w:r>
              <w:rPr>
                <w:b/>
                <w:color w:val="14532D"/>
                <w:sz w:val="18"/>
              </w:rPr>
              <w:t>Fatty acid metabolism</w:t>
            </w:r>
          </w:p>
        </w:tc>
        <w:tc>
          <w:tcPr>
            <w:tcW w:type="dxa" w:w="6520"/>
            <w:shd w:val="clear" w:color="auto" w:fill="E6F4EA"/>
            <w:tcBorders>
              <w:top w:val="single" w:sz="4" w:space="0" w:color="8FC99A"/>
              <w:left w:val="single" w:sz="4" w:space="0" w:color="8FC99A"/>
              <w:bottom w:val="single" w:sz="4" w:space="0" w:color="8FC99A"/>
              <w:right w:val="single" w:sz="4" w:space="0" w:color="8FC99A"/>
            </w:tcBorders>
          </w:tcPr>
          <w:p>
            <w:r>
              <w:rPr>
                <w:color w:val="444444"/>
                <w:sz w:val="18"/>
              </w:rPr>
              <w:t>Excess free fatty acids from obese adipocytes are re-esterified in the liver into VLDL — the direct molecular upstream step of the +1.539 TC slope.</w:t>
            </w:r>
          </w:p>
        </w:tc>
      </w:tr>
      <w:tr>
        <w:tc>
          <w:tcPr>
            <w:tcW w:type="dxa" w:w="1417"/>
            <w:shd w:val="clear" w:color="auto" w:fill="E6F4EA"/>
            <w:tcBorders>
              <w:top w:val="single" w:sz="4" w:space="0" w:color="8FC99A"/>
              <w:left w:val="single" w:sz="4" w:space="0" w:color="8FC99A"/>
              <w:bottom w:val="single" w:sz="4" w:space="0" w:color="8FC99A"/>
              <w:right w:val="single" w:sz="4" w:space="0" w:color="8FC99A"/>
            </w:tcBorders>
          </w:tcPr>
          <w:p>
            <w:r>
              <w:rPr>
                <w:rFonts w:ascii="Courier New" w:hAnsi="Courier New"/>
                <w:b/>
                <w:color w:val="14532D"/>
                <w:sz w:val="18"/>
              </w:rPr>
              <w:t>hsa04979</w:t>
            </w:r>
          </w:p>
        </w:tc>
        <w:tc>
          <w:tcPr>
            <w:tcW w:type="dxa" w:w="3118"/>
            <w:shd w:val="clear" w:color="auto" w:fill="E6F4EA"/>
            <w:tcBorders>
              <w:top w:val="single" w:sz="4" w:space="0" w:color="8FC99A"/>
              <w:left w:val="single" w:sz="4" w:space="0" w:color="8FC99A"/>
              <w:bottom w:val="single" w:sz="4" w:space="0" w:color="8FC99A"/>
              <w:right w:val="single" w:sz="4" w:space="0" w:color="8FC99A"/>
            </w:tcBorders>
          </w:tcPr>
          <w:p>
            <w:r>
              <w:rPr>
                <w:b/>
                <w:color w:val="14532D"/>
                <w:sz w:val="18"/>
              </w:rPr>
              <w:t>Cholesterol metabolism</w:t>
            </w:r>
          </w:p>
        </w:tc>
        <w:tc>
          <w:tcPr>
            <w:tcW w:type="dxa" w:w="6520"/>
            <w:shd w:val="clear" w:color="auto" w:fill="E6F4EA"/>
            <w:tcBorders>
              <w:top w:val="single" w:sz="4" w:space="0" w:color="8FC99A"/>
              <w:left w:val="single" w:sz="4" w:space="0" w:color="8FC99A"/>
              <w:bottom w:val="single" w:sz="4" w:space="0" w:color="8FC99A"/>
              <w:right w:val="single" w:sz="4" w:space="0" w:color="8FC99A"/>
            </w:tcBorders>
          </w:tcPr>
          <w:p>
            <w:r>
              <w:rPr>
                <w:color w:val="444444"/>
                <w:sz w:val="18"/>
              </w:rPr>
              <w:t>VLDL converts to LDL via lipoprotein lipase; both contribute to the rising total cholesterol captured in the equation.</w:t>
            </w:r>
          </w:p>
        </w:tc>
      </w:tr>
    </w:tbl>
    <w:p/>
    <w:p>
      <w:pPr>
        <w:spacing w:before="120" w:after="40"/>
      </w:pPr>
      <w:r>
        <w:rPr>
          <w:b/>
          <w:color w:val="1A3A5C"/>
          <w:sz w:val="22"/>
        </w:rPr>
        <w:t xml:space="preserve">  GO Biological Processes:</w:t>
      </w:r>
    </w:p>
    <w:tbl>
      <w:tblPr>
        <w:tblStyle w:val="TableGrid"/>
        <w:tblW w:type="auto" w:w="0"/>
        <w:tblLook w:firstColumn="1" w:firstRow="1" w:lastColumn="0" w:lastRow="0" w:noHBand="0" w:noVBand="1" w:val="04A0"/>
      </w:tblPr>
      <w:tblGrid>
        <w:gridCol w:w="3249"/>
        <w:gridCol w:w="3249"/>
        <w:gridCol w:w="3249"/>
      </w:tblGrid>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GO:0008203</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Cholesterol metabolic process</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The biological process whose rate increases with BMI — the +1.539 slope is a direct measurement of this.</w:t>
            </w:r>
          </w:p>
        </w:tc>
      </w:tr>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GO:0006629</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Lipid metabolic process</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The overarching lipid handling process dysregulated by obesity; encompasses both the TC and HDL regression equations.</w:t>
            </w:r>
          </w:p>
        </w:tc>
      </w:tr>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GO:0042157</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Lipoprotein metabolic process</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VLDL and LDL overproduction with obesity is the lipoprotein-level mechanism connecting BMI to total cholesterol rise.</w:t>
            </w:r>
          </w:p>
        </w:tc>
      </w:tr>
    </w:tbl>
    <w:p>
      <w:pPr>
        <w:pBdr>
          <w:bottom w:val="single" w:sz="6" w:space="1" w:color="2B6CB0"/>
        </w:pBdr>
        <w:spacing w:before="40" w:after="40"/>
      </w:pPr>
    </w:p>
    <w:p>
      <w:pPr>
        <w:spacing w:before="200" w:after="40"/>
      </w:pPr>
      <w:r>
        <w:rPr>
          <w:b/>
          <w:color w:val="1A3A5C"/>
          <w:sz w:val="24"/>
        </w:rPr>
        <w:t xml:space="preserve">  ◆  BMI → eGFR</w:t>
      </w:r>
    </w:p>
    <w:p>
      <w:pPr>
        <w:spacing w:before="120" w:after="40"/>
      </w:pPr>
      <w:r>
        <w:rPr>
          <w:b/>
          <w:color w:val="1A3A5C"/>
          <w:sz w:val="22"/>
        </w:rPr>
        <w:t xml:space="preserve">  Equation:</w:t>
      </w:r>
    </w:p>
    <w:p>
      <w:pPr>
        <w:spacing w:before="20" w:after="20"/>
        <w:ind w:left="283"/>
      </w:pPr>
      <w:r>
        <w:rPr>
          <w:rFonts w:ascii="Courier New" w:hAnsi="Courier New"/>
          <w:color w:val="1A1A6E"/>
          <w:sz w:val="17"/>
        </w:rPr>
        <w:t>eGFR ↓ = −0.45 × max(0, BMI − 25)   [R8 linear model]</w:t>
      </w:r>
    </w:p>
    <w:tbl>
      <w:tblPr>
        <w:tblStyle w:val="TableGrid"/>
        <w:tblW w:type="auto" w:w="0"/>
        <w:tblLook w:firstColumn="1" w:firstRow="1" w:lastColumn="0" w:lastRow="0" w:noHBand="0" w:noVBand="1" w:val="04A0"/>
      </w:tblPr>
      <w:tblGrid>
        <w:gridCol w:w="3249"/>
        <w:gridCol w:w="3249"/>
        <w:gridCol w:w="3249"/>
      </w:tblGrid>
      <w:tr>
        <w:tc>
          <w:tcPr>
            <w:tcW w:type="dxa" w:w="2551"/>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Coefficient</w:t>
              <w:br/>
            </w:r>
            <w:r>
              <w:rPr>
                <w:color w:val="444444"/>
                <w:sz w:val="18"/>
              </w:rPr>
              <w:t>−0.45 mL/min/1.73m² per BMI unit above 25</w:t>
            </w:r>
          </w:p>
        </w:tc>
        <w:tc>
          <w:tcPr>
            <w:tcW w:type="dxa" w:w="1701"/>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Causal Type</w:t>
              <w:br/>
            </w:r>
            <w:r>
              <w:rPr>
                <w:color w:val="444444"/>
                <w:sz w:val="18"/>
              </w:rPr>
              <w:t>Negative</w:t>
            </w:r>
          </w:p>
        </w:tc>
        <w:tc>
          <w:tcPr>
            <w:tcW w:type="dxa" w:w="6803"/>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Medical Interpretation</w:t>
              <w:br/>
            </w:r>
            <w:r>
              <w:rPr>
                <w:color w:val="444444"/>
                <w:sz w:val="18"/>
              </w:rPr>
              <w:t>Obesity causes glomerular hyperfiltration initially (kidneys overwork to serve the larger body), which damages glomeruli over years → progressive decline. Only BMI above 25 penalises eGFR; normal BMI has no penalty.</w:t>
            </w:r>
          </w:p>
        </w:tc>
      </w:tr>
    </w:tbl>
    <w:p/>
    <w:p>
      <w:pPr>
        <w:spacing w:before="120" w:after="40"/>
      </w:pPr>
      <w:r>
        <w:rPr>
          <w:b/>
          <w:color w:val="1A3A5C"/>
          <w:sz w:val="22"/>
        </w:rPr>
        <w:t xml:space="preserve">  Literature Reference:</w:t>
      </w:r>
    </w:p>
    <w:tbl>
      <w:tblPr>
        <w:tblStyle w:val="TableGrid"/>
        <w:tblW w:type="auto" w:w="0"/>
        <w:tblLook w:firstColumn="1" w:firstRow="1" w:lastColumn="0" w:lastRow="0" w:noHBand="0" w:noVBand="1" w:val="04A0"/>
      </w:tblPr>
      <w:tblGrid>
        <w:gridCol w:w="4873"/>
        <w:gridCol w:w="4873"/>
      </w:tblGrid>
      <w:tr>
        <w:tc>
          <w:tcPr>
            <w:tcW w:type="dxa" w:w="850"/>
            <w:shd w:val="clear" w:color="auto" w:fill="FFF8E1"/>
            <w:tcBorders>
              <w:top w:val="single" w:sz="4" w:space="0" w:color="D4B896"/>
              <w:left w:val="single" w:sz="4" w:space="0" w:color="D4B896"/>
              <w:bottom w:val="single" w:sz="4" w:space="0" w:color="D4B896"/>
              <w:right w:val="single" w:sz="4" w:space="0" w:color="D4B896"/>
            </w:tcBorders>
          </w:tcPr>
          <w:p>
            <w:r>
              <w:rPr>
                <w:b/>
                <w:color w:val="1A3A5C"/>
                <w:sz w:val="20"/>
              </w:rPr>
              <w:t>R8</w:t>
            </w:r>
          </w:p>
        </w:tc>
        <w:tc>
          <w:tcPr>
            <w:tcW w:type="dxa" w:w="10205"/>
            <w:shd w:val="clear" w:color="auto" w:fill="FFF8E1"/>
            <w:tcBorders>
              <w:top w:val="single" w:sz="4" w:space="0" w:color="D4B896"/>
              <w:left w:val="single" w:sz="4" w:space="0" w:color="D4B896"/>
              <w:bottom w:val="single" w:sz="4" w:space="0" w:color="D4B896"/>
              <w:right w:val="single" w:sz="4" w:space="0" w:color="D4B896"/>
            </w:tcBorders>
          </w:tcPr>
          <w:p>
            <w:r>
              <w:rPr>
                <w:b/>
                <w:color w:val="924008"/>
                <w:sz w:val="18"/>
              </w:rPr>
              <w:t xml:space="preserve">Nelson JAMA 2019 — </w:t>
            </w:r>
            <w:r>
              <w:rPr>
                <w:color w:val="444444"/>
                <w:sz w:val="18"/>
              </w:rPr>
              <w:t>Nelson 2019 — −0.45 coefficient per BMI unit above 25 extracted from the JAMA CKD risk prediction model.</w:t>
            </w:r>
          </w:p>
        </w:tc>
      </w:tr>
    </w:tbl>
    <w:p/>
    <w:p>
      <w:pPr>
        <w:spacing w:before="120" w:after="40"/>
      </w:pPr>
      <w:r>
        <w:rPr>
          <w:b/>
          <w:color w:val="1A3A5C"/>
          <w:sz w:val="22"/>
        </w:rPr>
        <w:t xml:space="preserve">  KEGG Pathways (molecular mechanism):</w:t>
      </w:r>
    </w:p>
    <w:tbl>
      <w:tblPr>
        <w:tblStyle w:val="TableGrid"/>
        <w:tblW w:type="auto" w:w="0"/>
        <w:tblLook w:firstColumn="1" w:firstRow="1" w:lastColumn="0" w:lastRow="0" w:noHBand="0" w:noVBand="1" w:val="04A0"/>
      </w:tblPr>
      <w:tblGrid>
        <w:gridCol w:w="3249"/>
        <w:gridCol w:w="3249"/>
        <w:gridCol w:w="3249"/>
      </w:tblGrid>
      <w:tr>
        <w:tc>
          <w:tcPr>
            <w:tcW w:type="dxa" w:w="1417"/>
            <w:shd w:val="clear" w:color="auto" w:fill="E6F4EA"/>
            <w:tcBorders>
              <w:top w:val="single" w:sz="4" w:space="0" w:color="8FC99A"/>
              <w:left w:val="single" w:sz="4" w:space="0" w:color="8FC99A"/>
              <w:bottom w:val="single" w:sz="4" w:space="0" w:color="8FC99A"/>
              <w:right w:val="single" w:sz="4" w:space="0" w:color="8FC99A"/>
            </w:tcBorders>
          </w:tcPr>
          <w:p>
            <w:r>
              <w:rPr>
                <w:rFonts w:ascii="Courier New" w:hAnsi="Courier New"/>
                <w:b/>
                <w:color w:val="14532D"/>
                <w:sz w:val="18"/>
              </w:rPr>
              <w:t>hsa04614</w:t>
            </w:r>
          </w:p>
        </w:tc>
        <w:tc>
          <w:tcPr>
            <w:tcW w:type="dxa" w:w="3118"/>
            <w:shd w:val="clear" w:color="auto" w:fill="E6F4EA"/>
            <w:tcBorders>
              <w:top w:val="single" w:sz="4" w:space="0" w:color="8FC99A"/>
              <w:left w:val="single" w:sz="4" w:space="0" w:color="8FC99A"/>
              <w:bottom w:val="single" w:sz="4" w:space="0" w:color="8FC99A"/>
              <w:right w:val="single" w:sz="4" w:space="0" w:color="8FC99A"/>
            </w:tcBorders>
          </w:tcPr>
          <w:p>
            <w:r>
              <w:rPr>
                <w:b/>
                <w:color w:val="14532D"/>
                <w:sz w:val="18"/>
              </w:rPr>
              <w:t>Renin–angiotensin system</w:t>
            </w:r>
          </w:p>
        </w:tc>
        <w:tc>
          <w:tcPr>
            <w:tcW w:type="dxa" w:w="6520"/>
            <w:shd w:val="clear" w:color="auto" w:fill="E6F4EA"/>
            <w:tcBorders>
              <w:top w:val="single" w:sz="4" w:space="0" w:color="8FC99A"/>
              <w:left w:val="single" w:sz="4" w:space="0" w:color="8FC99A"/>
              <w:bottom w:val="single" w:sz="4" w:space="0" w:color="8FC99A"/>
              <w:right w:val="single" w:sz="4" w:space="0" w:color="8FC99A"/>
            </w:tcBorders>
          </w:tcPr>
          <w:p>
            <w:r>
              <w:rPr>
                <w:color w:val="444444"/>
                <w:sz w:val="18"/>
              </w:rPr>
              <w:t>Intraglomerular RAAS activation in obesity drives hyperfiltration and progressive glomerulosclerosis — this is the pathway mediating the −0.45/unit eGFR penalty.</w:t>
            </w:r>
          </w:p>
        </w:tc>
      </w:tr>
      <w:tr>
        <w:tc>
          <w:tcPr>
            <w:tcW w:type="dxa" w:w="1417"/>
            <w:shd w:val="clear" w:color="auto" w:fill="E6F4EA"/>
            <w:tcBorders>
              <w:top w:val="single" w:sz="4" w:space="0" w:color="8FC99A"/>
              <w:left w:val="single" w:sz="4" w:space="0" w:color="8FC99A"/>
              <w:bottom w:val="single" w:sz="4" w:space="0" w:color="8FC99A"/>
              <w:right w:val="single" w:sz="4" w:space="0" w:color="8FC99A"/>
            </w:tcBorders>
          </w:tcPr>
          <w:p>
            <w:r>
              <w:rPr>
                <w:rFonts w:ascii="Courier New" w:hAnsi="Courier New"/>
                <w:b/>
                <w:color w:val="14532D"/>
                <w:sz w:val="18"/>
              </w:rPr>
              <w:t>hsa04910</w:t>
            </w:r>
          </w:p>
        </w:tc>
        <w:tc>
          <w:tcPr>
            <w:tcW w:type="dxa" w:w="3118"/>
            <w:shd w:val="clear" w:color="auto" w:fill="E6F4EA"/>
            <w:tcBorders>
              <w:top w:val="single" w:sz="4" w:space="0" w:color="8FC99A"/>
              <w:left w:val="single" w:sz="4" w:space="0" w:color="8FC99A"/>
              <w:bottom w:val="single" w:sz="4" w:space="0" w:color="8FC99A"/>
              <w:right w:val="single" w:sz="4" w:space="0" w:color="8FC99A"/>
            </w:tcBorders>
          </w:tcPr>
          <w:p>
            <w:r>
              <w:rPr>
                <w:b/>
                <w:color w:val="14532D"/>
                <w:sz w:val="18"/>
              </w:rPr>
              <w:t>Insulin signaling pathway</w:t>
            </w:r>
          </w:p>
        </w:tc>
        <w:tc>
          <w:tcPr>
            <w:tcW w:type="dxa" w:w="6520"/>
            <w:shd w:val="clear" w:color="auto" w:fill="E6F4EA"/>
            <w:tcBorders>
              <w:top w:val="single" w:sz="4" w:space="0" w:color="8FC99A"/>
              <w:left w:val="single" w:sz="4" w:space="0" w:color="8FC99A"/>
              <w:bottom w:val="single" w:sz="4" w:space="0" w:color="8FC99A"/>
              <w:right w:val="single" w:sz="4" w:space="0" w:color="8FC99A"/>
            </w:tcBorders>
          </w:tcPr>
          <w:p>
            <w:r>
              <w:rPr>
                <w:color w:val="444444"/>
                <w:sz w:val="18"/>
              </w:rPr>
              <w:t>Insulin resistance in obesity elevates plasma insulin, which directly stimulates proximal tubular Na⁺ reabsorption and increases intraglomerular pressure — contributing to hyperfiltration-driven GFR decline.</w:t>
            </w:r>
          </w:p>
        </w:tc>
      </w:tr>
    </w:tbl>
    <w:p/>
    <w:p>
      <w:pPr>
        <w:spacing w:before="120" w:after="40"/>
      </w:pPr>
      <w:r>
        <w:rPr>
          <w:b/>
          <w:color w:val="1A3A5C"/>
          <w:sz w:val="22"/>
        </w:rPr>
        <w:t xml:space="preserve">  GO Biological Processes:</w:t>
      </w:r>
    </w:p>
    <w:tbl>
      <w:tblPr>
        <w:tblStyle w:val="TableGrid"/>
        <w:tblW w:type="auto" w:w="0"/>
        <w:tblLook w:firstColumn="1" w:firstRow="1" w:lastColumn="0" w:lastRow="0" w:noHBand="0" w:noVBand="1" w:val="04A0"/>
      </w:tblPr>
      <w:tblGrid>
        <w:gridCol w:w="3249"/>
        <w:gridCol w:w="3249"/>
        <w:gridCol w:w="3249"/>
      </w:tblGrid>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GO:0003094</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Glomerular filtration</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The outcome biological process — obesity progressively reduces the rate of this process, captured by the −0.45 coefficient.</w:t>
            </w:r>
          </w:p>
        </w:tc>
      </w:tr>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GO:0045598</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Regulation of fat cell differentiation</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Adipose tissue expansion drives the RAAS and inflammatory cascades that mediate glomerular injury.</w:t>
            </w:r>
          </w:p>
        </w:tc>
      </w:tr>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GO:0001822</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Kidney development</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Podocytes cannot regenerate in adults — hyperfiltration-induced podocyte loss is permanent, explaining the progressive and irreversible nature of BMI-driven eGFR decline.</w:t>
            </w:r>
          </w:p>
        </w:tc>
      </w:tr>
    </w:tbl>
    <w:p>
      <w:pPr>
        <w:pBdr>
          <w:bottom w:val="single" w:sz="6" w:space="1" w:color="2B6CB0"/>
        </w:pBdr>
        <w:spacing w:before="40" w:after="40"/>
      </w:pPr>
    </w:p>
    <w:p>
      <w:pPr>
        <w:spacing w:before="200" w:after="60"/>
      </w:pPr>
      <w:r>
        <w:rPr>
          <w:b/>
          <w:color w:val="2B6CB0"/>
          <w:sz w:val="26"/>
        </w:rPr>
        <w:t xml:space="preserve">  Diabetes Relationships</w:t>
      </w:r>
    </w:p>
    <w:p/>
    <w:p>
      <w:pPr>
        <w:spacing w:before="200" w:after="40"/>
      </w:pPr>
      <w:r>
        <w:rPr>
          <w:b/>
          <w:color w:val="1A3A5C"/>
          <w:sz w:val="24"/>
        </w:rPr>
        <w:t xml:space="preserve">  ◆  DM → eGFR</w:t>
      </w:r>
    </w:p>
    <w:p>
      <w:pPr>
        <w:spacing w:before="120" w:after="40"/>
      </w:pPr>
      <w:r>
        <w:rPr>
          <w:b/>
          <w:color w:val="1A3A5C"/>
          <w:sz w:val="22"/>
        </w:rPr>
        <w:t xml:space="preserve">  Equation:</w:t>
      </w:r>
    </w:p>
    <w:p>
      <w:pPr>
        <w:spacing w:before="20" w:after="20"/>
        <w:ind w:left="283"/>
      </w:pPr>
      <w:r>
        <w:rPr>
          <w:rFonts w:ascii="Courier New" w:hAnsi="Courier New"/>
          <w:color w:val="1A1A6E"/>
          <w:sz w:val="17"/>
        </w:rPr>
        <w:t>eGFR ↓ = −7.50 × DM_flag</w:t>
        <w:br/>
        <w:t xml:space="preserve">          − 3.20 × (DM_flag × HTN_flag)   [interaction penalty]</w:t>
      </w:r>
    </w:p>
    <w:tbl>
      <w:tblPr>
        <w:tblStyle w:val="TableGrid"/>
        <w:tblW w:type="auto" w:w="0"/>
        <w:tblLook w:firstColumn="1" w:firstRow="1" w:lastColumn="0" w:lastRow="0" w:noHBand="0" w:noVBand="1" w:val="04A0"/>
      </w:tblPr>
      <w:tblGrid>
        <w:gridCol w:w="3249"/>
        <w:gridCol w:w="3249"/>
        <w:gridCol w:w="3249"/>
      </w:tblGrid>
      <w:tr>
        <w:tc>
          <w:tcPr>
            <w:tcW w:type="dxa" w:w="2551"/>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Coefficient</w:t>
              <w:br/>
            </w:r>
            <w:r>
              <w:rPr>
                <w:color w:val="444444"/>
                <w:sz w:val="18"/>
              </w:rPr>
              <w:t>−7.5 units (DM alone); additional −3.2 units if DM + HTN co-present</w:t>
            </w:r>
          </w:p>
        </w:tc>
        <w:tc>
          <w:tcPr>
            <w:tcW w:type="dxa" w:w="1701"/>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Causal Type</w:t>
              <w:br/>
            </w:r>
            <w:r>
              <w:rPr>
                <w:color w:val="444444"/>
                <w:sz w:val="18"/>
              </w:rPr>
              <w:t>Negative (strong)</w:t>
            </w:r>
          </w:p>
        </w:tc>
        <w:tc>
          <w:tcPr>
            <w:tcW w:type="dxa" w:w="6803"/>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Medical Interpretation</w:t>
              <w:br/>
            </w:r>
            <w:r>
              <w:rPr>
                <w:color w:val="444444"/>
                <w:sz w:val="18"/>
              </w:rPr>
              <w:t>Having diabetes alone reduces eGFR by 7.5 units. When HTN is also present, the combination is synergistically more damaging than additive — an extra 3.2-unit penalty. The two diseases share glomerular pressure as a common damage mechanism.</w:t>
            </w:r>
          </w:p>
        </w:tc>
      </w:tr>
    </w:tbl>
    <w:p/>
    <w:p>
      <w:pPr>
        <w:spacing w:before="120" w:after="40"/>
      </w:pPr>
      <w:r>
        <w:rPr>
          <w:b/>
          <w:color w:val="1A3A5C"/>
          <w:sz w:val="22"/>
        </w:rPr>
        <w:t xml:space="preserve">  Literature Reference:</w:t>
      </w:r>
    </w:p>
    <w:tbl>
      <w:tblPr>
        <w:tblStyle w:val="TableGrid"/>
        <w:tblW w:type="auto" w:w="0"/>
        <w:tblLook w:firstColumn="1" w:firstRow="1" w:lastColumn="0" w:lastRow="0" w:noHBand="0" w:noVBand="1" w:val="04A0"/>
      </w:tblPr>
      <w:tblGrid>
        <w:gridCol w:w="4873"/>
        <w:gridCol w:w="4873"/>
      </w:tblGrid>
      <w:tr>
        <w:tc>
          <w:tcPr>
            <w:tcW w:type="dxa" w:w="850"/>
            <w:shd w:val="clear" w:color="auto" w:fill="FFF8E1"/>
            <w:tcBorders>
              <w:top w:val="single" w:sz="4" w:space="0" w:color="D4B896"/>
              <w:left w:val="single" w:sz="4" w:space="0" w:color="D4B896"/>
              <w:bottom w:val="single" w:sz="4" w:space="0" w:color="D4B896"/>
              <w:right w:val="single" w:sz="4" w:space="0" w:color="D4B896"/>
            </w:tcBorders>
          </w:tcPr>
          <w:p>
            <w:r>
              <w:rPr>
                <w:b/>
                <w:color w:val="1A3A5C"/>
                <w:sz w:val="20"/>
              </w:rPr>
              <w:t>R8</w:t>
            </w:r>
          </w:p>
        </w:tc>
        <w:tc>
          <w:tcPr>
            <w:tcW w:type="dxa" w:w="10205"/>
            <w:shd w:val="clear" w:color="auto" w:fill="FFF8E1"/>
            <w:tcBorders>
              <w:top w:val="single" w:sz="4" w:space="0" w:color="D4B896"/>
              <w:left w:val="single" w:sz="4" w:space="0" w:color="D4B896"/>
              <w:bottom w:val="single" w:sz="4" w:space="0" w:color="D4B896"/>
              <w:right w:val="single" w:sz="4" w:space="0" w:color="D4B896"/>
            </w:tcBorders>
          </w:tcPr>
          <w:p>
            <w:r>
              <w:rPr>
                <w:b/>
                <w:color w:val="924008"/>
                <w:sz w:val="18"/>
              </w:rPr>
              <w:t xml:space="preserve">Nelson JAMA 2019 — </w:t>
            </w:r>
            <w:r>
              <w:rPr>
                <w:color w:val="444444"/>
                <w:sz w:val="18"/>
              </w:rPr>
              <w:t>Nelson 2019 — both the −7.5 DM coefficient and the −3.2 DM×HTN interaction term were derived from the JAMA CKD risk prediction model.</w:t>
            </w:r>
          </w:p>
        </w:tc>
      </w:tr>
    </w:tbl>
    <w:p/>
    <w:p>
      <w:pPr>
        <w:spacing w:before="120" w:after="40"/>
      </w:pPr>
      <w:r>
        <w:rPr>
          <w:b/>
          <w:color w:val="1A3A5C"/>
          <w:sz w:val="22"/>
        </w:rPr>
        <w:t xml:space="preserve">  KEGG Pathways (molecular mechanism):</w:t>
      </w:r>
    </w:p>
    <w:tbl>
      <w:tblPr>
        <w:tblStyle w:val="TableGrid"/>
        <w:tblW w:type="auto" w:w="0"/>
        <w:tblLook w:firstColumn="1" w:firstRow="1" w:lastColumn="0" w:lastRow="0" w:noHBand="0" w:noVBand="1" w:val="04A0"/>
      </w:tblPr>
      <w:tblGrid>
        <w:gridCol w:w="3249"/>
        <w:gridCol w:w="3249"/>
        <w:gridCol w:w="3249"/>
      </w:tblGrid>
      <w:tr>
        <w:tc>
          <w:tcPr>
            <w:tcW w:type="dxa" w:w="1417"/>
            <w:shd w:val="clear" w:color="auto" w:fill="E6F4EA"/>
            <w:tcBorders>
              <w:top w:val="single" w:sz="4" w:space="0" w:color="8FC99A"/>
              <w:left w:val="single" w:sz="4" w:space="0" w:color="8FC99A"/>
              <w:bottom w:val="single" w:sz="4" w:space="0" w:color="8FC99A"/>
              <w:right w:val="single" w:sz="4" w:space="0" w:color="8FC99A"/>
            </w:tcBorders>
          </w:tcPr>
          <w:p>
            <w:r>
              <w:rPr>
                <w:rFonts w:ascii="Courier New" w:hAnsi="Courier New"/>
                <w:b/>
                <w:color w:val="14532D"/>
                <w:sz w:val="18"/>
              </w:rPr>
              <w:t>hsa04933</w:t>
            </w:r>
          </w:p>
        </w:tc>
        <w:tc>
          <w:tcPr>
            <w:tcW w:type="dxa" w:w="3118"/>
            <w:shd w:val="clear" w:color="auto" w:fill="E6F4EA"/>
            <w:tcBorders>
              <w:top w:val="single" w:sz="4" w:space="0" w:color="8FC99A"/>
              <w:left w:val="single" w:sz="4" w:space="0" w:color="8FC99A"/>
              <w:bottom w:val="single" w:sz="4" w:space="0" w:color="8FC99A"/>
              <w:right w:val="single" w:sz="4" w:space="0" w:color="8FC99A"/>
            </w:tcBorders>
          </w:tcPr>
          <w:p>
            <w:r>
              <w:rPr>
                <w:b/>
                <w:color w:val="14532D"/>
                <w:sz w:val="18"/>
              </w:rPr>
              <w:t>AGE-RAGE signaling in diabetic complications</w:t>
            </w:r>
          </w:p>
        </w:tc>
        <w:tc>
          <w:tcPr>
            <w:tcW w:type="dxa" w:w="6520"/>
            <w:shd w:val="clear" w:color="auto" w:fill="E6F4EA"/>
            <w:tcBorders>
              <w:top w:val="single" w:sz="4" w:space="0" w:color="8FC99A"/>
              <w:left w:val="single" w:sz="4" w:space="0" w:color="8FC99A"/>
              <w:bottom w:val="single" w:sz="4" w:space="0" w:color="8FC99A"/>
              <w:right w:val="single" w:sz="4" w:space="0" w:color="8FC99A"/>
            </w:tcBorders>
          </w:tcPr>
          <w:p>
            <w:r>
              <w:rPr>
                <w:color w:val="444444"/>
                <w:sz w:val="18"/>
              </w:rPr>
              <w:t>Advanced Glycation End-products (AGEs) bind RAGE receptors on glomerular cells → NF-κB activation → mesangial expansion → glomerulosclerosis. THIS is the molecular pathway that makes DM reduce eGFR by exactly −7.5 units.</w:t>
            </w:r>
          </w:p>
        </w:tc>
      </w:tr>
      <w:tr>
        <w:tc>
          <w:tcPr>
            <w:tcW w:type="dxa" w:w="1417"/>
            <w:shd w:val="clear" w:color="auto" w:fill="E6F4EA"/>
            <w:tcBorders>
              <w:top w:val="single" w:sz="4" w:space="0" w:color="8FC99A"/>
              <w:left w:val="single" w:sz="4" w:space="0" w:color="8FC99A"/>
              <w:bottom w:val="single" w:sz="4" w:space="0" w:color="8FC99A"/>
              <w:right w:val="single" w:sz="4" w:space="0" w:color="8FC99A"/>
            </w:tcBorders>
          </w:tcPr>
          <w:p>
            <w:r>
              <w:rPr>
                <w:rFonts w:ascii="Courier New" w:hAnsi="Courier New"/>
                <w:b/>
                <w:color w:val="14532D"/>
                <w:sz w:val="18"/>
              </w:rPr>
              <w:t>hsa04930</w:t>
            </w:r>
          </w:p>
        </w:tc>
        <w:tc>
          <w:tcPr>
            <w:tcW w:type="dxa" w:w="3118"/>
            <w:shd w:val="clear" w:color="auto" w:fill="E6F4EA"/>
            <w:tcBorders>
              <w:top w:val="single" w:sz="4" w:space="0" w:color="8FC99A"/>
              <w:left w:val="single" w:sz="4" w:space="0" w:color="8FC99A"/>
              <w:bottom w:val="single" w:sz="4" w:space="0" w:color="8FC99A"/>
              <w:right w:val="single" w:sz="4" w:space="0" w:color="8FC99A"/>
            </w:tcBorders>
          </w:tcPr>
          <w:p>
            <w:r>
              <w:rPr>
                <w:b/>
                <w:color w:val="14532D"/>
                <w:sz w:val="18"/>
              </w:rPr>
              <w:t>Type II diabetes mellitus</w:t>
            </w:r>
          </w:p>
        </w:tc>
        <w:tc>
          <w:tcPr>
            <w:tcW w:type="dxa" w:w="6520"/>
            <w:shd w:val="clear" w:color="auto" w:fill="E6F4EA"/>
            <w:tcBorders>
              <w:top w:val="single" w:sz="4" w:space="0" w:color="8FC99A"/>
              <w:left w:val="single" w:sz="4" w:space="0" w:color="8FC99A"/>
              <w:bottom w:val="single" w:sz="4" w:space="0" w:color="8FC99A"/>
              <w:right w:val="single" w:sz="4" w:space="0" w:color="8FC99A"/>
            </w:tcBorders>
          </w:tcPr>
          <w:p>
            <w:r>
              <w:rPr>
                <w:color w:val="444444"/>
                <w:sz w:val="18"/>
              </w:rPr>
              <w:t>The upstream disease pathway; chronic hyperglycaemia is the substrate that feeds into AGE-RAGE signaling and drives glomerular injury.</w:t>
            </w:r>
          </w:p>
        </w:tc>
      </w:tr>
    </w:tbl>
    <w:p/>
    <w:p>
      <w:pPr>
        <w:spacing w:before="120" w:after="40"/>
      </w:pPr>
      <w:r>
        <w:rPr>
          <w:b/>
          <w:color w:val="1A3A5C"/>
          <w:sz w:val="22"/>
        </w:rPr>
        <w:t xml:space="preserve">  GO Biological Processes:</w:t>
      </w:r>
    </w:p>
    <w:tbl>
      <w:tblPr>
        <w:tblStyle w:val="TableGrid"/>
        <w:tblW w:type="auto" w:w="0"/>
        <w:tblLook w:firstColumn="1" w:firstRow="1" w:lastColumn="0" w:lastRow="0" w:noHBand="0" w:noVBand="1" w:val="04A0"/>
      </w:tblPr>
      <w:tblGrid>
        <w:gridCol w:w="3249"/>
        <w:gridCol w:w="3249"/>
        <w:gridCol w:w="3249"/>
      </w:tblGrid>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GO:0006006</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Glucose metabolic process</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Chronically elevated glucose is the substrate for AGE formation — directly links the DM flag to the −7.5 coefficient.</w:t>
            </w:r>
          </w:p>
        </w:tc>
      </w:tr>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GO:0003094</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Glomerular filtration</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The biological process being reduced — the −7.5 and −3.2 coefficients quantify how much DM (alone and with HTN) impairs this process.</w:t>
            </w:r>
          </w:p>
        </w:tc>
      </w:tr>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GO:0001822</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Kidney development</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Glomerulosclerosis is an irreversible structural change — loss of filtration units that cannot be replaced.</w:t>
            </w:r>
          </w:p>
        </w:tc>
      </w:tr>
    </w:tbl>
    <w:p>
      <w:pPr>
        <w:pBdr>
          <w:bottom w:val="single" w:sz="6" w:space="1" w:color="2B6CB0"/>
        </w:pBdr>
        <w:spacing w:before="40" w:after="40"/>
      </w:pPr>
    </w:p>
    <w:p>
      <w:pPr>
        <w:spacing w:before="200" w:after="40"/>
      </w:pPr>
      <w:r>
        <w:rPr>
          <w:b/>
          <w:color w:val="1A3A5C"/>
          <w:sz w:val="24"/>
        </w:rPr>
        <w:t xml:space="preserve">  ◆  DM → Creatinine</w:t>
      </w:r>
    </w:p>
    <w:p>
      <w:pPr>
        <w:spacing w:before="120" w:after="40"/>
      </w:pPr>
      <w:r>
        <w:rPr>
          <w:b/>
          <w:color w:val="1A3A5C"/>
          <w:sz w:val="22"/>
        </w:rPr>
        <w:t xml:space="preserve">  Equation:</w:t>
      </w:r>
    </w:p>
    <w:p>
      <w:pPr>
        <w:spacing w:before="20" w:after="20"/>
        <w:ind w:left="283"/>
      </w:pPr>
      <w:r>
        <w:rPr>
          <w:rFonts w:ascii="Courier New" w:hAnsi="Courier New"/>
          <w:color w:val="1A1A6E"/>
          <w:sz w:val="17"/>
        </w:rPr>
        <w:t>Cr ↑ ∝ DM  (edge weight +0.63)</w:t>
        <w:br/>
        <w:t>Mediated via: Cr↑ because eGFR↓ from diabetic nephropathy</w:t>
      </w:r>
    </w:p>
    <w:tbl>
      <w:tblPr>
        <w:tblStyle w:val="TableGrid"/>
        <w:tblW w:type="auto" w:w="0"/>
        <w:tblLook w:firstColumn="1" w:firstRow="1" w:lastColumn="0" w:lastRow="0" w:noHBand="0" w:noVBand="1" w:val="04A0"/>
      </w:tblPr>
      <w:tblGrid>
        <w:gridCol w:w="3249"/>
        <w:gridCol w:w="3249"/>
        <w:gridCol w:w="3249"/>
      </w:tblGrid>
      <w:tr>
        <w:tc>
          <w:tcPr>
            <w:tcW w:type="dxa" w:w="2551"/>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Coefficient</w:t>
              <w:br/>
            </w:r>
            <w:r>
              <w:rPr>
                <w:color w:val="444444"/>
                <w:sz w:val="18"/>
              </w:rPr>
              <w:t>+0.63 causal weight</w:t>
            </w:r>
          </w:p>
        </w:tc>
        <w:tc>
          <w:tcPr>
            <w:tcW w:type="dxa" w:w="1701"/>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Causal Type</w:t>
              <w:br/>
            </w:r>
            <w:r>
              <w:rPr>
                <w:color w:val="444444"/>
                <w:sz w:val="18"/>
              </w:rPr>
              <w:t>Positive</w:t>
            </w:r>
          </w:p>
        </w:tc>
        <w:tc>
          <w:tcPr>
            <w:tcW w:type="dxa" w:w="6803"/>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Medical Interpretation</w:t>
              <w:br/>
            </w:r>
            <w:r>
              <w:rPr>
                <w:color w:val="444444"/>
                <w:sz w:val="18"/>
              </w:rPr>
              <w:t>Diabetic nephropathy is the leading cause of dialysis worldwide. Progression: hyperfiltration (early) → proteinuria → mesangial expansion → glomerulosclerosis → ↑ creatinine. The +0.63 weight reflects the strong, well-established causal link.</w:t>
            </w:r>
          </w:p>
        </w:tc>
      </w:tr>
    </w:tbl>
    <w:p/>
    <w:p>
      <w:pPr>
        <w:spacing w:before="120" w:after="40"/>
      </w:pPr>
      <w:r>
        <w:rPr>
          <w:b/>
          <w:color w:val="1A3A5C"/>
          <w:sz w:val="22"/>
        </w:rPr>
        <w:t xml:space="preserve">  Literature Reference:</w:t>
      </w:r>
    </w:p>
    <w:tbl>
      <w:tblPr>
        <w:tblStyle w:val="TableGrid"/>
        <w:tblW w:type="auto" w:w="0"/>
        <w:tblLook w:firstColumn="1" w:firstRow="1" w:lastColumn="0" w:lastRow="0" w:noHBand="0" w:noVBand="1" w:val="04A0"/>
      </w:tblPr>
      <w:tblGrid>
        <w:gridCol w:w="4873"/>
        <w:gridCol w:w="4873"/>
      </w:tblGrid>
      <w:tr>
        <w:tc>
          <w:tcPr>
            <w:tcW w:type="dxa" w:w="850"/>
            <w:shd w:val="clear" w:color="auto" w:fill="FFF8E1"/>
            <w:tcBorders>
              <w:top w:val="single" w:sz="4" w:space="0" w:color="D4B896"/>
              <w:left w:val="single" w:sz="4" w:space="0" w:color="D4B896"/>
              <w:bottom w:val="single" w:sz="4" w:space="0" w:color="D4B896"/>
              <w:right w:val="single" w:sz="4" w:space="0" w:color="D4B896"/>
            </w:tcBorders>
          </w:tcPr>
          <w:p>
            <w:r>
              <w:rPr>
                <w:b/>
                <w:color w:val="1A3A5C"/>
                <w:sz w:val="20"/>
              </w:rPr>
              <w:t>R8</w:t>
            </w:r>
          </w:p>
        </w:tc>
        <w:tc>
          <w:tcPr>
            <w:tcW w:type="dxa" w:w="10205"/>
            <w:shd w:val="clear" w:color="auto" w:fill="FFF8E1"/>
            <w:tcBorders>
              <w:top w:val="single" w:sz="4" w:space="0" w:color="D4B896"/>
              <w:left w:val="single" w:sz="4" w:space="0" w:color="D4B896"/>
              <w:bottom w:val="single" w:sz="4" w:space="0" w:color="D4B896"/>
              <w:right w:val="single" w:sz="4" w:space="0" w:color="D4B896"/>
            </w:tcBorders>
          </w:tcPr>
          <w:p>
            <w:r>
              <w:rPr>
                <w:b/>
                <w:color w:val="924008"/>
                <w:sz w:val="18"/>
              </w:rPr>
              <w:t xml:space="preserve">Nelson JAMA 2019 — </w:t>
            </w:r>
            <w:r>
              <w:rPr>
                <w:color w:val="444444"/>
                <w:sz w:val="18"/>
              </w:rPr>
              <w:t>Nelson 2019 — DM→creatinine relationship established via the intermediate eGFR pathway.</w:t>
            </w:r>
          </w:p>
        </w:tc>
      </w:tr>
    </w:tbl>
    <w:p/>
    <w:p>
      <w:pPr>
        <w:spacing w:before="120" w:after="40"/>
      </w:pPr>
      <w:r>
        <w:rPr>
          <w:b/>
          <w:color w:val="1A3A5C"/>
          <w:sz w:val="22"/>
        </w:rPr>
        <w:t xml:space="preserve">  KEGG Pathways (molecular mechanism):</w:t>
      </w:r>
    </w:p>
    <w:tbl>
      <w:tblPr>
        <w:tblStyle w:val="TableGrid"/>
        <w:tblW w:type="auto" w:w="0"/>
        <w:tblLook w:firstColumn="1" w:firstRow="1" w:lastColumn="0" w:lastRow="0" w:noHBand="0" w:noVBand="1" w:val="04A0"/>
      </w:tblPr>
      <w:tblGrid>
        <w:gridCol w:w="3249"/>
        <w:gridCol w:w="3249"/>
        <w:gridCol w:w="3249"/>
      </w:tblGrid>
      <w:tr>
        <w:tc>
          <w:tcPr>
            <w:tcW w:type="dxa" w:w="1417"/>
            <w:shd w:val="clear" w:color="auto" w:fill="E6F4EA"/>
            <w:tcBorders>
              <w:top w:val="single" w:sz="4" w:space="0" w:color="8FC99A"/>
              <w:left w:val="single" w:sz="4" w:space="0" w:color="8FC99A"/>
              <w:bottom w:val="single" w:sz="4" w:space="0" w:color="8FC99A"/>
              <w:right w:val="single" w:sz="4" w:space="0" w:color="8FC99A"/>
            </w:tcBorders>
          </w:tcPr>
          <w:p>
            <w:r>
              <w:rPr>
                <w:rFonts w:ascii="Courier New" w:hAnsi="Courier New"/>
                <w:b/>
                <w:color w:val="14532D"/>
                <w:sz w:val="18"/>
              </w:rPr>
              <w:t>hsa04933</w:t>
            </w:r>
          </w:p>
        </w:tc>
        <w:tc>
          <w:tcPr>
            <w:tcW w:type="dxa" w:w="3118"/>
            <w:shd w:val="clear" w:color="auto" w:fill="E6F4EA"/>
            <w:tcBorders>
              <w:top w:val="single" w:sz="4" w:space="0" w:color="8FC99A"/>
              <w:left w:val="single" w:sz="4" w:space="0" w:color="8FC99A"/>
              <w:bottom w:val="single" w:sz="4" w:space="0" w:color="8FC99A"/>
              <w:right w:val="single" w:sz="4" w:space="0" w:color="8FC99A"/>
            </w:tcBorders>
          </w:tcPr>
          <w:p>
            <w:r>
              <w:rPr>
                <w:b/>
                <w:color w:val="14532D"/>
                <w:sz w:val="18"/>
              </w:rPr>
              <w:t>AGE-RAGE signaling in diabetic complications</w:t>
            </w:r>
          </w:p>
        </w:tc>
        <w:tc>
          <w:tcPr>
            <w:tcW w:type="dxa" w:w="6520"/>
            <w:shd w:val="clear" w:color="auto" w:fill="E6F4EA"/>
            <w:tcBorders>
              <w:top w:val="single" w:sz="4" w:space="0" w:color="8FC99A"/>
              <w:left w:val="single" w:sz="4" w:space="0" w:color="8FC99A"/>
              <w:bottom w:val="single" w:sz="4" w:space="0" w:color="8FC99A"/>
              <w:right w:val="single" w:sz="4" w:space="0" w:color="8FC99A"/>
            </w:tcBorders>
          </w:tcPr>
          <w:p>
            <w:r>
              <w:rPr>
                <w:color w:val="444444"/>
                <w:sz w:val="18"/>
              </w:rPr>
              <w:t>AGE-RAGE → TGF-β secretion → glomerular basement membrane thickening → filtration failure → creatinine accumulation. The +0.63 weight measures the downstream effect of this cascade.</w:t>
            </w:r>
          </w:p>
        </w:tc>
      </w:tr>
      <w:tr>
        <w:tc>
          <w:tcPr>
            <w:tcW w:type="dxa" w:w="1417"/>
            <w:shd w:val="clear" w:color="auto" w:fill="E6F4EA"/>
            <w:tcBorders>
              <w:top w:val="single" w:sz="4" w:space="0" w:color="8FC99A"/>
              <w:left w:val="single" w:sz="4" w:space="0" w:color="8FC99A"/>
              <w:bottom w:val="single" w:sz="4" w:space="0" w:color="8FC99A"/>
              <w:right w:val="single" w:sz="4" w:space="0" w:color="8FC99A"/>
            </w:tcBorders>
          </w:tcPr>
          <w:p>
            <w:r>
              <w:rPr>
                <w:rFonts w:ascii="Courier New" w:hAnsi="Courier New"/>
                <w:b/>
                <w:color w:val="14532D"/>
                <w:sz w:val="18"/>
              </w:rPr>
              <w:t>hsa04066</w:t>
            </w:r>
          </w:p>
        </w:tc>
        <w:tc>
          <w:tcPr>
            <w:tcW w:type="dxa" w:w="3118"/>
            <w:shd w:val="clear" w:color="auto" w:fill="E6F4EA"/>
            <w:tcBorders>
              <w:top w:val="single" w:sz="4" w:space="0" w:color="8FC99A"/>
              <w:left w:val="single" w:sz="4" w:space="0" w:color="8FC99A"/>
              <w:bottom w:val="single" w:sz="4" w:space="0" w:color="8FC99A"/>
              <w:right w:val="single" w:sz="4" w:space="0" w:color="8FC99A"/>
            </w:tcBorders>
          </w:tcPr>
          <w:p>
            <w:r>
              <w:rPr>
                <w:b/>
                <w:color w:val="14532D"/>
                <w:sz w:val="18"/>
              </w:rPr>
              <w:t>HIF-1 signaling pathway (renal hypoxia)</w:t>
            </w:r>
          </w:p>
        </w:tc>
        <w:tc>
          <w:tcPr>
            <w:tcW w:type="dxa" w:w="6520"/>
            <w:shd w:val="clear" w:color="auto" w:fill="E6F4EA"/>
            <w:tcBorders>
              <w:top w:val="single" w:sz="4" w:space="0" w:color="8FC99A"/>
              <w:left w:val="single" w:sz="4" w:space="0" w:color="8FC99A"/>
              <w:bottom w:val="single" w:sz="4" w:space="0" w:color="8FC99A"/>
              <w:right w:val="single" w:sz="4" w:space="0" w:color="8FC99A"/>
            </w:tcBorders>
          </w:tcPr>
          <w:p>
            <w:r>
              <w:rPr>
                <w:color w:val="444444"/>
                <w:sz w:val="18"/>
              </w:rPr>
              <w:t>Hyperglycaemia causes intraglomerular hypertension → local hypoxia → HIF-1 activation → pro-fibrotic gene expression → progressive nephron loss and creatinine rise.</w:t>
            </w:r>
          </w:p>
        </w:tc>
      </w:tr>
    </w:tbl>
    <w:p/>
    <w:p>
      <w:pPr>
        <w:spacing w:before="120" w:after="40"/>
      </w:pPr>
      <w:r>
        <w:rPr>
          <w:b/>
          <w:color w:val="1A3A5C"/>
          <w:sz w:val="22"/>
        </w:rPr>
        <w:t xml:space="preserve">  GO Biological Processes:</w:t>
      </w:r>
    </w:p>
    <w:tbl>
      <w:tblPr>
        <w:tblStyle w:val="TableGrid"/>
        <w:tblW w:type="auto" w:w="0"/>
        <w:tblLook w:firstColumn="1" w:firstRow="1" w:lastColumn="0" w:lastRow="0" w:noHBand="0" w:noVBand="1" w:val="04A0"/>
      </w:tblPr>
      <w:tblGrid>
        <w:gridCol w:w="3249"/>
        <w:gridCol w:w="3249"/>
        <w:gridCol w:w="3249"/>
      </w:tblGrid>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GO:0006006</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Glucose metabolic process</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The metabolic driver — chronic hyperglycaemia initiates the entire cascade leading to the +0.63 Cr elevation.</w:t>
            </w:r>
          </w:p>
        </w:tc>
      </w:tr>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GO:0003094</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Glomerular filtration</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Declining filtration is what allows creatinine to accumulate — the mechanical link between the DM flag and the Cr rise.</w:t>
            </w:r>
          </w:p>
        </w:tc>
      </w:tr>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GO:0001822</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Kidney development</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Irreversible loss of glomerular structures is the structural substrate of the creatinine rise captured in the weight.</w:t>
            </w:r>
          </w:p>
        </w:tc>
      </w:tr>
    </w:tbl>
    <w:p>
      <w:pPr>
        <w:pBdr>
          <w:bottom w:val="single" w:sz="6" w:space="1" w:color="2B6CB0"/>
        </w:pBdr>
        <w:spacing w:before="40" w:after="40"/>
      </w:pPr>
    </w:p>
    <w:p>
      <w:pPr>
        <w:spacing w:before="200" w:after="40"/>
      </w:pPr>
      <w:r>
        <w:rPr>
          <w:b/>
          <w:color w:val="1A3A5C"/>
          <w:sz w:val="24"/>
        </w:rPr>
        <w:t xml:space="preserve">  ◆  DM → Hemoglobin</w:t>
      </w:r>
    </w:p>
    <w:p>
      <w:pPr>
        <w:spacing w:before="120" w:after="40"/>
      </w:pPr>
      <w:r>
        <w:rPr>
          <w:b/>
          <w:color w:val="1A3A5C"/>
          <w:sz w:val="22"/>
        </w:rPr>
        <w:t xml:space="preserve">  Equation:</w:t>
      </w:r>
    </w:p>
    <w:p>
      <w:pPr>
        <w:spacing w:before="20" w:after="20"/>
        <w:ind w:left="283"/>
      </w:pPr>
      <w:r>
        <w:rPr>
          <w:rFonts w:ascii="Courier New" w:hAnsi="Courier New"/>
          <w:color w:val="1A1A6E"/>
          <w:sz w:val="17"/>
        </w:rPr>
        <w:t>Hb_penalty = −0.55 g/dL per DM unit</w:t>
        <w:br/>
        <w:t>Combined model: Hb = 14.8 − 1.2 × max(0, Scr − 1) − 0.55 × DM_flag</w:t>
      </w:r>
    </w:p>
    <w:tbl>
      <w:tblPr>
        <w:tblStyle w:val="TableGrid"/>
        <w:tblW w:type="auto" w:w="0"/>
        <w:tblLook w:firstColumn="1" w:firstRow="1" w:lastColumn="0" w:lastRow="0" w:noHBand="0" w:noVBand="1" w:val="04A0"/>
      </w:tblPr>
      <w:tblGrid>
        <w:gridCol w:w="3249"/>
        <w:gridCol w:w="3249"/>
        <w:gridCol w:w="3249"/>
      </w:tblGrid>
      <w:tr>
        <w:tc>
          <w:tcPr>
            <w:tcW w:type="dxa" w:w="2551"/>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Coefficient</w:t>
              <w:br/>
            </w:r>
            <w:r>
              <w:rPr>
                <w:color w:val="444444"/>
                <w:sz w:val="18"/>
              </w:rPr>
              <w:t>−0.55 g/dL per DM unit</w:t>
            </w:r>
          </w:p>
        </w:tc>
        <w:tc>
          <w:tcPr>
            <w:tcW w:type="dxa" w:w="1701"/>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Causal Type</w:t>
              <w:br/>
            </w:r>
            <w:r>
              <w:rPr>
                <w:color w:val="444444"/>
                <w:sz w:val="18"/>
              </w:rPr>
              <w:t>Negative</w:t>
            </w:r>
          </w:p>
        </w:tc>
        <w:tc>
          <w:tcPr>
            <w:tcW w:type="dxa" w:w="6803"/>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Medical Interpretation</w:t>
              <w:br/>
            </w:r>
            <w:r>
              <w:rPr>
                <w:color w:val="444444"/>
                <w:sz w:val="18"/>
              </w:rPr>
              <w:t>DM causes anemia through three parallel mechanisms: (1) kidney damage → ↓ EPO; (2) chronic inflammation suppresses bone marrow; (3) functional iron deficiency from gut disease. The −0.55 coefficient captures this combined effect on Hb.</w:t>
            </w:r>
          </w:p>
        </w:tc>
      </w:tr>
    </w:tbl>
    <w:p/>
    <w:p>
      <w:pPr>
        <w:spacing w:before="120" w:after="40"/>
      </w:pPr>
      <w:r>
        <w:rPr>
          <w:b/>
          <w:color w:val="1A3A5C"/>
          <w:sz w:val="22"/>
        </w:rPr>
        <w:t xml:space="preserve">  Literature Reference:</w:t>
      </w:r>
    </w:p>
    <w:tbl>
      <w:tblPr>
        <w:tblStyle w:val="TableGrid"/>
        <w:tblW w:type="auto" w:w="0"/>
        <w:tblLook w:firstColumn="1" w:firstRow="1" w:lastColumn="0" w:lastRow="0" w:noHBand="0" w:noVBand="1" w:val="04A0"/>
      </w:tblPr>
      <w:tblGrid>
        <w:gridCol w:w="4873"/>
        <w:gridCol w:w="4873"/>
      </w:tblGrid>
      <w:tr>
        <w:tc>
          <w:tcPr>
            <w:tcW w:type="dxa" w:w="850"/>
            <w:shd w:val="clear" w:color="auto" w:fill="FFF8E1"/>
            <w:tcBorders>
              <w:top w:val="single" w:sz="4" w:space="0" w:color="D4B896"/>
              <w:left w:val="single" w:sz="4" w:space="0" w:color="D4B896"/>
              <w:bottom w:val="single" w:sz="4" w:space="0" w:color="D4B896"/>
              <w:right w:val="single" w:sz="4" w:space="0" w:color="D4B896"/>
            </w:tcBorders>
          </w:tcPr>
          <w:p>
            <w:r>
              <w:rPr>
                <w:b/>
                <w:color w:val="1A3A5C"/>
                <w:sz w:val="20"/>
              </w:rPr>
              <w:t>R8</w:t>
            </w:r>
          </w:p>
        </w:tc>
        <w:tc>
          <w:tcPr>
            <w:tcW w:type="dxa" w:w="10205"/>
            <w:shd w:val="clear" w:color="auto" w:fill="FFF8E1"/>
            <w:tcBorders>
              <w:top w:val="single" w:sz="4" w:space="0" w:color="D4B896"/>
              <w:left w:val="single" w:sz="4" w:space="0" w:color="D4B896"/>
              <w:bottom w:val="single" w:sz="4" w:space="0" w:color="D4B896"/>
              <w:right w:val="single" w:sz="4" w:space="0" w:color="D4B896"/>
            </w:tcBorders>
          </w:tcPr>
          <w:p>
            <w:r>
              <w:rPr>
                <w:b/>
                <w:color w:val="924008"/>
                <w:sz w:val="18"/>
              </w:rPr>
              <w:t xml:space="preserve">Nelson JAMA 2019 — </w:t>
            </w:r>
            <w:r>
              <w:rPr>
                <w:color w:val="444444"/>
                <w:sz w:val="18"/>
              </w:rPr>
              <w:t>Nelson 2019 — Hb was a predictor of eGFR in the model; the DM→Hb direction reflects the EPO-deficiency and inflammation pathways.</w:t>
            </w:r>
          </w:p>
        </w:tc>
      </w:tr>
    </w:tbl>
    <w:p/>
    <w:p>
      <w:pPr>
        <w:spacing w:before="120" w:after="40"/>
      </w:pPr>
      <w:r>
        <w:rPr>
          <w:b/>
          <w:color w:val="1A3A5C"/>
          <w:sz w:val="22"/>
        </w:rPr>
        <w:t xml:space="preserve">  KEGG Pathways (molecular mechanism):</w:t>
      </w:r>
    </w:p>
    <w:tbl>
      <w:tblPr>
        <w:tblStyle w:val="TableGrid"/>
        <w:tblW w:type="auto" w:w="0"/>
        <w:tblLook w:firstColumn="1" w:firstRow="1" w:lastColumn="0" w:lastRow="0" w:noHBand="0" w:noVBand="1" w:val="04A0"/>
      </w:tblPr>
      <w:tblGrid>
        <w:gridCol w:w="3249"/>
        <w:gridCol w:w="3249"/>
        <w:gridCol w:w="3249"/>
      </w:tblGrid>
      <w:tr>
        <w:tc>
          <w:tcPr>
            <w:tcW w:type="dxa" w:w="1417"/>
            <w:shd w:val="clear" w:color="auto" w:fill="E6F4EA"/>
            <w:tcBorders>
              <w:top w:val="single" w:sz="4" w:space="0" w:color="8FC99A"/>
              <w:left w:val="single" w:sz="4" w:space="0" w:color="8FC99A"/>
              <w:bottom w:val="single" w:sz="4" w:space="0" w:color="8FC99A"/>
              <w:right w:val="single" w:sz="4" w:space="0" w:color="8FC99A"/>
            </w:tcBorders>
          </w:tcPr>
          <w:p>
            <w:r>
              <w:rPr>
                <w:rFonts w:ascii="Courier New" w:hAnsi="Courier New"/>
                <w:b/>
                <w:color w:val="14532D"/>
                <w:sz w:val="18"/>
              </w:rPr>
              <w:t>hsa04066</w:t>
            </w:r>
          </w:p>
        </w:tc>
        <w:tc>
          <w:tcPr>
            <w:tcW w:type="dxa" w:w="3118"/>
            <w:shd w:val="clear" w:color="auto" w:fill="E6F4EA"/>
            <w:tcBorders>
              <w:top w:val="single" w:sz="4" w:space="0" w:color="8FC99A"/>
              <w:left w:val="single" w:sz="4" w:space="0" w:color="8FC99A"/>
              <w:bottom w:val="single" w:sz="4" w:space="0" w:color="8FC99A"/>
              <w:right w:val="single" w:sz="4" w:space="0" w:color="8FC99A"/>
            </w:tcBorders>
          </w:tcPr>
          <w:p>
            <w:r>
              <w:rPr>
                <w:b/>
                <w:color w:val="14532D"/>
                <w:sz w:val="18"/>
              </w:rPr>
              <w:t>HIF-1 signaling pathway (EPO regulation)</w:t>
            </w:r>
          </w:p>
        </w:tc>
        <w:tc>
          <w:tcPr>
            <w:tcW w:type="dxa" w:w="6520"/>
            <w:shd w:val="clear" w:color="auto" w:fill="E6F4EA"/>
            <w:tcBorders>
              <w:top w:val="single" w:sz="4" w:space="0" w:color="8FC99A"/>
              <w:left w:val="single" w:sz="4" w:space="0" w:color="8FC99A"/>
              <w:bottom w:val="single" w:sz="4" w:space="0" w:color="8FC99A"/>
              <w:right w:val="single" w:sz="4" w:space="0" w:color="8FC99A"/>
            </w:tcBorders>
          </w:tcPr>
          <w:p>
            <w:r>
              <w:rPr>
                <w:color w:val="444444"/>
                <w:sz w:val="18"/>
              </w:rPr>
              <w:t>Peritubular fibroblasts produce EPO under HIF-1 stimulation when oxygen is low. Diabetic kidney damage destroys these cells, eliminating EPO production — the molecular link for the −0.55 Hb penalty.</w:t>
            </w:r>
          </w:p>
        </w:tc>
      </w:tr>
      <w:tr>
        <w:tc>
          <w:tcPr>
            <w:tcW w:type="dxa" w:w="1417"/>
            <w:shd w:val="clear" w:color="auto" w:fill="E6F4EA"/>
            <w:tcBorders>
              <w:top w:val="single" w:sz="4" w:space="0" w:color="8FC99A"/>
              <w:left w:val="single" w:sz="4" w:space="0" w:color="8FC99A"/>
              <w:bottom w:val="single" w:sz="4" w:space="0" w:color="8FC99A"/>
              <w:right w:val="single" w:sz="4" w:space="0" w:color="8FC99A"/>
            </w:tcBorders>
          </w:tcPr>
          <w:p>
            <w:r>
              <w:rPr>
                <w:rFonts w:ascii="Courier New" w:hAnsi="Courier New"/>
                <w:b/>
                <w:color w:val="14532D"/>
                <w:sz w:val="18"/>
              </w:rPr>
              <w:t>hsa04630</w:t>
            </w:r>
          </w:p>
        </w:tc>
        <w:tc>
          <w:tcPr>
            <w:tcW w:type="dxa" w:w="3118"/>
            <w:shd w:val="clear" w:color="auto" w:fill="E6F4EA"/>
            <w:tcBorders>
              <w:top w:val="single" w:sz="4" w:space="0" w:color="8FC99A"/>
              <w:left w:val="single" w:sz="4" w:space="0" w:color="8FC99A"/>
              <w:bottom w:val="single" w:sz="4" w:space="0" w:color="8FC99A"/>
              <w:right w:val="single" w:sz="4" w:space="0" w:color="8FC99A"/>
            </w:tcBorders>
          </w:tcPr>
          <w:p>
            <w:r>
              <w:rPr>
                <w:b/>
                <w:color w:val="14532D"/>
                <w:sz w:val="18"/>
              </w:rPr>
              <w:t>JAK-STAT signaling (EPO receptor)</w:t>
            </w:r>
          </w:p>
        </w:tc>
        <w:tc>
          <w:tcPr>
            <w:tcW w:type="dxa" w:w="6520"/>
            <w:shd w:val="clear" w:color="auto" w:fill="E6F4EA"/>
            <w:tcBorders>
              <w:top w:val="single" w:sz="4" w:space="0" w:color="8FC99A"/>
              <w:left w:val="single" w:sz="4" w:space="0" w:color="8FC99A"/>
              <w:bottom w:val="single" w:sz="4" w:space="0" w:color="8FC99A"/>
              <w:right w:val="single" w:sz="4" w:space="0" w:color="8FC99A"/>
            </w:tcBorders>
          </w:tcPr>
          <w:p>
            <w:r>
              <w:rPr>
                <w:color w:val="444444"/>
                <w:sz w:val="18"/>
              </w:rPr>
              <w:t>Even residual EPO binds its receptor via JAK-STAT; chronic inflammation in DM desensitises this pathway, blunting the bone marrow response and worsening anemia beyond EPO deficiency alone.</w:t>
            </w:r>
          </w:p>
        </w:tc>
      </w:tr>
      <w:tr>
        <w:tc>
          <w:tcPr>
            <w:tcW w:type="dxa" w:w="1417"/>
            <w:shd w:val="clear" w:color="auto" w:fill="E6F4EA"/>
            <w:tcBorders>
              <w:top w:val="single" w:sz="4" w:space="0" w:color="8FC99A"/>
              <w:left w:val="single" w:sz="4" w:space="0" w:color="8FC99A"/>
              <w:bottom w:val="single" w:sz="4" w:space="0" w:color="8FC99A"/>
              <w:right w:val="single" w:sz="4" w:space="0" w:color="8FC99A"/>
            </w:tcBorders>
          </w:tcPr>
          <w:p>
            <w:r>
              <w:rPr>
                <w:rFonts w:ascii="Courier New" w:hAnsi="Courier New"/>
                <w:b/>
                <w:color w:val="14532D"/>
                <w:sz w:val="18"/>
              </w:rPr>
              <w:t>hsa04933</w:t>
            </w:r>
          </w:p>
        </w:tc>
        <w:tc>
          <w:tcPr>
            <w:tcW w:type="dxa" w:w="3118"/>
            <w:shd w:val="clear" w:color="auto" w:fill="E6F4EA"/>
            <w:tcBorders>
              <w:top w:val="single" w:sz="4" w:space="0" w:color="8FC99A"/>
              <w:left w:val="single" w:sz="4" w:space="0" w:color="8FC99A"/>
              <w:bottom w:val="single" w:sz="4" w:space="0" w:color="8FC99A"/>
              <w:right w:val="single" w:sz="4" w:space="0" w:color="8FC99A"/>
            </w:tcBorders>
          </w:tcPr>
          <w:p>
            <w:r>
              <w:rPr>
                <w:b/>
                <w:color w:val="14532D"/>
                <w:sz w:val="18"/>
              </w:rPr>
              <w:t>AGE-RAGE signaling in diabetic complications</w:t>
            </w:r>
          </w:p>
        </w:tc>
        <w:tc>
          <w:tcPr>
            <w:tcW w:type="dxa" w:w="6520"/>
            <w:shd w:val="clear" w:color="auto" w:fill="E6F4EA"/>
            <w:tcBorders>
              <w:top w:val="single" w:sz="4" w:space="0" w:color="8FC99A"/>
              <w:left w:val="single" w:sz="4" w:space="0" w:color="8FC99A"/>
              <w:bottom w:val="single" w:sz="4" w:space="0" w:color="8FC99A"/>
              <w:right w:val="single" w:sz="4" w:space="0" w:color="8FC99A"/>
            </w:tcBorders>
          </w:tcPr>
          <w:p>
            <w:r>
              <w:rPr>
                <w:color w:val="444444"/>
                <w:sz w:val="18"/>
              </w:rPr>
              <w:t>Systemic AGE-RAGE activation drives the chronic inflammatory state that suppresses erythropoiesis — a direct molecular link from hyperglycaemia to the Hb penalty.</w:t>
            </w:r>
          </w:p>
        </w:tc>
      </w:tr>
    </w:tbl>
    <w:p/>
    <w:p>
      <w:pPr>
        <w:spacing w:before="120" w:after="40"/>
      </w:pPr>
      <w:r>
        <w:rPr>
          <w:b/>
          <w:color w:val="1A3A5C"/>
          <w:sz w:val="22"/>
        </w:rPr>
        <w:t xml:space="preserve">  GO Biological Processes:</w:t>
      </w:r>
    </w:p>
    <w:tbl>
      <w:tblPr>
        <w:tblStyle w:val="TableGrid"/>
        <w:tblW w:type="auto" w:w="0"/>
        <w:tblLook w:firstColumn="1" w:firstRow="1" w:lastColumn="0" w:lastRow="0" w:noHBand="0" w:noVBand="1" w:val="04A0"/>
      </w:tblPr>
      <w:tblGrid>
        <w:gridCol w:w="3249"/>
        <w:gridCol w:w="3249"/>
        <w:gridCol w:w="3249"/>
      </w:tblGrid>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GO:0030218</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Erythrocyte differentiation</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The biological process suppressed by both ↓ EPO and chronic inflammation — the −0.55 penalty captures how DM reduces this process.</w:t>
            </w:r>
          </w:p>
        </w:tc>
      </w:tr>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GO:0046879</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Hormone secretion (EPO)</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EPO secretion by peritubular fibroblasts is the hormone function destroyed by DM nephropathy — directly causal for the Hb decline.</w:t>
            </w:r>
          </w:p>
        </w:tc>
      </w:tr>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GO:0006006</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Glucose metabolic process</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Chronic hyperglycaemia is the upstream driver that initiates kidney damage → EPO loss → anemia cascade.</w:t>
            </w:r>
          </w:p>
        </w:tc>
      </w:tr>
    </w:tbl>
    <w:p>
      <w:pPr>
        <w:pBdr>
          <w:bottom w:val="single" w:sz="6" w:space="1" w:color="2B6CB0"/>
        </w:pBdr>
        <w:spacing w:before="40" w:after="40"/>
      </w:pPr>
    </w:p>
    <w:p>
      <w:pPr>
        <w:spacing w:before="200" w:after="40"/>
      </w:pPr>
      <w:r>
        <w:rPr>
          <w:b/>
          <w:color w:val="1A3A5C"/>
          <w:sz w:val="24"/>
        </w:rPr>
        <w:t xml:space="preserve">  ◆  DM → HTN</w:t>
      </w:r>
    </w:p>
    <w:p>
      <w:pPr>
        <w:spacing w:before="120" w:after="40"/>
      </w:pPr>
      <w:r>
        <w:rPr>
          <w:b/>
          <w:color w:val="1A3A5C"/>
          <w:sz w:val="22"/>
        </w:rPr>
        <w:t xml:space="preserve">  Equation:</w:t>
      </w:r>
    </w:p>
    <w:p>
      <w:pPr>
        <w:spacing w:before="20" w:after="20"/>
        <w:ind w:left="283"/>
      </w:pPr>
      <w:r>
        <w:rPr>
          <w:rFonts w:ascii="Courier New" w:hAnsi="Courier New"/>
          <w:color w:val="1A1A6E"/>
          <w:sz w:val="17"/>
        </w:rPr>
        <w:t>P(HTN) ↑ ∝ DM  (edge weight +0.52, primary causal direction)</w:t>
      </w:r>
    </w:p>
    <w:tbl>
      <w:tblPr>
        <w:tblStyle w:val="TableGrid"/>
        <w:tblW w:type="auto" w:w="0"/>
        <w:tblLook w:firstColumn="1" w:firstRow="1" w:lastColumn="0" w:lastRow="0" w:noHBand="0" w:noVBand="1" w:val="04A0"/>
      </w:tblPr>
      <w:tblGrid>
        <w:gridCol w:w="3249"/>
        <w:gridCol w:w="3249"/>
        <w:gridCol w:w="3249"/>
      </w:tblGrid>
      <w:tr>
        <w:tc>
          <w:tcPr>
            <w:tcW w:type="dxa" w:w="2551"/>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Coefficient</w:t>
              <w:br/>
            </w:r>
            <w:r>
              <w:rPr>
                <w:color w:val="444444"/>
                <w:sz w:val="18"/>
              </w:rPr>
              <w:t>+0.52 causal weight (Mendelian randomization confirmed)</w:t>
            </w:r>
          </w:p>
        </w:tc>
        <w:tc>
          <w:tcPr>
            <w:tcW w:type="dxa" w:w="1701"/>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Causal Type</w:t>
              <w:br/>
            </w:r>
            <w:r>
              <w:rPr>
                <w:color w:val="444444"/>
                <w:sz w:val="18"/>
              </w:rPr>
              <w:t>Positive (causal)</w:t>
            </w:r>
          </w:p>
        </w:tc>
        <w:tc>
          <w:tcPr>
            <w:tcW w:type="dxa" w:w="6803"/>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Medical Interpretation</w:t>
              <w:br/>
            </w:r>
            <w:r>
              <w:rPr>
                <w:color w:val="444444"/>
                <w:sz w:val="18"/>
              </w:rPr>
              <w:t>DM causes HTN through endothelial dysfunction (impaired NO production) and RAAS upregulation. The bidirectional association exists but DM→HTN is the primary causal direction, confirmed by Mendelian randomization.</w:t>
            </w:r>
          </w:p>
        </w:tc>
      </w:tr>
    </w:tbl>
    <w:p/>
    <w:p>
      <w:pPr>
        <w:spacing w:before="120" w:after="40"/>
      </w:pPr>
      <w:r>
        <w:rPr>
          <w:b/>
          <w:color w:val="1A3A5C"/>
          <w:sz w:val="22"/>
        </w:rPr>
        <w:t xml:space="preserve">  Literature Reference:</w:t>
      </w:r>
    </w:p>
    <w:tbl>
      <w:tblPr>
        <w:tblStyle w:val="TableGrid"/>
        <w:tblW w:type="auto" w:w="0"/>
        <w:tblLook w:firstColumn="1" w:firstRow="1" w:lastColumn="0" w:lastRow="0" w:noHBand="0" w:noVBand="1" w:val="04A0"/>
      </w:tblPr>
      <w:tblGrid>
        <w:gridCol w:w="4873"/>
        <w:gridCol w:w="4873"/>
      </w:tblGrid>
      <w:tr>
        <w:tc>
          <w:tcPr>
            <w:tcW w:type="dxa" w:w="850"/>
            <w:shd w:val="clear" w:color="auto" w:fill="FFF8E1"/>
            <w:tcBorders>
              <w:top w:val="single" w:sz="4" w:space="0" w:color="D4B896"/>
              <w:left w:val="single" w:sz="4" w:space="0" w:color="D4B896"/>
              <w:bottom w:val="single" w:sz="4" w:space="0" w:color="D4B896"/>
              <w:right w:val="single" w:sz="4" w:space="0" w:color="D4B896"/>
            </w:tcBorders>
          </w:tcPr>
          <w:p>
            <w:r>
              <w:rPr>
                <w:b/>
                <w:color w:val="1A3A5C"/>
                <w:sz w:val="20"/>
              </w:rPr>
              <w:t>R9</w:t>
            </w:r>
          </w:p>
        </w:tc>
        <w:tc>
          <w:tcPr>
            <w:tcW w:type="dxa" w:w="10205"/>
            <w:shd w:val="clear" w:color="auto" w:fill="FFF8E1"/>
            <w:tcBorders>
              <w:top w:val="single" w:sz="4" w:space="0" w:color="D4B896"/>
              <w:left w:val="single" w:sz="4" w:space="0" w:color="D4B896"/>
              <w:bottom w:val="single" w:sz="4" w:space="0" w:color="D4B896"/>
              <w:right w:val="single" w:sz="4" w:space="0" w:color="D4B896"/>
            </w:tcBorders>
          </w:tcPr>
          <w:p>
            <w:r>
              <w:rPr>
                <w:b/>
                <w:color w:val="924008"/>
                <w:sz w:val="18"/>
              </w:rPr>
              <w:t xml:space="preserve">Sun Circ Res 2019 — </w:t>
            </w:r>
            <w:r>
              <w:rPr>
                <w:color w:val="444444"/>
                <w:sz w:val="18"/>
              </w:rPr>
              <w:t>Sun 2019 (Circ Res) — Mendelian randomization using genetic instruments to establish causal direction; DM→HTN confirmed as primary.</w:t>
            </w:r>
          </w:p>
        </w:tc>
      </w:tr>
    </w:tbl>
    <w:p/>
    <w:p>
      <w:pPr>
        <w:spacing w:before="120" w:after="40"/>
      </w:pPr>
      <w:r>
        <w:rPr>
          <w:b/>
          <w:color w:val="1A3A5C"/>
          <w:sz w:val="22"/>
        </w:rPr>
        <w:t xml:space="preserve">  KEGG Pathways (molecular mechanism):</w:t>
      </w:r>
    </w:p>
    <w:tbl>
      <w:tblPr>
        <w:tblStyle w:val="TableGrid"/>
        <w:tblW w:type="auto" w:w="0"/>
        <w:tblLook w:firstColumn="1" w:firstRow="1" w:lastColumn="0" w:lastRow="0" w:noHBand="0" w:noVBand="1" w:val="04A0"/>
      </w:tblPr>
      <w:tblGrid>
        <w:gridCol w:w="3249"/>
        <w:gridCol w:w="3249"/>
        <w:gridCol w:w="3249"/>
      </w:tblGrid>
      <w:tr>
        <w:tc>
          <w:tcPr>
            <w:tcW w:type="dxa" w:w="1417"/>
            <w:shd w:val="clear" w:color="auto" w:fill="E6F4EA"/>
            <w:tcBorders>
              <w:top w:val="single" w:sz="4" w:space="0" w:color="8FC99A"/>
              <w:left w:val="single" w:sz="4" w:space="0" w:color="8FC99A"/>
              <w:bottom w:val="single" w:sz="4" w:space="0" w:color="8FC99A"/>
              <w:right w:val="single" w:sz="4" w:space="0" w:color="8FC99A"/>
            </w:tcBorders>
          </w:tcPr>
          <w:p>
            <w:r>
              <w:rPr>
                <w:rFonts w:ascii="Courier New" w:hAnsi="Courier New"/>
                <w:b/>
                <w:color w:val="14532D"/>
                <w:sz w:val="18"/>
              </w:rPr>
              <w:t>hsa04614</w:t>
            </w:r>
          </w:p>
        </w:tc>
        <w:tc>
          <w:tcPr>
            <w:tcW w:type="dxa" w:w="3118"/>
            <w:shd w:val="clear" w:color="auto" w:fill="E6F4EA"/>
            <w:tcBorders>
              <w:top w:val="single" w:sz="4" w:space="0" w:color="8FC99A"/>
              <w:left w:val="single" w:sz="4" w:space="0" w:color="8FC99A"/>
              <w:bottom w:val="single" w:sz="4" w:space="0" w:color="8FC99A"/>
              <w:right w:val="single" w:sz="4" w:space="0" w:color="8FC99A"/>
            </w:tcBorders>
          </w:tcPr>
          <w:p>
            <w:r>
              <w:rPr>
                <w:b/>
                <w:color w:val="14532D"/>
                <w:sz w:val="18"/>
              </w:rPr>
              <w:t>Renin–angiotensin system</w:t>
            </w:r>
          </w:p>
        </w:tc>
        <w:tc>
          <w:tcPr>
            <w:tcW w:type="dxa" w:w="6520"/>
            <w:shd w:val="clear" w:color="auto" w:fill="E6F4EA"/>
            <w:tcBorders>
              <w:top w:val="single" w:sz="4" w:space="0" w:color="8FC99A"/>
              <w:left w:val="single" w:sz="4" w:space="0" w:color="8FC99A"/>
              <w:bottom w:val="single" w:sz="4" w:space="0" w:color="8FC99A"/>
              <w:right w:val="single" w:sz="4" w:space="0" w:color="8FC99A"/>
            </w:tcBorders>
          </w:tcPr>
          <w:p>
            <w:r>
              <w:rPr>
                <w:color w:val="444444"/>
                <w:sz w:val="18"/>
              </w:rPr>
              <w:t>Hyperglycaemia activates RAAS both systemically and in the kidney → angiotensin II causes vasoconstriction + Na⁺ retention → HTN. This KEGG pathway is the molecular mechanism behind the +0.52 causal weight.</w:t>
            </w:r>
          </w:p>
        </w:tc>
      </w:tr>
      <w:tr>
        <w:tc>
          <w:tcPr>
            <w:tcW w:type="dxa" w:w="1417"/>
            <w:shd w:val="clear" w:color="auto" w:fill="E6F4EA"/>
            <w:tcBorders>
              <w:top w:val="single" w:sz="4" w:space="0" w:color="8FC99A"/>
              <w:left w:val="single" w:sz="4" w:space="0" w:color="8FC99A"/>
              <w:bottom w:val="single" w:sz="4" w:space="0" w:color="8FC99A"/>
              <w:right w:val="single" w:sz="4" w:space="0" w:color="8FC99A"/>
            </w:tcBorders>
          </w:tcPr>
          <w:p>
            <w:r>
              <w:rPr>
                <w:rFonts w:ascii="Courier New" w:hAnsi="Courier New"/>
                <w:b/>
                <w:color w:val="14532D"/>
                <w:sz w:val="18"/>
              </w:rPr>
              <w:t>hsa04910</w:t>
            </w:r>
          </w:p>
        </w:tc>
        <w:tc>
          <w:tcPr>
            <w:tcW w:type="dxa" w:w="3118"/>
            <w:shd w:val="clear" w:color="auto" w:fill="E6F4EA"/>
            <w:tcBorders>
              <w:top w:val="single" w:sz="4" w:space="0" w:color="8FC99A"/>
              <w:left w:val="single" w:sz="4" w:space="0" w:color="8FC99A"/>
              <w:bottom w:val="single" w:sz="4" w:space="0" w:color="8FC99A"/>
              <w:right w:val="single" w:sz="4" w:space="0" w:color="8FC99A"/>
            </w:tcBorders>
          </w:tcPr>
          <w:p>
            <w:r>
              <w:rPr>
                <w:b/>
                <w:color w:val="14532D"/>
                <w:sz w:val="18"/>
              </w:rPr>
              <w:t>Insulin signaling pathway</w:t>
            </w:r>
          </w:p>
        </w:tc>
        <w:tc>
          <w:tcPr>
            <w:tcW w:type="dxa" w:w="6520"/>
            <w:shd w:val="clear" w:color="auto" w:fill="E6F4EA"/>
            <w:tcBorders>
              <w:top w:val="single" w:sz="4" w:space="0" w:color="8FC99A"/>
              <w:left w:val="single" w:sz="4" w:space="0" w:color="8FC99A"/>
              <w:bottom w:val="single" w:sz="4" w:space="0" w:color="8FC99A"/>
              <w:right w:val="single" w:sz="4" w:space="0" w:color="8FC99A"/>
            </w:tcBorders>
          </w:tcPr>
          <w:p>
            <w:r>
              <w:rPr>
                <w:color w:val="444444"/>
                <w:sz w:val="18"/>
              </w:rPr>
              <w:t>Insulin resistance causes compensatory hyperinsulinaemia, which stimulates renal Na⁺ reabsorption and activates the sympathetic nervous system — both raise BP.</w:t>
            </w:r>
          </w:p>
        </w:tc>
      </w:tr>
      <w:tr>
        <w:tc>
          <w:tcPr>
            <w:tcW w:type="dxa" w:w="1417"/>
            <w:shd w:val="clear" w:color="auto" w:fill="E6F4EA"/>
            <w:tcBorders>
              <w:top w:val="single" w:sz="4" w:space="0" w:color="8FC99A"/>
              <w:left w:val="single" w:sz="4" w:space="0" w:color="8FC99A"/>
              <w:bottom w:val="single" w:sz="4" w:space="0" w:color="8FC99A"/>
              <w:right w:val="single" w:sz="4" w:space="0" w:color="8FC99A"/>
            </w:tcBorders>
          </w:tcPr>
          <w:p>
            <w:r>
              <w:rPr>
                <w:rFonts w:ascii="Courier New" w:hAnsi="Courier New"/>
                <w:b/>
                <w:color w:val="14532D"/>
                <w:sz w:val="18"/>
              </w:rPr>
              <w:t>hsa04933</w:t>
            </w:r>
          </w:p>
        </w:tc>
        <w:tc>
          <w:tcPr>
            <w:tcW w:type="dxa" w:w="3118"/>
            <w:shd w:val="clear" w:color="auto" w:fill="E6F4EA"/>
            <w:tcBorders>
              <w:top w:val="single" w:sz="4" w:space="0" w:color="8FC99A"/>
              <w:left w:val="single" w:sz="4" w:space="0" w:color="8FC99A"/>
              <w:bottom w:val="single" w:sz="4" w:space="0" w:color="8FC99A"/>
              <w:right w:val="single" w:sz="4" w:space="0" w:color="8FC99A"/>
            </w:tcBorders>
          </w:tcPr>
          <w:p>
            <w:r>
              <w:rPr>
                <w:b/>
                <w:color w:val="14532D"/>
                <w:sz w:val="18"/>
              </w:rPr>
              <w:t>AGE-RAGE signaling</w:t>
            </w:r>
          </w:p>
        </w:tc>
        <w:tc>
          <w:tcPr>
            <w:tcW w:type="dxa" w:w="6520"/>
            <w:shd w:val="clear" w:color="auto" w:fill="E6F4EA"/>
            <w:tcBorders>
              <w:top w:val="single" w:sz="4" w:space="0" w:color="8FC99A"/>
              <w:left w:val="single" w:sz="4" w:space="0" w:color="8FC99A"/>
              <w:bottom w:val="single" w:sz="4" w:space="0" w:color="8FC99A"/>
              <w:right w:val="single" w:sz="4" w:space="0" w:color="8FC99A"/>
            </w:tcBorders>
          </w:tcPr>
          <w:p>
            <w:r>
              <w:rPr>
                <w:color w:val="444444"/>
                <w:sz w:val="18"/>
              </w:rPr>
              <w:t>AGE-RAGE drives endothelial dysfunction (↓ NO) in diabetics, removing the primary vasodilatory mechanism and allowing BP to rise.</w:t>
            </w:r>
          </w:p>
        </w:tc>
      </w:tr>
    </w:tbl>
    <w:p/>
    <w:p>
      <w:pPr>
        <w:spacing w:before="120" w:after="40"/>
      </w:pPr>
      <w:r>
        <w:rPr>
          <w:b/>
          <w:color w:val="1A3A5C"/>
          <w:sz w:val="22"/>
        </w:rPr>
        <w:t xml:space="preserve">  GO Biological Processes:</w:t>
      </w:r>
    </w:p>
    <w:tbl>
      <w:tblPr>
        <w:tblStyle w:val="TableGrid"/>
        <w:tblW w:type="auto" w:w="0"/>
        <w:tblLook w:firstColumn="1" w:firstRow="1" w:lastColumn="0" w:lastRow="0" w:noHBand="0" w:noVBand="1" w:val="04A0"/>
      </w:tblPr>
      <w:tblGrid>
        <w:gridCol w:w="3249"/>
        <w:gridCol w:w="3249"/>
        <w:gridCol w:w="3249"/>
      </w:tblGrid>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GO:0032869</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Cellular response to insulin stimulus</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Impaired insulin signaling in endothelial cells reduces NO synthesis — directly linking DM to the HTN causal effect captured by +0.52.</w:t>
            </w:r>
          </w:p>
        </w:tc>
      </w:tr>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GO:0008217</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Regulation of blood pressure</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The target biological process — DM disrupts the feedback mechanisms that normally keep BP in range.</w:t>
            </w:r>
          </w:p>
        </w:tc>
      </w:tr>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GO:0006006</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Glucose metabolic process</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Hyperglycaemia is the metabolic driver that activates RAAS and reduces NO — the upstream cause of the +0.52 edge weight.</w:t>
            </w:r>
          </w:p>
        </w:tc>
      </w:tr>
    </w:tbl>
    <w:p>
      <w:pPr>
        <w:pBdr>
          <w:bottom w:val="single" w:sz="6" w:space="1" w:color="2B6CB0"/>
        </w:pBdr>
        <w:spacing w:before="40" w:after="40"/>
      </w:pPr>
    </w:p>
    <w:p>
      <w:pPr>
        <w:spacing w:before="200" w:after="60"/>
      </w:pPr>
      <w:r>
        <w:rPr>
          <w:b/>
          <w:color w:val="2B6CB0"/>
          <w:sz w:val="26"/>
        </w:rPr>
        <w:t xml:space="preserve">  Hypertension Relationships</w:t>
      </w:r>
    </w:p>
    <w:p/>
    <w:p>
      <w:pPr>
        <w:spacing w:before="200" w:after="40"/>
      </w:pPr>
      <w:r>
        <w:rPr>
          <w:b/>
          <w:color w:val="1A3A5C"/>
          <w:sz w:val="24"/>
        </w:rPr>
        <w:t xml:space="preserve">  ◆  HTN → eGFR</w:t>
      </w:r>
    </w:p>
    <w:p>
      <w:pPr>
        <w:spacing w:before="120" w:after="40"/>
      </w:pPr>
      <w:r>
        <w:rPr>
          <w:b/>
          <w:color w:val="1A3A5C"/>
          <w:sz w:val="22"/>
        </w:rPr>
        <w:t xml:space="preserve">  Equation:</w:t>
      </w:r>
    </w:p>
    <w:p>
      <w:pPr>
        <w:spacing w:before="20" w:after="20"/>
        <w:ind w:left="283"/>
      </w:pPr>
      <w:r>
        <w:rPr>
          <w:rFonts w:ascii="Courier New" w:hAnsi="Courier New"/>
          <w:color w:val="1A1A6E"/>
          <w:sz w:val="17"/>
        </w:rPr>
        <w:t>eGFR ↓ = −5.50 × HTN_flag</w:t>
        <w:br/>
        <w:t xml:space="preserve">          − 0.02 × (Age × HTN_flag)   [worsens with age]</w:t>
      </w:r>
    </w:p>
    <w:tbl>
      <w:tblPr>
        <w:tblStyle w:val="TableGrid"/>
        <w:tblW w:type="auto" w:w="0"/>
        <w:tblLook w:firstColumn="1" w:firstRow="1" w:lastColumn="0" w:lastRow="0" w:noHBand="0" w:noVBand="1" w:val="04A0"/>
      </w:tblPr>
      <w:tblGrid>
        <w:gridCol w:w="3249"/>
        <w:gridCol w:w="3249"/>
        <w:gridCol w:w="3249"/>
      </w:tblGrid>
      <w:tr>
        <w:tc>
          <w:tcPr>
            <w:tcW w:type="dxa" w:w="2551"/>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Coefficient</w:t>
              <w:br/>
            </w:r>
            <w:r>
              <w:rPr>
                <w:color w:val="444444"/>
                <w:sz w:val="18"/>
              </w:rPr>
              <w:t>−5.5 units (HTN alone); age×HTN interaction −0.02/yr</w:t>
            </w:r>
          </w:p>
        </w:tc>
        <w:tc>
          <w:tcPr>
            <w:tcW w:type="dxa" w:w="1701"/>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Causal Type</w:t>
              <w:br/>
            </w:r>
            <w:r>
              <w:rPr>
                <w:color w:val="444444"/>
                <w:sz w:val="18"/>
              </w:rPr>
              <w:t>Negative</w:t>
            </w:r>
          </w:p>
        </w:tc>
        <w:tc>
          <w:tcPr>
            <w:tcW w:type="dxa" w:w="6803"/>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Medical Interpretation</w:t>
              <w:br/>
            </w:r>
            <w:r>
              <w:rPr>
                <w:color w:val="444444"/>
                <w:sz w:val="18"/>
              </w:rPr>
              <w:t>HTN reduces eGFR by 5.5 units. Crucially, the age×HTN interaction means that in a 70-year-old the combined penalty is −5.5 + (70 × 0.02) = −6.9 units. Older hypertensives have disproportionately worse outcomes.</w:t>
            </w:r>
          </w:p>
        </w:tc>
      </w:tr>
    </w:tbl>
    <w:p/>
    <w:p>
      <w:pPr>
        <w:spacing w:before="120" w:after="40"/>
      </w:pPr>
      <w:r>
        <w:rPr>
          <w:b/>
          <w:color w:val="1A3A5C"/>
          <w:sz w:val="22"/>
        </w:rPr>
        <w:t xml:space="preserve">  Literature Reference:</w:t>
      </w:r>
    </w:p>
    <w:tbl>
      <w:tblPr>
        <w:tblStyle w:val="TableGrid"/>
        <w:tblW w:type="auto" w:w="0"/>
        <w:tblLook w:firstColumn="1" w:firstRow="1" w:lastColumn="0" w:lastRow="0" w:noHBand="0" w:noVBand="1" w:val="04A0"/>
      </w:tblPr>
      <w:tblGrid>
        <w:gridCol w:w="4873"/>
        <w:gridCol w:w="4873"/>
      </w:tblGrid>
      <w:tr>
        <w:tc>
          <w:tcPr>
            <w:tcW w:type="dxa" w:w="850"/>
            <w:shd w:val="clear" w:color="auto" w:fill="FFF8E1"/>
            <w:tcBorders>
              <w:top w:val="single" w:sz="4" w:space="0" w:color="D4B896"/>
              <w:left w:val="single" w:sz="4" w:space="0" w:color="D4B896"/>
              <w:bottom w:val="single" w:sz="4" w:space="0" w:color="D4B896"/>
              <w:right w:val="single" w:sz="4" w:space="0" w:color="D4B896"/>
            </w:tcBorders>
          </w:tcPr>
          <w:p>
            <w:r>
              <w:rPr>
                <w:b/>
                <w:color w:val="1A3A5C"/>
                <w:sz w:val="20"/>
              </w:rPr>
              <w:t>R8</w:t>
            </w:r>
          </w:p>
        </w:tc>
        <w:tc>
          <w:tcPr>
            <w:tcW w:type="dxa" w:w="10205"/>
            <w:shd w:val="clear" w:color="auto" w:fill="FFF8E1"/>
            <w:tcBorders>
              <w:top w:val="single" w:sz="4" w:space="0" w:color="D4B896"/>
              <w:left w:val="single" w:sz="4" w:space="0" w:color="D4B896"/>
              <w:bottom w:val="single" w:sz="4" w:space="0" w:color="D4B896"/>
              <w:right w:val="single" w:sz="4" w:space="0" w:color="D4B896"/>
            </w:tcBorders>
          </w:tcPr>
          <w:p>
            <w:r>
              <w:rPr>
                <w:b/>
                <w:color w:val="924008"/>
                <w:sz w:val="18"/>
              </w:rPr>
              <w:t xml:space="preserve">Nelson JAMA 2019 — </w:t>
            </w:r>
            <w:r>
              <w:rPr>
                <w:color w:val="444444"/>
                <w:sz w:val="18"/>
              </w:rPr>
              <w:t>Nelson 2019 — both the −5.5 coefficient and the age×HTN interaction term extracted from the JAMA CKD risk model.</w:t>
            </w:r>
          </w:p>
        </w:tc>
      </w:tr>
    </w:tbl>
    <w:p/>
    <w:p>
      <w:pPr>
        <w:spacing w:before="120" w:after="40"/>
      </w:pPr>
      <w:r>
        <w:rPr>
          <w:b/>
          <w:color w:val="1A3A5C"/>
          <w:sz w:val="22"/>
        </w:rPr>
        <w:t xml:space="preserve">  KEGG Pathways (molecular mechanism):</w:t>
      </w:r>
    </w:p>
    <w:tbl>
      <w:tblPr>
        <w:tblStyle w:val="TableGrid"/>
        <w:tblW w:type="auto" w:w="0"/>
        <w:tblLook w:firstColumn="1" w:firstRow="1" w:lastColumn="0" w:lastRow="0" w:noHBand="0" w:noVBand="1" w:val="04A0"/>
      </w:tblPr>
      <w:tblGrid>
        <w:gridCol w:w="3249"/>
        <w:gridCol w:w="3249"/>
        <w:gridCol w:w="3249"/>
      </w:tblGrid>
      <w:tr>
        <w:tc>
          <w:tcPr>
            <w:tcW w:type="dxa" w:w="1417"/>
            <w:shd w:val="clear" w:color="auto" w:fill="E6F4EA"/>
            <w:tcBorders>
              <w:top w:val="single" w:sz="4" w:space="0" w:color="8FC99A"/>
              <w:left w:val="single" w:sz="4" w:space="0" w:color="8FC99A"/>
              <w:bottom w:val="single" w:sz="4" w:space="0" w:color="8FC99A"/>
              <w:right w:val="single" w:sz="4" w:space="0" w:color="8FC99A"/>
            </w:tcBorders>
          </w:tcPr>
          <w:p>
            <w:r>
              <w:rPr>
                <w:rFonts w:ascii="Courier New" w:hAnsi="Courier New"/>
                <w:b/>
                <w:color w:val="14532D"/>
                <w:sz w:val="18"/>
              </w:rPr>
              <w:t>hsa04614</w:t>
            </w:r>
          </w:p>
        </w:tc>
        <w:tc>
          <w:tcPr>
            <w:tcW w:type="dxa" w:w="3118"/>
            <w:shd w:val="clear" w:color="auto" w:fill="E6F4EA"/>
            <w:tcBorders>
              <w:top w:val="single" w:sz="4" w:space="0" w:color="8FC99A"/>
              <w:left w:val="single" w:sz="4" w:space="0" w:color="8FC99A"/>
              <w:bottom w:val="single" w:sz="4" w:space="0" w:color="8FC99A"/>
              <w:right w:val="single" w:sz="4" w:space="0" w:color="8FC99A"/>
            </w:tcBorders>
          </w:tcPr>
          <w:p>
            <w:r>
              <w:rPr>
                <w:b/>
                <w:color w:val="14532D"/>
                <w:sz w:val="18"/>
              </w:rPr>
              <w:t>Renin–angiotensin system</w:t>
            </w:r>
          </w:p>
        </w:tc>
        <w:tc>
          <w:tcPr>
            <w:tcW w:type="dxa" w:w="6520"/>
            <w:shd w:val="clear" w:color="auto" w:fill="E6F4EA"/>
            <w:tcBorders>
              <w:top w:val="single" w:sz="4" w:space="0" w:color="8FC99A"/>
              <w:left w:val="single" w:sz="4" w:space="0" w:color="8FC99A"/>
              <w:bottom w:val="single" w:sz="4" w:space="0" w:color="8FC99A"/>
              <w:right w:val="single" w:sz="4" w:space="0" w:color="8FC99A"/>
            </w:tcBorders>
          </w:tcPr>
          <w:p>
            <w:r>
              <w:rPr>
                <w:color w:val="444444"/>
                <w:sz w:val="18"/>
              </w:rPr>
              <w:t>Sustained high angiotensin II causes afferent arteriolar hyalinosis and efferent arteriolar dilation → intraglomerular hypertension → podocyte stress → glomerulosclerosis. This KEGG pathway translates the HTN flag into the −5.5 eGFR penalty.</w:t>
            </w:r>
          </w:p>
        </w:tc>
      </w:tr>
    </w:tbl>
    <w:p/>
    <w:p>
      <w:pPr>
        <w:spacing w:before="120" w:after="40"/>
      </w:pPr>
      <w:r>
        <w:rPr>
          <w:b/>
          <w:color w:val="1A3A5C"/>
          <w:sz w:val="22"/>
        </w:rPr>
        <w:t xml:space="preserve">  GO Biological Processes:</w:t>
      </w:r>
    </w:p>
    <w:tbl>
      <w:tblPr>
        <w:tblStyle w:val="TableGrid"/>
        <w:tblW w:type="auto" w:w="0"/>
        <w:tblLook w:firstColumn="1" w:firstRow="1" w:lastColumn="0" w:lastRow="0" w:noHBand="0" w:noVBand="1" w:val="04A0"/>
      </w:tblPr>
      <w:tblGrid>
        <w:gridCol w:w="3249"/>
        <w:gridCol w:w="3249"/>
        <w:gridCol w:w="3249"/>
      </w:tblGrid>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GO:0008217</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Regulation of blood pressure</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The impaired biological process — chronic failure of BP regulation drives the glomerular damage captured by the −5.5 coefficient.</w:t>
            </w:r>
          </w:p>
        </w:tc>
      </w:tr>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GO:0003094</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Glomerular filtration</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The target process directly reduced — the −5.5 and interaction term quantify how HTN progressively impairs this.</w:t>
            </w:r>
          </w:p>
        </w:tc>
      </w:tr>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GO:0001974</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Blood vessel remodeling</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Hypertensive nephrosclerosis — structural scarring of glomerular arterioles — is the irreversible remodeling that causes the eGFR decline.</w:t>
            </w:r>
          </w:p>
        </w:tc>
      </w:tr>
    </w:tbl>
    <w:p>
      <w:pPr>
        <w:pBdr>
          <w:bottom w:val="single" w:sz="6" w:space="1" w:color="2B6CB0"/>
        </w:pBdr>
        <w:spacing w:before="40" w:after="40"/>
      </w:pPr>
    </w:p>
    <w:p>
      <w:pPr>
        <w:spacing w:before="200" w:after="40"/>
      </w:pPr>
      <w:r>
        <w:rPr>
          <w:b/>
          <w:color w:val="1A3A5C"/>
          <w:sz w:val="24"/>
        </w:rPr>
        <w:t xml:space="preserve">  ◆  HTN → Creatinine</w:t>
      </w:r>
    </w:p>
    <w:p>
      <w:pPr>
        <w:spacing w:before="120" w:after="40"/>
      </w:pPr>
      <w:r>
        <w:rPr>
          <w:b/>
          <w:color w:val="1A3A5C"/>
          <w:sz w:val="22"/>
        </w:rPr>
        <w:t xml:space="preserve">  Equation:</w:t>
      </w:r>
    </w:p>
    <w:p>
      <w:pPr>
        <w:spacing w:before="20" w:after="20"/>
        <w:ind w:left="283"/>
      </w:pPr>
      <w:r>
        <w:rPr>
          <w:rFonts w:ascii="Courier New" w:hAnsi="Courier New"/>
          <w:color w:val="1A1A6E"/>
          <w:sz w:val="17"/>
        </w:rPr>
        <w:t>Cr ↑ ∝ HTN  (edge weight +0.55)</w:t>
        <w:br/>
        <w:t>Mediated via: MAP modifier in creatinine node</w:t>
        <w:br/>
        <w:t>if MAP &gt; 110: Scr_mean × (1 + (MAP − 110) × 0.010)</w:t>
      </w:r>
    </w:p>
    <w:tbl>
      <w:tblPr>
        <w:tblStyle w:val="TableGrid"/>
        <w:tblW w:type="auto" w:w="0"/>
        <w:tblLook w:firstColumn="1" w:firstRow="1" w:lastColumn="0" w:lastRow="0" w:noHBand="0" w:noVBand="1" w:val="04A0"/>
      </w:tblPr>
      <w:tblGrid>
        <w:gridCol w:w="3249"/>
        <w:gridCol w:w="3249"/>
        <w:gridCol w:w="3249"/>
      </w:tblGrid>
      <w:tr>
        <w:tc>
          <w:tcPr>
            <w:tcW w:type="dxa" w:w="2551"/>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Coefficient</w:t>
              <w:br/>
            </w:r>
            <w:r>
              <w:rPr>
                <w:color w:val="444444"/>
                <w:sz w:val="18"/>
              </w:rPr>
              <w:t>+0.55 causal weight; MAP modifier +1.0% Scr per mmHg above 110</w:t>
            </w:r>
          </w:p>
        </w:tc>
        <w:tc>
          <w:tcPr>
            <w:tcW w:type="dxa" w:w="1701"/>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Causal Type</w:t>
              <w:br/>
            </w:r>
            <w:r>
              <w:rPr>
                <w:color w:val="444444"/>
                <w:sz w:val="18"/>
              </w:rPr>
              <w:t>Positive</w:t>
            </w:r>
          </w:p>
        </w:tc>
        <w:tc>
          <w:tcPr>
            <w:tcW w:type="dxa" w:w="6803"/>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Medical Interpretation</w:t>
              <w:br/>
            </w:r>
            <w:r>
              <w:rPr>
                <w:color w:val="444444"/>
                <w:sz w:val="18"/>
              </w:rPr>
              <w:t>Chronic high BP scars the afferent arterioles entering each glomerulus (hypertensive nephrosclerosis). Fewer functional nephrons → less creatinine filtered → Scr accumulates. The MAP modifier in the equation captures this directly.</w:t>
            </w:r>
          </w:p>
        </w:tc>
      </w:tr>
    </w:tbl>
    <w:p/>
    <w:p>
      <w:pPr>
        <w:spacing w:before="120" w:after="40"/>
      </w:pPr>
      <w:r>
        <w:rPr>
          <w:b/>
          <w:color w:val="1A3A5C"/>
          <w:sz w:val="22"/>
        </w:rPr>
        <w:t xml:space="preserve">  Literature Reference:</w:t>
      </w:r>
    </w:p>
    <w:tbl>
      <w:tblPr>
        <w:tblStyle w:val="TableGrid"/>
        <w:tblW w:type="auto" w:w="0"/>
        <w:tblLook w:firstColumn="1" w:firstRow="1" w:lastColumn="0" w:lastRow="0" w:noHBand="0" w:noVBand="1" w:val="04A0"/>
      </w:tblPr>
      <w:tblGrid>
        <w:gridCol w:w="4873"/>
        <w:gridCol w:w="4873"/>
      </w:tblGrid>
      <w:tr>
        <w:tc>
          <w:tcPr>
            <w:tcW w:type="dxa" w:w="850"/>
            <w:shd w:val="clear" w:color="auto" w:fill="FFF8E1"/>
            <w:tcBorders>
              <w:top w:val="single" w:sz="4" w:space="0" w:color="D4B896"/>
              <w:left w:val="single" w:sz="4" w:space="0" w:color="D4B896"/>
              <w:bottom w:val="single" w:sz="4" w:space="0" w:color="D4B896"/>
              <w:right w:val="single" w:sz="4" w:space="0" w:color="D4B896"/>
            </w:tcBorders>
          </w:tcPr>
          <w:p>
            <w:r>
              <w:rPr>
                <w:b/>
                <w:color w:val="1A3A5C"/>
                <w:sz w:val="20"/>
              </w:rPr>
              <w:t>R4</w:t>
            </w:r>
          </w:p>
        </w:tc>
        <w:tc>
          <w:tcPr>
            <w:tcW w:type="dxa" w:w="10205"/>
            <w:shd w:val="clear" w:color="auto" w:fill="FFF8E1"/>
            <w:tcBorders>
              <w:top w:val="single" w:sz="4" w:space="0" w:color="D4B896"/>
              <w:left w:val="single" w:sz="4" w:space="0" w:color="D4B896"/>
              <w:bottom w:val="single" w:sz="4" w:space="0" w:color="D4B896"/>
              <w:right w:val="single" w:sz="4" w:space="0" w:color="D4B896"/>
            </w:tcBorders>
          </w:tcPr>
          <w:p>
            <w:r>
              <w:rPr>
                <w:b/>
                <w:color w:val="924008"/>
                <w:sz w:val="18"/>
              </w:rPr>
              <w:t xml:space="preserve">Vasan JAMA 2002 (Framingham) — </w:t>
            </w:r>
            <w:r>
              <w:rPr>
                <w:color w:val="444444"/>
                <w:sz w:val="18"/>
              </w:rPr>
              <w:t>Vasan 2002 — established the MAP→vessel damage relationship used in the creatinine modifier.</w:t>
            </w:r>
          </w:p>
        </w:tc>
      </w:tr>
      <w:tr>
        <w:tc>
          <w:tcPr>
            <w:tcW w:type="dxa" w:w="850"/>
            <w:shd w:val="clear" w:color="auto" w:fill="FFF8E1"/>
            <w:tcBorders>
              <w:top w:val="single" w:sz="4" w:space="0" w:color="D4B896"/>
              <w:left w:val="single" w:sz="4" w:space="0" w:color="D4B896"/>
              <w:bottom w:val="single" w:sz="4" w:space="0" w:color="D4B896"/>
              <w:right w:val="single" w:sz="4" w:space="0" w:color="D4B896"/>
            </w:tcBorders>
          </w:tcPr>
          <w:p>
            <w:r>
              <w:rPr>
                <w:b/>
                <w:color w:val="1A3A5C"/>
                <w:sz w:val="20"/>
              </w:rPr>
              <w:t>R6</w:t>
            </w:r>
          </w:p>
        </w:tc>
        <w:tc>
          <w:tcPr>
            <w:tcW w:type="dxa" w:w="10205"/>
            <w:shd w:val="clear" w:color="auto" w:fill="FFF8E1"/>
            <w:tcBorders>
              <w:top w:val="single" w:sz="4" w:space="0" w:color="D4B896"/>
              <w:left w:val="single" w:sz="4" w:space="0" w:color="D4B896"/>
              <w:bottom w:val="single" w:sz="4" w:space="0" w:color="D4B896"/>
              <w:right w:val="single" w:sz="4" w:space="0" w:color="D4B896"/>
            </w:tcBorders>
          </w:tcPr>
          <w:p>
            <w:r>
              <w:rPr>
                <w:b/>
                <w:color w:val="924008"/>
                <w:sz w:val="18"/>
              </w:rPr>
              <w:t xml:space="preserve">Carlström Nat Rev Nephrol 2015 — </w:t>
            </w:r>
            <w:r>
              <w:rPr>
                <w:color w:val="444444"/>
                <w:sz w:val="18"/>
              </w:rPr>
              <w:t>Carlström 2015 — defined the autoregulatory thresholds used in the MAP modifier equation.</w:t>
            </w:r>
          </w:p>
        </w:tc>
      </w:tr>
    </w:tbl>
    <w:p/>
    <w:p>
      <w:pPr>
        <w:spacing w:before="120" w:after="40"/>
      </w:pPr>
      <w:r>
        <w:rPr>
          <w:b/>
          <w:color w:val="1A3A5C"/>
          <w:sz w:val="22"/>
        </w:rPr>
        <w:t xml:space="preserve">  KEGG Pathways (molecular mechanism):</w:t>
      </w:r>
    </w:p>
    <w:tbl>
      <w:tblPr>
        <w:tblStyle w:val="TableGrid"/>
        <w:tblW w:type="auto" w:w="0"/>
        <w:tblLook w:firstColumn="1" w:firstRow="1" w:lastColumn="0" w:lastRow="0" w:noHBand="0" w:noVBand="1" w:val="04A0"/>
      </w:tblPr>
      <w:tblGrid>
        <w:gridCol w:w="3249"/>
        <w:gridCol w:w="3249"/>
        <w:gridCol w:w="3249"/>
      </w:tblGrid>
      <w:tr>
        <w:tc>
          <w:tcPr>
            <w:tcW w:type="dxa" w:w="1417"/>
            <w:shd w:val="clear" w:color="auto" w:fill="E6F4EA"/>
            <w:tcBorders>
              <w:top w:val="single" w:sz="4" w:space="0" w:color="8FC99A"/>
              <w:left w:val="single" w:sz="4" w:space="0" w:color="8FC99A"/>
              <w:bottom w:val="single" w:sz="4" w:space="0" w:color="8FC99A"/>
              <w:right w:val="single" w:sz="4" w:space="0" w:color="8FC99A"/>
            </w:tcBorders>
          </w:tcPr>
          <w:p>
            <w:r>
              <w:rPr>
                <w:rFonts w:ascii="Courier New" w:hAnsi="Courier New"/>
                <w:b/>
                <w:color w:val="14532D"/>
                <w:sz w:val="18"/>
              </w:rPr>
              <w:t>hsa04614</w:t>
            </w:r>
          </w:p>
        </w:tc>
        <w:tc>
          <w:tcPr>
            <w:tcW w:type="dxa" w:w="3118"/>
            <w:shd w:val="clear" w:color="auto" w:fill="E6F4EA"/>
            <w:tcBorders>
              <w:top w:val="single" w:sz="4" w:space="0" w:color="8FC99A"/>
              <w:left w:val="single" w:sz="4" w:space="0" w:color="8FC99A"/>
              <w:bottom w:val="single" w:sz="4" w:space="0" w:color="8FC99A"/>
              <w:right w:val="single" w:sz="4" w:space="0" w:color="8FC99A"/>
            </w:tcBorders>
          </w:tcPr>
          <w:p>
            <w:r>
              <w:rPr>
                <w:b/>
                <w:color w:val="14532D"/>
                <w:sz w:val="18"/>
              </w:rPr>
              <w:t>Renin–angiotensin system</w:t>
            </w:r>
          </w:p>
        </w:tc>
        <w:tc>
          <w:tcPr>
            <w:tcW w:type="dxa" w:w="6520"/>
            <w:shd w:val="clear" w:color="auto" w:fill="E6F4EA"/>
            <w:tcBorders>
              <w:top w:val="single" w:sz="4" w:space="0" w:color="8FC99A"/>
              <w:left w:val="single" w:sz="4" w:space="0" w:color="8FC99A"/>
              <w:bottom w:val="single" w:sz="4" w:space="0" w:color="8FC99A"/>
              <w:right w:val="single" w:sz="4" w:space="0" w:color="8FC99A"/>
            </w:tcBorders>
          </w:tcPr>
          <w:p>
            <w:r>
              <w:rPr>
                <w:color w:val="444444"/>
                <w:sz w:val="18"/>
              </w:rPr>
              <w:t>RAAS-mediated arteriolar remodeling in hypertension directly scars the glomerular inlet vessels, reducing filtration and raising creatinine — the molecular basis of the +0.55 weight.</w:t>
            </w:r>
          </w:p>
        </w:tc>
      </w:tr>
      <w:tr>
        <w:tc>
          <w:tcPr>
            <w:tcW w:type="dxa" w:w="1417"/>
            <w:shd w:val="clear" w:color="auto" w:fill="E6F4EA"/>
            <w:tcBorders>
              <w:top w:val="single" w:sz="4" w:space="0" w:color="8FC99A"/>
              <w:left w:val="single" w:sz="4" w:space="0" w:color="8FC99A"/>
              <w:bottom w:val="single" w:sz="4" w:space="0" w:color="8FC99A"/>
              <w:right w:val="single" w:sz="4" w:space="0" w:color="8FC99A"/>
            </w:tcBorders>
          </w:tcPr>
          <w:p>
            <w:r>
              <w:rPr>
                <w:rFonts w:ascii="Courier New" w:hAnsi="Courier New"/>
                <w:b/>
                <w:color w:val="14532D"/>
                <w:sz w:val="18"/>
              </w:rPr>
              <w:t>hsa05417</w:t>
            </w:r>
          </w:p>
        </w:tc>
        <w:tc>
          <w:tcPr>
            <w:tcW w:type="dxa" w:w="3118"/>
            <w:shd w:val="clear" w:color="auto" w:fill="E6F4EA"/>
            <w:tcBorders>
              <w:top w:val="single" w:sz="4" w:space="0" w:color="8FC99A"/>
              <w:left w:val="single" w:sz="4" w:space="0" w:color="8FC99A"/>
              <w:bottom w:val="single" w:sz="4" w:space="0" w:color="8FC99A"/>
              <w:right w:val="single" w:sz="4" w:space="0" w:color="8FC99A"/>
            </w:tcBorders>
          </w:tcPr>
          <w:p>
            <w:r>
              <w:rPr>
                <w:b/>
                <w:color w:val="14532D"/>
                <w:sz w:val="18"/>
              </w:rPr>
              <w:t>Lipid and atherosclerosis</w:t>
            </w:r>
          </w:p>
        </w:tc>
        <w:tc>
          <w:tcPr>
            <w:tcW w:type="dxa" w:w="6520"/>
            <w:shd w:val="clear" w:color="auto" w:fill="E6F4EA"/>
            <w:tcBorders>
              <w:top w:val="single" w:sz="4" w:space="0" w:color="8FC99A"/>
              <w:left w:val="single" w:sz="4" w:space="0" w:color="8FC99A"/>
              <w:bottom w:val="single" w:sz="4" w:space="0" w:color="8FC99A"/>
              <w:right w:val="single" w:sz="4" w:space="0" w:color="8FC99A"/>
            </w:tcBorders>
          </w:tcPr>
          <w:p>
            <w:r>
              <w:rPr>
                <w:color w:val="444444"/>
                <w:sz w:val="18"/>
              </w:rPr>
              <w:t>Hypertension accelerates atherosclerosis in larger renal vessels, contributing to broader ischemic nephropathy and elevated creatinine.</w:t>
            </w:r>
          </w:p>
        </w:tc>
      </w:tr>
    </w:tbl>
    <w:p/>
    <w:p>
      <w:pPr>
        <w:spacing w:before="120" w:after="40"/>
      </w:pPr>
      <w:r>
        <w:rPr>
          <w:b/>
          <w:color w:val="1A3A5C"/>
          <w:sz w:val="22"/>
        </w:rPr>
        <w:t xml:space="preserve">  GO Biological Processes:</w:t>
      </w:r>
    </w:p>
    <w:tbl>
      <w:tblPr>
        <w:tblStyle w:val="TableGrid"/>
        <w:tblW w:type="auto" w:w="0"/>
        <w:tblLook w:firstColumn="1" w:firstRow="1" w:lastColumn="0" w:lastRow="0" w:noHBand="0" w:noVBand="1" w:val="04A0"/>
      </w:tblPr>
      <w:tblGrid>
        <w:gridCol w:w="3249"/>
        <w:gridCol w:w="3249"/>
        <w:gridCol w:w="3249"/>
      </w:tblGrid>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GO:0008217</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Regulation of blood pressure</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Failure of BP regulation is the upstream cause; the +0.55 weight measures the downstream creatinine consequence.</w:t>
            </w:r>
          </w:p>
        </w:tc>
      </w:tr>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GO:0001974</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Blood vessel remodeling</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Structural hyalinosis of afferent arterioles is the pathological remodeling that mechanistically connects HTN to Scr elevation.</w:t>
            </w:r>
          </w:p>
        </w:tc>
      </w:tr>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GO:0003094</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Glomerular filtration</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Reduced filtration due to arteriolar scarring is the intermediate step between HTN and creatinine accumulation.</w:t>
            </w:r>
          </w:p>
        </w:tc>
      </w:tr>
    </w:tbl>
    <w:p>
      <w:pPr>
        <w:pBdr>
          <w:bottom w:val="single" w:sz="6" w:space="1" w:color="2B6CB0"/>
        </w:pBdr>
        <w:spacing w:before="40" w:after="40"/>
      </w:pPr>
    </w:p>
    <w:p>
      <w:pPr>
        <w:spacing w:before="200" w:after="60"/>
      </w:pPr>
      <w:r>
        <w:rPr>
          <w:b/>
          <w:color w:val="2B6CB0"/>
          <w:sz w:val="26"/>
        </w:rPr>
        <w:t xml:space="preserve">  Creatinine Relationships</w:t>
      </w:r>
    </w:p>
    <w:p/>
    <w:p>
      <w:pPr>
        <w:spacing w:before="200" w:after="40"/>
      </w:pPr>
      <w:r>
        <w:rPr>
          <w:b/>
          <w:color w:val="1A3A5C"/>
          <w:sz w:val="24"/>
        </w:rPr>
        <w:t xml:space="preserve">  ◆  Creatinine → eGFR</w:t>
      </w:r>
    </w:p>
    <w:p>
      <w:pPr>
        <w:spacing w:before="120" w:after="40"/>
      </w:pPr>
      <w:r>
        <w:rPr>
          <w:b/>
          <w:color w:val="1A3A5C"/>
          <w:sz w:val="22"/>
        </w:rPr>
        <w:t xml:space="preserve">  Equation:</w:t>
      </w:r>
    </w:p>
    <w:p>
      <w:pPr>
        <w:spacing w:before="20" w:after="20"/>
        <w:ind w:left="283"/>
      </w:pPr>
      <w:r>
        <w:rPr>
          <w:rFonts w:ascii="Courier New" w:hAnsi="Courier New"/>
          <w:color w:val="1A1A6E"/>
          <w:sz w:val="17"/>
        </w:rPr>
        <w:t>CKD-EPI 2021 [R1]:</w:t>
        <w:br/>
        <w:t xml:space="preserve">  eGFR = 142 × min(Scr/κ, 1)^α × max(Scr/κ, 1)^(−1.200) × 0.9938^Age × [1.012 if F]</w:t>
        <w:br/>
        <w:t xml:space="preserve">  Linear approximation: ~−12 eGFR units per 1 mg/dL Scr rise</w:t>
      </w:r>
    </w:p>
    <w:tbl>
      <w:tblPr>
        <w:tblStyle w:val="TableGrid"/>
        <w:tblW w:type="auto" w:w="0"/>
        <w:tblLook w:firstColumn="1" w:firstRow="1" w:lastColumn="0" w:lastRow="0" w:noHBand="0" w:noVBand="1" w:val="04A0"/>
      </w:tblPr>
      <w:tblGrid>
        <w:gridCol w:w="3249"/>
        <w:gridCol w:w="3249"/>
        <w:gridCol w:w="3249"/>
      </w:tblGrid>
      <w:tr>
        <w:tc>
          <w:tcPr>
            <w:tcW w:type="dxa" w:w="2551"/>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Coefficient</w:t>
              <w:br/>
            </w:r>
            <w:r>
              <w:rPr>
                <w:color w:val="444444"/>
                <w:sz w:val="18"/>
              </w:rPr>
              <w:t>−0.82 edge weight (dominant node); ~−12 units/mg/dL (linear approximation)</w:t>
            </w:r>
          </w:p>
        </w:tc>
        <w:tc>
          <w:tcPr>
            <w:tcW w:type="dxa" w:w="1701"/>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Causal Type</w:t>
              <w:br/>
            </w:r>
            <w:r>
              <w:rPr>
                <w:color w:val="444444"/>
                <w:sz w:val="18"/>
              </w:rPr>
              <w:t>Negative (dominant — strongest edge in network)</w:t>
            </w:r>
          </w:p>
        </w:tc>
        <w:tc>
          <w:tcPr>
            <w:tcW w:type="dxa" w:w="6803"/>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Medical Interpretation</w:t>
              <w:br/>
            </w:r>
            <w:r>
              <w:rPr>
                <w:color w:val="444444"/>
                <w:sz w:val="18"/>
              </w:rPr>
              <w:t>This is the most important relationship in the entire network. Creatinine is the primary input to CKD-EPI 2021. The formula is non-linear (exponential at high Scr) — the effect is steeper at Scr &gt; 2 mg/dL. This single relationship defines what CKD staging means clinically.</w:t>
            </w:r>
          </w:p>
        </w:tc>
      </w:tr>
    </w:tbl>
    <w:p/>
    <w:p>
      <w:pPr>
        <w:spacing w:before="120" w:after="40"/>
      </w:pPr>
      <w:r>
        <w:rPr>
          <w:b/>
          <w:color w:val="1A3A5C"/>
          <w:sz w:val="22"/>
        </w:rPr>
        <w:t xml:space="preserve">  Literature Reference:</w:t>
      </w:r>
    </w:p>
    <w:tbl>
      <w:tblPr>
        <w:tblStyle w:val="TableGrid"/>
        <w:tblW w:type="auto" w:w="0"/>
        <w:tblLook w:firstColumn="1" w:firstRow="1" w:lastColumn="0" w:lastRow="0" w:noHBand="0" w:noVBand="1" w:val="04A0"/>
      </w:tblPr>
      <w:tblGrid>
        <w:gridCol w:w="4873"/>
        <w:gridCol w:w="4873"/>
      </w:tblGrid>
      <w:tr>
        <w:tc>
          <w:tcPr>
            <w:tcW w:type="dxa" w:w="850"/>
            <w:shd w:val="clear" w:color="auto" w:fill="FFF8E1"/>
            <w:tcBorders>
              <w:top w:val="single" w:sz="4" w:space="0" w:color="D4B896"/>
              <w:left w:val="single" w:sz="4" w:space="0" w:color="D4B896"/>
              <w:bottom w:val="single" w:sz="4" w:space="0" w:color="D4B896"/>
              <w:right w:val="single" w:sz="4" w:space="0" w:color="D4B896"/>
            </w:tcBorders>
          </w:tcPr>
          <w:p>
            <w:r>
              <w:rPr>
                <w:b/>
                <w:color w:val="1A3A5C"/>
                <w:sz w:val="20"/>
              </w:rPr>
              <w:t>R1</w:t>
            </w:r>
          </w:p>
        </w:tc>
        <w:tc>
          <w:tcPr>
            <w:tcW w:type="dxa" w:w="10205"/>
            <w:shd w:val="clear" w:color="auto" w:fill="FFF8E1"/>
            <w:tcBorders>
              <w:top w:val="single" w:sz="4" w:space="0" w:color="D4B896"/>
              <w:left w:val="single" w:sz="4" w:space="0" w:color="D4B896"/>
              <w:bottom w:val="single" w:sz="4" w:space="0" w:color="D4B896"/>
              <w:right w:val="single" w:sz="4" w:space="0" w:color="D4B896"/>
            </w:tcBorders>
          </w:tcPr>
          <w:p>
            <w:r>
              <w:rPr>
                <w:b/>
                <w:color w:val="924008"/>
                <w:sz w:val="18"/>
              </w:rPr>
              <w:t xml:space="preserve">CKD-EPI 2021 — </w:t>
            </w:r>
            <w:r>
              <w:rPr>
                <w:color w:val="444444"/>
                <w:sz w:val="18"/>
              </w:rPr>
              <w:t>Inker 2021 (NEJM) — CKD-EPI 2021 race-free equation; creatinine is the dominant input variable.</w:t>
            </w:r>
          </w:p>
        </w:tc>
      </w:tr>
    </w:tbl>
    <w:p/>
    <w:p>
      <w:pPr>
        <w:spacing w:before="120" w:after="40"/>
      </w:pPr>
      <w:r>
        <w:rPr>
          <w:b/>
          <w:color w:val="1A3A5C"/>
          <w:sz w:val="22"/>
        </w:rPr>
        <w:t xml:space="preserve">  KEGG Pathways (molecular mechanism):</w:t>
      </w:r>
    </w:p>
    <w:tbl>
      <w:tblPr>
        <w:tblStyle w:val="TableGrid"/>
        <w:tblW w:type="auto" w:w="0"/>
        <w:tblLook w:firstColumn="1" w:firstRow="1" w:lastColumn="0" w:lastRow="0" w:noHBand="0" w:noVBand="1" w:val="04A0"/>
      </w:tblPr>
      <w:tblGrid>
        <w:gridCol w:w="3249"/>
        <w:gridCol w:w="3249"/>
        <w:gridCol w:w="3249"/>
      </w:tblGrid>
      <w:tr>
        <w:tc>
          <w:tcPr>
            <w:tcW w:type="dxa" w:w="1417"/>
            <w:shd w:val="clear" w:color="auto" w:fill="E6F4EA"/>
            <w:tcBorders>
              <w:top w:val="single" w:sz="4" w:space="0" w:color="8FC99A"/>
              <w:left w:val="single" w:sz="4" w:space="0" w:color="8FC99A"/>
              <w:bottom w:val="single" w:sz="4" w:space="0" w:color="8FC99A"/>
              <w:right w:val="single" w:sz="4" w:space="0" w:color="8FC99A"/>
            </w:tcBorders>
          </w:tcPr>
          <w:p>
            <w:r>
              <w:rPr>
                <w:rFonts w:ascii="Courier New" w:hAnsi="Courier New"/>
                <w:b/>
                <w:color w:val="14532D"/>
                <w:sz w:val="18"/>
              </w:rPr>
              <w:t>hsa04614</w:t>
            </w:r>
          </w:p>
        </w:tc>
        <w:tc>
          <w:tcPr>
            <w:tcW w:type="dxa" w:w="3118"/>
            <w:shd w:val="clear" w:color="auto" w:fill="E6F4EA"/>
            <w:tcBorders>
              <w:top w:val="single" w:sz="4" w:space="0" w:color="8FC99A"/>
              <w:left w:val="single" w:sz="4" w:space="0" w:color="8FC99A"/>
              <w:bottom w:val="single" w:sz="4" w:space="0" w:color="8FC99A"/>
              <w:right w:val="single" w:sz="4" w:space="0" w:color="8FC99A"/>
            </w:tcBorders>
          </w:tcPr>
          <w:p>
            <w:r>
              <w:rPr>
                <w:b/>
                <w:color w:val="14532D"/>
                <w:sz w:val="18"/>
              </w:rPr>
              <w:t>Renin–angiotensin system</w:t>
            </w:r>
          </w:p>
        </w:tc>
        <w:tc>
          <w:tcPr>
            <w:tcW w:type="dxa" w:w="6520"/>
            <w:shd w:val="clear" w:color="auto" w:fill="E6F4EA"/>
            <w:tcBorders>
              <w:top w:val="single" w:sz="4" w:space="0" w:color="8FC99A"/>
              <w:left w:val="single" w:sz="4" w:space="0" w:color="8FC99A"/>
              <w:bottom w:val="single" w:sz="4" w:space="0" w:color="8FC99A"/>
              <w:right w:val="single" w:sz="4" w:space="0" w:color="8FC99A"/>
            </w:tcBorders>
          </w:tcPr>
          <w:p>
            <w:r>
              <w:rPr>
                <w:color w:val="444444"/>
                <w:sz w:val="18"/>
              </w:rPr>
              <w:t>As creatinine rises (eGFR falls), intrarenal RAAS compensates by increasing angiotensin II → intraglomerular hypertension → accelerating the eGFR decline in a feedback loop. The −0.82 weight reflects the primary creatinine→eGFR relationship before this feedback.</w:t>
            </w:r>
          </w:p>
        </w:tc>
      </w:tr>
      <w:tr>
        <w:tc>
          <w:tcPr>
            <w:tcW w:type="dxa" w:w="1417"/>
            <w:shd w:val="clear" w:color="auto" w:fill="E6F4EA"/>
            <w:tcBorders>
              <w:top w:val="single" w:sz="4" w:space="0" w:color="8FC99A"/>
              <w:left w:val="single" w:sz="4" w:space="0" w:color="8FC99A"/>
              <w:bottom w:val="single" w:sz="4" w:space="0" w:color="8FC99A"/>
              <w:right w:val="single" w:sz="4" w:space="0" w:color="8FC99A"/>
            </w:tcBorders>
          </w:tcPr>
          <w:p>
            <w:r>
              <w:rPr>
                <w:rFonts w:ascii="Courier New" w:hAnsi="Courier New"/>
                <w:b/>
                <w:color w:val="14532D"/>
                <w:sz w:val="18"/>
              </w:rPr>
              <w:t>hsa04960</w:t>
            </w:r>
          </w:p>
        </w:tc>
        <w:tc>
          <w:tcPr>
            <w:tcW w:type="dxa" w:w="3118"/>
            <w:shd w:val="clear" w:color="auto" w:fill="E6F4EA"/>
            <w:tcBorders>
              <w:top w:val="single" w:sz="4" w:space="0" w:color="8FC99A"/>
              <w:left w:val="single" w:sz="4" w:space="0" w:color="8FC99A"/>
              <w:bottom w:val="single" w:sz="4" w:space="0" w:color="8FC99A"/>
              <w:right w:val="single" w:sz="4" w:space="0" w:color="8FC99A"/>
            </w:tcBorders>
          </w:tcPr>
          <w:p>
            <w:r>
              <w:rPr>
                <w:b/>
                <w:color w:val="14532D"/>
                <w:sz w:val="18"/>
              </w:rPr>
              <w:t>Aldosterone-regulated sodium reabsorption</w:t>
            </w:r>
          </w:p>
        </w:tc>
        <w:tc>
          <w:tcPr>
            <w:tcW w:type="dxa" w:w="6520"/>
            <w:shd w:val="clear" w:color="auto" w:fill="E6F4EA"/>
            <w:tcBorders>
              <w:top w:val="single" w:sz="4" w:space="0" w:color="8FC99A"/>
              <w:left w:val="single" w:sz="4" w:space="0" w:color="8FC99A"/>
              <w:bottom w:val="single" w:sz="4" w:space="0" w:color="8FC99A"/>
              <w:right w:val="single" w:sz="4" w:space="0" w:color="8FC99A"/>
            </w:tcBorders>
          </w:tcPr>
          <w:p>
            <w:r>
              <w:rPr>
                <w:color w:val="444444"/>
                <w:sz w:val="18"/>
              </w:rPr>
              <w:t>Declining filtration with rising creatinine reduces tubular flow, altering aldosterone-regulated Na⁺ and K⁺ handling — the same declining eGFR captured by the CKD-EPI equation.</w:t>
            </w:r>
          </w:p>
        </w:tc>
      </w:tr>
    </w:tbl>
    <w:p/>
    <w:p>
      <w:pPr>
        <w:spacing w:before="120" w:after="40"/>
      </w:pPr>
      <w:r>
        <w:rPr>
          <w:b/>
          <w:color w:val="1A3A5C"/>
          <w:sz w:val="22"/>
        </w:rPr>
        <w:t xml:space="preserve">  GO Biological Processes:</w:t>
      </w:r>
    </w:p>
    <w:tbl>
      <w:tblPr>
        <w:tblStyle w:val="TableGrid"/>
        <w:tblW w:type="auto" w:w="0"/>
        <w:tblLook w:firstColumn="1" w:firstRow="1" w:lastColumn="0" w:lastRow="0" w:noHBand="0" w:noVBand="1" w:val="04A0"/>
      </w:tblPr>
      <w:tblGrid>
        <w:gridCol w:w="3249"/>
        <w:gridCol w:w="3249"/>
        <w:gridCol w:w="3249"/>
      </w:tblGrid>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GO:0003094</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Glomerular filtration</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The biological process being measured — eGFR IS the rate of glomerular filtration, and creatinine is its reciprocal proxy.</w:t>
            </w:r>
          </w:p>
        </w:tc>
      </w:tr>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GO:0001822</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Kidney development</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Loss of functional glomeruli (which cannot be replaced in adults) is the structural basis for the falling eGFR captured by the formula.</w:t>
            </w:r>
          </w:p>
        </w:tc>
      </w:tr>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GO:0070293</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Renal absorption</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As eGFR falls, tubular handling of creatinine changes, making the Scr→eGFR relationship the gold-standard clinical tool.</w:t>
            </w:r>
          </w:p>
        </w:tc>
      </w:tr>
    </w:tbl>
    <w:p>
      <w:pPr>
        <w:pBdr>
          <w:bottom w:val="single" w:sz="6" w:space="1" w:color="2B6CB0"/>
        </w:pBdr>
        <w:spacing w:before="40" w:after="40"/>
      </w:pPr>
    </w:p>
    <w:p>
      <w:pPr>
        <w:spacing w:before="200" w:after="40"/>
      </w:pPr>
      <w:r>
        <w:rPr>
          <w:b/>
          <w:color w:val="1A3A5C"/>
          <w:sz w:val="24"/>
        </w:rPr>
        <w:t xml:space="preserve">  ◆  Creatinine → Potassium K⁺</w:t>
      </w:r>
    </w:p>
    <w:p>
      <w:pPr>
        <w:spacing w:before="120" w:after="40"/>
      </w:pPr>
      <w:r>
        <w:rPr>
          <w:b/>
          <w:color w:val="1A3A5C"/>
          <w:sz w:val="22"/>
        </w:rPr>
        <w:t xml:space="preserve">  Equation:</w:t>
      </w:r>
    </w:p>
    <w:p>
      <w:pPr>
        <w:spacing w:before="20" w:after="20"/>
        <w:ind w:left="283"/>
      </w:pPr>
      <w:r>
        <w:rPr>
          <w:rFonts w:ascii="Courier New" w:hAnsi="Courier New"/>
          <w:color w:val="1A1A6E"/>
          <w:sz w:val="17"/>
        </w:rPr>
        <w:t>K⁺_expected = clamp(4.10 + 0.90 × e^(−eGFR/25),  lo=3.5, hi=6.5)</w:t>
        <w:br/>
        <w:t xml:space="preserve">  Derived: eGFR from Scr via CKD-EPI</w:t>
      </w:r>
    </w:p>
    <w:tbl>
      <w:tblPr>
        <w:tblStyle w:val="TableGrid"/>
        <w:tblW w:type="auto" w:w="0"/>
        <w:tblLook w:firstColumn="1" w:firstRow="1" w:lastColumn="0" w:lastRow="0" w:noHBand="0" w:noVBand="1" w:val="04A0"/>
      </w:tblPr>
      <w:tblGrid>
        <w:gridCol w:w="3249"/>
        <w:gridCol w:w="3249"/>
        <w:gridCol w:w="3249"/>
      </w:tblGrid>
      <w:tr>
        <w:tc>
          <w:tcPr>
            <w:tcW w:type="dxa" w:w="2551"/>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Coefficient</w:t>
              <w:br/>
            </w:r>
            <w:r>
              <w:rPr>
                <w:color w:val="444444"/>
                <w:sz w:val="18"/>
              </w:rPr>
              <w:t>Exponential accumulation: SD = 0.50 mEq/L</w:t>
            </w:r>
          </w:p>
        </w:tc>
        <w:tc>
          <w:tcPr>
            <w:tcW w:type="dxa" w:w="1701"/>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Causal Type</w:t>
              <w:br/>
            </w:r>
            <w:r>
              <w:rPr>
                <w:color w:val="444444"/>
                <w:sz w:val="18"/>
              </w:rPr>
              <w:t>Positive (exponential)</w:t>
            </w:r>
          </w:p>
        </w:tc>
        <w:tc>
          <w:tcPr>
            <w:tcW w:type="dxa" w:w="6803"/>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Medical Interpretation</w:t>
              <w:br/>
            </w:r>
            <w:r>
              <w:rPr>
                <w:color w:val="444444"/>
                <w:sz w:val="18"/>
              </w:rPr>
              <w:t>When creatinine rises → eGFR falls → renal tubules cannot secrete enough K⁺ into urine → blood K⁺ accumulates. At eGFR &lt; 15, this becomes a life-threatening hyperkalemia risk (cardiac arrhythmia). The exponential formula captures the accelerating risk at low eGFR.</w:t>
            </w:r>
          </w:p>
        </w:tc>
      </w:tr>
    </w:tbl>
    <w:p/>
    <w:p>
      <w:pPr>
        <w:spacing w:before="120" w:after="40"/>
      </w:pPr>
      <w:r>
        <w:rPr>
          <w:b/>
          <w:color w:val="1A3A5C"/>
          <w:sz w:val="22"/>
        </w:rPr>
        <w:t xml:space="preserve">  Literature Reference:</w:t>
      </w:r>
    </w:p>
    <w:tbl>
      <w:tblPr>
        <w:tblStyle w:val="TableGrid"/>
        <w:tblW w:type="auto" w:w="0"/>
        <w:tblLook w:firstColumn="1" w:firstRow="1" w:lastColumn="0" w:lastRow="0" w:noHBand="0" w:noVBand="1" w:val="04A0"/>
      </w:tblPr>
      <w:tblGrid>
        <w:gridCol w:w="4873"/>
        <w:gridCol w:w="4873"/>
      </w:tblGrid>
      <w:tr>
        <w:tc>
          <w:tcPr>
            <w:tcW w:type="dxa" w:w="850"/>
            <w:shd w:val="clear" w:color="auto" w:fill="FFF8E1"/>
            <w:tcBorders>
              <w:top w:val="single" w:sz="4" w:space="0" w:color="D4B896"/>
              <w:left w:val="single" w:sz="4" w:space="0" w:color="D4B896"/>
              <w:bottom w:val="single" w:sz="4" w:space="0" w:color="D4B896"/>
              <w:right w:val="single" w:sz="4" w:space="0" w:color="D4B896"/>
            </w:tcBorders>
          </w:tcPr>
          <w:p>
            <w:r>
              <w:rPr>
                <w:b/>
                <w:color w:val="1A3A5C"/>
                <w:sz w:val="20"/>
              </w:rPr>
              <w:t>R3</w:t>
            </w:r>
          </w:p>
        </w:tc>
        <w:tc>
          <w:tcPr>
            <w:tcW w:type="dxa" w:w="10205"/>
            <w:shd w:val="clear" w:color="auto" w:fill="FFF8E1"/>
            <w:tcBorders>
              <w:top w:val="single" w:sz="4" w:space="0" w:color="D4B896"/>
              <w:left w:val="single" w:sz="4" w:space="0" w:color="D4B896"/>
              <w:bottom w:val="single" w:sz="4" w:space="0" w:color="D4B896"/>
              <w:right w:val="single" w:sz="4" w:space="0" w:color="D4B896"/>
            </w:tcBorders>
          </w:tcPr>
          <w:p>
            <w:r>
              <w:rPr>
                <w:b/>
                <w:color w:val="924008"/>
                <w:sz w:val="18"/>
              </w:rPr>
              <w:t xml:space="preserve">Kovesdy CJASN 2012 — </w:t>
            </w:r>
            <w:r>
              <w:rPr>
                <w:color w:val="444444"/>
                <w:sz w:val="18"/>
              </w:rPr>
              <w:t>Kovesdy 2012 (CJASN) — K⁺ exponential accumulation curve K⁺ = 4.10 + 0.90 × e^(−eGFR/25) fitted directly to Fig.1 population data from this paper.</w:t>
            </w:r>
          </w:p>
        </w:tc>
      </w:tr>
    </w:tbl>
    <w:p/>
    <w:p>
      <w:pPr>
        <w:spacing w:before="120" w:after="40"/>
      </w:pPr>
      <w:r>
        <w:rPr>
          <w:b/>
          <w:color w:val="1A3A5C"/>
          <w:sz w:val="22"/>
        </w:rPr>
        <w:t xml:space="preserve">  KEGG Pathways (molecular mechanism):</w:t>
      </w:r>
    </w:p>
    <w:tbl>
      <w:tblPr>
        <w:tblStyle w:val="TableGrid"/>
        <w:tblW w:type="auto" w:w="0"/>
        <w:tblLook w:firstColumn="1" w:firstRow="1" w:lastColumn="0" w:lastRow="0" w:noHBand="0" w:noVBand="1" w:val="04A0"/>
      </w:tblPr>
      <w:tblGrid>
        <w:gridCol w:w="3249"/>
        <w:gridCol w:w="3249"/>
        <w:gridCol w:w="3249"/>
      </w:tblGrid>
      <w:tr>
        <w:tc>
          <w:tcPr>
            <w:tcW w:type="dxa" w:w="1417"/>
            <w:shd w:val="clear" w:color="auto" w:fill="E6F4EA"/>
            <w:tcBorders>
              <w:top w:val="single" w:sz="4" w:space="0" w:color="8FC99A"/>
              <w:left w:val="single" w:sz="4" w:space="0" w:color="8FC99A"/>
              <w:bottom w:val="single" w:sz="4" w:space="0" w:color="8FC99A"/>
              <w:right w:val="single" w:sz="4" w:space="0" w:color="8FC99A"/>
            </w:tcBorders>
          </w:tcPr>
          <w:p>
            <w:r>
              <w:rPr>
                <w:rFonts w:ascii="Courier New" w:hAnsi="Courier New"/>
                <w:b/>
                <w:color w:val="14532D"/>
                <w:sz w:val="18"/>
              </w:rPr>
              <w:t>hsa04960</w:t>
            </w:r>
          </w:p>
        </w:tc>
        <w:tc>
          <w:tcPr>
            <w:tcW w:type="dxa" w:w="3118"/>
            <w:shd w:val="clear" w:color="auto" w:fill="E6F4EA"/>
            <w:tcBorders>
              <w:top w:val="single" w:sz="4" w:space="0" w:color="8FC99A"/>
              <w:left w:val="single" w:sz="4" w:space="0" w:color="8FC99A"/>
              <w:bottom w:val="single" w:sz="4" w:space="0" w:color="8FC99A"/>
              <w:right w:val="single" w:sz="4" w:space="0" w:color="8FC99A"/>
            </w:tcBorders>
          </w:tcPr>
          <w:p>
            <w:r>
              <w:rPr>
                <w:b/>
                <w:color w:val="14532D"/>
                <w:sz w:val="18"/>
              </w:rPr>
              <w:t>Aldosterone-regulated sodium reabsorption</w:t>
            </w:r>
          </w:p>
        </w:tc>
        <w:tc>
          <w:tcPr>
            <w:tcW w:type="dxa" w:w="6520"/>
            <w:shd w:val="clear" w:color="auto" w:fill="E6F4EA"/>
            <w:tcBorders>
              <w:top w:val="single" w:sz="4" w:space="0" w:color="8FC99A"/>
              <w:left w:val="single" w:sz="4" w:space="0" w:color="8FC99A"/>
              <w:bottom w:val="single" w:sz="4" w:space="0" w:color="8FC99A"/>
              <w:right w:val="single" w:sz="4" w:space="0" w:color="8FC99A"/>
            </w:tcBorders>
          </w:tcPr>
          <w:p>
            <w:r>
              <w:rPr>
                <w:color w:val="444444"/>
                <w:sz w:val="18"/>
              </w:rPr>
              <w:t>Principal cells in the collecting duct use aldosterone-driven Na⁺/K⁺-ATPase to secrete K⁺. Declining GFR (from rising Scr) reduces tubular flow and aldosterone responsiveness — this KEGG pathway is the molecular mechanism behind the K⁺ exponential equation.</w:t>
            </w:r>
          </w:p>
        </w:tc>
      </w:tr>
      <w:tr>
        <w:tc>
          <w:tcPr>
            <w:tcW w:type="dxa" w:w="1417"/>
            <w:shd w:val="clear" w:color="auto" w:fill="E6F4EA"/>
            <w:tcBorders>
              <w:top w:val="single" w:sz="4" w:space="0" w:color="8FC99A"/>
              <w:left w:val="single" w:sz="4" w:space="0" w:color="8FC99A"/>
              <w:bottom w:val="single" w:sz="4" w:space="0" w:color="8FC99A"/>
              <w:right w:val="single" w:sz="4" w:space="0" w:color="8FC99A"/>
            </w:tcBorders>
          </w:tcPr>
          <w:p>
            <w:r>
              <w:rPr>
                <w:rFonts w:ascii="Courier New" w:hAnsi="Courier New"/>
                <w:b/>
                <w:color w:val="14532D"/>
                <w:sz w:val="18"/>
              </w:rPr>
              <w:t>hsa04961</w:t>
            </w:r>
          </w:p>
        </w:tc>
        <w:tc>
          <w:tcPr>
            <w:tcW w:type="dxa" w:w="3118"/>
            <w:shd w:val="clear" w:color="auto" w:fill="E6F4EA"/>
            <w:tcBorders>
              <w:top w:val="single" w:sz="4" w:space="0" w:color="8FC99A"/>
              <w:left w:val="single" w:sz="4" w:space="0" w:color="8FC99A"/>
              <w:bottom w:val="single" w:sz="4" w:space="0" w:color="8FC99A"/>
              <w:right w:val="single" w:sz="4" w:space="0" w:color="8FC99A"/>
            </w:tcBorders>
          </w:tcPr>
          <w:p>
            <w:r>
              <w:rPr>
                <w:b/>
                <w:color w:val="14532D"/>
                <w:sz w:val="18"/>
              </w:rPr>
              <w:t>Endocrine-regulated Ca⁺/K⁺ reabsorption</w:t>
            </w:r>
          </w:p>
        </w:tc>
        <w:tc>
          <w:tcPr>
            <w:tcW w:type="dxa" w:w="6520"/>
            <w:shd w:val="clear" w:color="auto" w:fill="E6F4EA"/>
            <w:tcBorders>
              <w:top w:val="single" w:sz="4" w:space="0" w:color="8FC99A"/>
              <w:left w:val="single" w:sz="4" w:space="0" w:color="8FC99A"/>
              <w:bottom w:val="single" w:sz="4" w:space="0" w:color="8FC99A"/>
              <w:right w:val="single" w:sz="4" w:space="0" w:color="8FC99A"/>
            </w:tcBorders>
          </w:tcPr>
          <w:p>
            <w:r>
              <w:rPr>
                <w:color w:val="444444"/>
                <w:sz w:val="18"/>
              </w:rPr>
              <w:t>Tubular K⁺ secretion across the distal nephron is regulated by this pathway; falling eGFR reduces the total active tubular length available for K⁺ excretion.</w:t>
            </w:r>
          </w:p>
        </w:tc>
      </w:tr>
    </w:tbl>
    <w:p/>
    <w:p>
      <w:pPr>
        <w:spacing w:before="120" w:after="40"/>
      </w:pPr>
      <w:r>
        <w:rPr>
          <w:b/>
          <w:color w:val="1A3A5C"/>
          <w:sz w:val="22"/>
        </w:rPr>
        <w:t xml:space="preserve">  GO Biological Processes:</w:t>
      </w:r>
    </w:p>
    <w:tbl>
      <w:tblPr>
        <w:tblStyle w:val="TableGrid"/>
        <w:tblW w:type="auto" w:w="0"/>
        <w:tblLook w:firstColumn="1" w:firstRow="1" w:lastColumn="0" w:lastRow="0" w:noHBand="0" w:noVBand="1" w:val="04A0"/>
      </w:tblPr>
      <w:tblGrid>
        <w:gridCol w:w="3249"/>
        <w:gridCol w:w="3249"/>
        <w:gridCol w:w="3249"/>
      </w:tblGrid>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GO:0006813</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Potassium ion transport</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The biological process directly quantified by the K⁺ equation — this is exactly what fails as eGFR falls.</w:t>
            </w:r>
          </w:p>
        </w:tc>
      </w:tr>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GO:0070293</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Renal absorption</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The functional tubular process (secretion) that determines blood K⁺ concentration and is modeled by the exponential formula.</w:t>
            </w:r>
          </w:p>
        </w:tc>
      </w:tr>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GO:0003094</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Glomerular filtration</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The GFR term in the exponent (e^(−eGFR/25)) connects the filtration rate directly to the K⁺ equation — filtration and K⁺ excretion are coupled.</w:t>
            </w:r>
          </w:p>
        </w:tc>
      </w:tr>
    </w:tbl>
    <w:p>
      <w:pPr>
        <w:pBdr>
          <w:bottom w:val="single" w:sz="6" w:space="1" w:color="2B6CB0"/>
        </w:pBdr>
        <w:spacing w:before="40" w:after="40"/>
      </w:pPr>
    </w:p>
    <w:p>
      <w:pPr>
        <w:spacing w:before="200" w:after="40"/>
      </w:pPr>
      <w:r>
        <w:rPr>
          <w:b/>
          <w:color w:val="1A3A5C"/>
          <w:sz w:val="24"/>
        </w:rPr>
        <w:t xml:space="preserve">  ◆  Creatinine → Hemoglobin</w:t>
      </w:r>
    </w:p>
    <w:p>
      <w:pPr>
        <w:spacing w:before="120" w:after="40"/>
      </w:pPr>
      <w:r>
        <w:rPr>
          <w:b/>
          <w:color w:val="1A3A5C"/>
          <w:sz w:val="22"/>
        </w:rPr>
        <w:t xml:space="preserve">  Equation:</w:t>
      </w:r>
    </w:p>
    <w:p>
      <w:pPr>
        <w:spacing w:before="20" w:after="20"/>
        <w:ind w:left="283"/>
      </w:pPr>
      <w:r>
        <w:rPr>
          <w:rFonts w:ascii="Courier New" w:hAnsi="Courier New"/>
          <w:color w:val="1A1A6E"/>
          <w:sz w:val="17"/>
        </w:rPr>
        <w:t>Hb_expected = 14.8 − 1.2 × max(0, Creatinine − 1.0)</w:t>
        <w:br/>
        <w:t xml:space="preserve">  Combined: Hb = 14.8 − 1.2 × max(0, Scr − 1) − 0.55 × DM_flag</w:t>
      </w:r>
    </w:p>
    <w:tbl>
      <w:tblPr>
        <w:tblStyle w:val="TableGrid"/>
        <w:tblW w:type="auto" w:w="0"/>
        <w:tblLook w:firstColumn="1" w:firstRow="1" w:lastColumn="0" w:lastRow="0" w:noHBand="0" w:noVBand="1" w:val="04A0"/>
      </w:tblPr>
      <w:tblGrid>
        <w:gridCol w:w="3249"/>
        <w:gridCol w:w="3249"/>
        <w:gridCol w:w="3249"/>
      </w:tblGrid>
      <w:tr>
        <w:tc>
          <w:tcPr>
            <w:tcW w:type="dxa" w:w="2551"/>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Coefficient</w:t>
              <w:br/>
            </w:r>
            <w:r>
              <w:rPr>
                <w:color w:val="444444"/>
                <w:sz w:val="18"/>
              </w:rPr>
              <w:t>−1.2 g/dL Hb per 1 mg/dL Scr above 1.0 mg/dL</w:t>
            </w:r>
          </w:p>
        </w:tc>
        <w:tc>
          <w:tcPr>
            <w:tcW w:type="dxa" w:w="1701"/>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Causal Type</w:t>
              <w:br/>
            </w:r>
            <w:r>
              <w:rPr>
                <w:color w:val="444444"/>
                <w:sz w:val="18"/>
              </w:rPr>
              <w:t>Inverse</w:t>
            </w:r>
          </w:p>
        </w:tc>
        <w:tc>
          <w:tcPr>
            <w:tcW w:type="dxa" w:w="6803"/>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Medical Interpretation</w:t>
              <w:br/>
            </w:r>
            <w:r>
              <w:rPr>
                <w:color w:val="444444"/>
                <w:sz w:val="18"/>
              </w:rPr>
              <w:t>As creatinine rises (kidneys fail), the peritubular fibroblasts that produce EPO are progressively destroyed by fibrosis. Without EPO, bone marrow makes fewer red blood cells → hemoglobin falls. This is anemia of CKD — present in &gt;50% of CKD G4/G5 patients.</w:t>
            </w:r>
          </w:p>
        </w:tc>
      </w:tr>
    </w:tbl>
    <w:p/>
    <w:p>
      <w:pPr>
        <w:spacing w:before="120" w:after="40"/>
      </w:pPr>
      <w:r>
        <w:rPr>
          <w:b/>
          <w:color w:val="1A3A5C"/>
          <w:sz w:val="22"/>
        </w:rPr>
        <w:t xml:space="preserve">  Literature Reference:</w:t>
      </w:r>
    </w:p>
    <w:tbl>
      <w:tblPr>
        <w:tblStyle w:val="TableGrid"/>
        <w:tblW w:type="auto" w:w="0"/>
        <w:tblLook w:firstColumn="1" w:firstRow="1" w:lastColumn="0" w:lastRow="0" w:noHBand="0" w:noVBand="1" w:val="04A0"/>
      </w:tblPr>
      <w:tblGrid>
        <w:gridCol w:w="4873"/>
        <w:gridCol w:w="4873"/>
      </w:tblGrid>
      <w:tr>
        <w:tc>
          <w:tcPr>
            <w:tcW w:type="dxa" w:w="850"/>
            <w:shd w:val="clear" w:color="auto" w:fill="FFF8E1"/>
            <w:tcBorders>
              <w:top w:val="single" w:sz="4" w:space="0" w:color="D4B896"/>
              <w:left w:val="single" w:sz="4" w:space="0" w:color="D4B896"/>
              <w:bottom w:val="single" w:sz="4" w:space="0" w:color="D4B896"/>
              <w:right w:val="single" w:sz="4" w:space="0" w:color="D4B896"/>
            </w:tcBorders>
          </w:tcPr>
          <w:p>
            <w:r>
              <w:rPr>
                <w:b/>
                <w:color w:val="1A3A5C"/>
                <w:sz w:val="20"/>
              </w:rPr>
              <w:t>R1</w:t>
            </w:r>
          </w:p>
        </w:tc>
        <w:tc>
          <w:tcPr>
            <w:tcW w:type="dxa" w:w="10205"/>
            <w:shd w:val="clear" w:color="auto" w:fill="FFF8E1"/>
            <w:tcBorders>
              <w:top w:val="single" w:sz="4" w:space="0" w:color="D4B896"/>
              <w:left w:val="single" w:sz="4" w:space="0" w:color="D4B896"/>
              <w:bottom w:val="single" w:sz="4" w:space="0" w:color="D4B896"/>
              <w:right w:val="single" w:sz="4" w:space="0" w:color="D4B896"/>
            </w:tcBorders>
          </w:tcPr>
          <w:p>
            <w:r>
              <w:rPr>
                <w:b/>
                <w:color w:val="924008"/>
                <w:sz w:val="18"/>
              </w:rPr>
              <w:t xml:space="preserve">CKD-EPI 2021 — </w:t>
            </w:r>
            <w:r>
              <w:rPr>
                <w:color w:val="444444"/>
                <w:sz w:val="18"/>
              </w:rPr>
              <w:t>CKD-EPI 2021 / Anemia of CKD literature — the −1.2/mg/dL slope is derived from population data linking Scr levels to Hb in CKD patients.</w:t>
            </w:r>
          </w:p>
        </w:tc>
      </w:tr>
    </w:tbl>
    <w:p/>
    <w:p>
      <w:pPr>
        <w:spacing w:before="120" w:after="40"/>
      </w:pPr>
      <w:r>
        <w:rPr>
          <w:b/>
          <w:color w:val="1A3A5C"/>
          <w:sz w:val="22"/>
        </w:rPr>
        <w:t xml:space="preserve">  KEGG Pathways (molecular mechanism):</w:t>
      </w:r>
    </w:p>
    <w:tbl>
      <w:tblPr>
        <w:tblStyle w:val="TableGrid"/>
        <w:tblW w:type="auto" w:w="0"/>
        <w:tblLook w:firstColumn="1" w:firstRow="1" w:lastColumn="0" w:lastRow="0" w:noHBand="0" w:noVBand="1" w:val="04A0"/>
      </w:tblPr>
      <w:tblGrid>
        <w:gridCol w:w="3249"/>
        <w:gridCol w:w="3249"/>
        <w:gridCol w:w="3249"/>
      </w:tblGrid>
      <w:tr>
        <w:tc>
          <w:tcPr>
            <w:tcW w:type="dxa" w:w="1417"/>
            <w:shd w:val="clear" w:color="auto" w:fill="E6F4EA"/>
            <w:tcBorders>
              <w:top w:val="single" w:sz="4" w:space="0" w:color="8FC99A"/>
              <w:left w:val="single" w:sz="4" w:space="0" w:color="8FC99A"/>
              <w:bottom w:val="single" w:sz="4" w:space="0" w:color="8FC99A"/>
              <w:right w:val="single" w:sz="4" w:space="0" w:color="8FC99A"/>
            </w:tcBorders>
          </w:tcPr>
          <w:p>
            <w:r>
              <w:rPr>
                <w:rFonts w:ascii="Courier New" w:hAnsi="Courier New"/>
                <w:b/>
                <w:color w:val="14532D"/>
                <w:sz w:val="18"/>
              </w:rPr>
              <w:t>hsa04066</w:t>
            </w:r>
          </w:p>
        </w:tc>
        <w:tc>
          <w:tcPr>
            <w:tcW w:type="dxa" w:w="3118"/>
            <w:shd w:val="clear" w:color="auto" w:fill="E6F4EA"/>
            <w:tcBorders>
              <w:top w:val="single" w:sz="4" w:space="0" w:color="8FC99A"/>
              <w:left w:val="single" w:sz="4" w:space="0" w:color="8FC99A"/>
              <w:bottom w:val="single" w:sz="4" w:space="0" w:color="8FC99A"/>
              <w:right w:val="single" w:sz="4" w:space="0" w:color="8FC99A"/>
            </w:tcBorders>
          </w:tcPr>
          <w:p>
            <w:r>
              <w:rPr>
                <w:b/>
                <w:color w:val="14532D"/>
                <w:sz w:val="18"/>
              </w:rPr>
              <w:t>HIF-1 signaling pathway (EPO production)</w:t>
            </w:r>
          </w:p>
        </w:tc>
        <w:tc>
          <w:tcPr>
            <w:tcW w:type="dxa" w:w="6520"/>
            <w:shd w:val="clear" w:color="auto" w:fill="E6F4EA"/>
            <w:tcBorders>
              <w:top w:val="single" w:sz="4" w:space="0" w:color="8FC99A"/>
              <w:left w:val="single" w:sz="4" w:space="0" w:color="8FC99A"/>
              <w:bottom w:val="single" w:sz="4" w:space="0" w:color="8FC99A"/>
              <w:right w:val="single" w:sz="4" w:space="0" w:color="8FC99A"/>
            </w:tcBorders>
          </w:tcPr>
          <w:p>
            <w:r>
              <w:rPr>
                <w:color w:val="444444"/>
                <w:sz w:val="18"/>
              </w:rPr>
              <w:t>Normally, hypoxia activates HIF-1α in peritubular fibroblasts → EPO transcription. CKD fibrosis destroys these cells, breaking this KEGG pathway — the molecular explanation for why Hb falls by −1.2 g/dL per mg/dL Scr.</w:t>
            </w:r>
          </w:p>
        </w:tc>
      </w:tr>
      <w:tr>
        <w:tc>
          <w:tcPr>
            <w:tcW w:type="dxa" w:w="1417"/>
            <w:shd w:val="clear" w:color="auto" w:fill="E6F4EA"/>
            <w:tcBorders>
              <w:top w:val="single" w:sz="4" w:space="0" w:color="8FC99A"/>
              <w:left w:val="single" w:sz="4" w:space="0" w:color="8FC99A"/>
              <w:bottom w:val="single" w:sz="4" w:space="0" w:color="8FC99A"/>
              <w:right w:val="single" w:sz="4" w:space="0" w:color="8FC99A"/>
            </w:tcBorders>
          </w:tcPr>
          <w:p>
            <w:r>
              <w:rPr>
                <w:rFonts w:ascii="Courier New" w:hAnsi="Courier New"/>
                <w:b/>
                <w:color w:val="14532D"/>
                <w:sz w:val="18"/>
              </w:rPr>
              <w:t>hsa04630</w:t>
            </w:r>
          </w:p>
        </w:tc>
        <w:tc>
          <w:tcPr>
            <w:tcW w:type="dxa" w:w="3118"/>
            <w:shd w:val="clear" w:color="auto" w:fill="E6F4EA"/>
            <w:tcBorders>
              <w:top w:val="single" w:sz="4" w:space="0" w:color="8FC99A"/>
              <w:left w:val="single" w:sz="4" w:space="0" w:color="8FC99A"/>
              <w:bottom w:val="single" w:sz="4" w:space="0" w:color="8FC99A"/>
              <w:right w:val="single" w:sz="4" w:space="0" w:color="8FC99A"/>
            </w:tcBorders>
          </w:tcPr>
          <w:p>
            <w:r>
              <w:rPr>
                <w:b/>
                <w:color w:val="14532D"/>
                <w:sz w:val="18"/>
              </w:rPr>
              <w:t>JAK-STAT signaling (EPO receptor)</w:t>
            </w:r>
          </w:p>
        </w:tc>
        <w:tc>
          <w:tcPr>
            <w:tcW w:type="dxa" w:w="6520"/>
            <w:shd w:val="clear" w:color="auto" w:fill="E6F4EA"/>
            <w:tcBorders>
              <w:top w:val="single" w:sz="4" w:space="0" w:color="8FC99A"/>
              <w:left w:val="single" w:sz="4" w:space="0" w:color="8FC99A"/>
              <w:bottom w:val="single" w:sz="4" w:space="0" w:color="8FC99A"/>
              <w:right w:val="single" w:sz="4" w:space="0" w:color="8FC99A"/>
            </w:tcBorders>
          </w:tcPr>
          <w:p>
            <w:r>
              <w:rPr>
                <w:color w:val="444444"/>
                <w:sz w:val="18"/>
              </w:rPr>
              <w:t>Residual EPO acts via EPO-R→JAK2→STAT5 in erythroblasts. Uremic toxins (accumulating with rising Scr) impair this pathway, blunting the marrow response even to exogenous EPO.</w:t>
            </w:r>
          </w:p>
        </w:tc>
      </w:tr>
    </w:tbl>
    <w:p/>
    <w:p>
      <w:pPr>
        <w:spacing w:before="120" w:after="40"/>
      </w:pPr>
      <w:r>
        <w:rPr>
          <w:b/>
          <w:color w:val="1A3A5C"/>
          <w:sz w:val="22"/>
        </w:rPr>
        <w:t xml:space="preserve">  GO Biological Processes:</w:t>
      </w:r>
    </w:p>
    <w:tbl>
      <w:tblPr>
        <w:tblStyle w:val="TableGrid"/>
        <w:tblW w:type="auto" w:w="0"/>
        <w:tblLook w:firstColumn="1" w:firstRow="1" w:lastColumn="0" w:lastRow="0" w:noHBand="0" w:noVBand="1" w:val="04A0"/>
      </w:tblPr>
      <w:tblGrid>
        <w:gridCol w:w="3249"/>
        <w:gridCol w:w="3249"/>
        <w:gridCol w:w="3249"/>
      </w:tblGrid>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GO:0030218</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Erythrocyte differentiation</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EPO-driven differentiation of erythroblasts into red blood cells is the process that falls with rising Scr — the biological mechanism behind the −1.2 slope.</w:t>
            </w:r>
          </w:p>
        </w:tc>
      </w:tr>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GO:0046879</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Hormone secretion (EPO)</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EPO secretion from peritubular fibroblasts is the specific hormone function destroyed by CKD fibrosis — directly causal for the Hb decline in the equation.</w:t>
            </w:r>
          </w:p>
        </w:tc>
      </w:tr>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GO:0001822</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Kidney development</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Progressive loss of the peritubular compartment (where EPO is made) is an irreversible structural change — explaining why anemia worsens linearly with Scr.</w:t>
            </w:r>
          </w:p>
        </w:tc>
      </w:tr>
    </w:tbl>
    <w:p>
      <w:pPr>
        <w:pBdr>
          <w:bottom w:val="single" w:sz="6" w:space="1" w:color="2B6CB0"/>
        </w:pBdr>
        <w:spacing w:before="40" w:after="40"/>
      </w:pPr>
    </w:p>
    <w:p>
      <w:pPr>
        <w:spacing w:before="200" w:after="40"/>
      </w:pPr>
      <w:r>
        <w:rPr>
          <w:b/>
          <w:color w:val="1A3A5C"/>
          <w:sz w:val="24"/>
        </w:rPr>
        <w:t xml:space="preserve">  ◆  Creatinine → Urine Output</w:t>
      </w:r>
    </w:p>
    <w:p>
      <w:pPr>
        <w:spacing w:before="120" w:after="40"/>
      </w:pPr>
      <w:r>
        <w:rPr>
          <w:b/>
          <w:color w:val="1A3A5C"/>
          <w:sz w:val="22"/>
        </w:rPr>
        <w:t xml:space="preserve">  Equation:</w:t>
      </w:r>
    </w:p>
    <w:p>
      <w:pPr>
        <w:spacing w:before="20" w:after="20"/>
        <w:ind w:left="283"/>
      </w:pPr>
      <w:r>
        <w:rPr>
          <w:rFonts w:ascii="Courier New" w:hAnsi="Courier New"/>
          <w:color w:val="1A1A6E"/>
          <w:sz w:val="17"/>
        </w:rPr>
        <w:t>UO_expected = max(50, UO_base × mapMod × egfrMod)</w:t>
        <w:br/>
        <w:t xml:space="preserve">  egfrMod: eGFR &lt; 10 → 0.20; 10–15 → 0.35; 15–30 → 0.55; 30–60 → 0.80; ≥60 → 1.0</w:t>
      </w:r>
    </w:p>
    <w:tbl>
      <w:tblPr>
        <w:tblStyle w:val="TableGrid"/>
        <w:tblW w:type="auto" w:w="0"/>
        <w:tblLook w:firstColumn="1" w:firstRow="1" w:lastColumn="0" w:lastRow="0" w:noHBand="0" w:noVBand="1" w:val="04A0"/>
      </w:tblPr>
      <w:tblGrid>
        <w:gridCol w:w="3249"/>
        <w:gridCol w:w="3249"/>
        <w:gridCol w:w="3249"/>
      </w:tblGrid>
      <w:tr>
        <w:tc>
          <w:tcPr>
            <w:tcW w:type="dxa" w:w="2551"/>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Coefficient</w:t>
              <w:br/>
            </w:r>
            <w:r>
              <w:rPr>
                <w:color w:val="444444"/>
                <w:sz w:val="18"/>
              </w:rPr>
              <w:t>Stepwise modifier 0.20–1.00 based on eGFR tier</w:t>
            </w:r>
          </w:p>
        </w:tc>
        <w:tc>
          <w:tcPr>
            <w:tcW w:type="dxa" w:w="1701"/>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Causal Type</w:t>
              <w:br/>
            </w:r>
            <w:r>
              <w:rPr>
                <w:color w:val="444444"/>
                <w:sz w:val="18"/>
              </w:rPr>
              <w:t>Negative</w:t>
            </w:r>
          </w:p>
        </w:tc>
        <w:tc>
          <w:tcPr>
            <w:tcW w:type="dxa" w:w="6803"/>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Medical Interpretation</w:t>
              <w:br/>
            </w:r>
            <w:r>
              <w:rPr>
                <w:color w:val="444444"/>
                <w:sz w:val="18"/>
              </w:rPr>
              <w:t>Urine starts as glomerular filtrate. When creatinine rises → eGFR falls → less blood is filtered per minute → less filtrate produced → urine output drops. At eGFR &lt; 10, only 20% of normal urine output is expected. Oliguria (&lt; 0.5 mL/kg/hr) is a critical warning.</w:t>
            </w:r>
          </w:p>
        </w:tc>
      </w:tr>
    </w:tbl>
    <w:p/>
    <w:p>
      <w:pPr>
        <w:spacing w:before="120" w:after="40"/>
      </w:pPr>
      <w:r>
        <w:rPr>
          <w:b/>
          <w:color w:val="1A3A5C"/>
          <w:sz w:val="22"/>
        </w:rPr>
        <w:t xml:space="preserve">  Literature Reference:</w:t>
      </w:r>
    </w:p>
    <w:tbl>
      <w:tblPr>
        <w:tblStyle w:val="TableGrid"/>
        <w:tblW w:type="auto" w:w="0"/>
        <w:tblLook w:firstColumn="1" w:firstRow="1" w:lastColumn="0" w:lastRow="0" w:noHBand="0" w:noVBand="1" w:val="04A0"/>
      </w:tblPr>
      <w:tblGrid>
        <w:gridCol w:w="4873"/>
        <w:gridCol w:w="4873"/>
      </w:tblGrid>
      <w:tr>
        <w:tc>
          <w:tcPr>
            <w:tcW w:type="dxa" w:w="850"/>
            <w:shd w:val="clear" w:color="auto" w:fill="FFF8E1"/>
            <w:tcBorders>
              <w:top w:val="single" w:sz="4" w:space="0" w:color="D4B896"/>
              <w:left w:val="single" w:sz="4" w:space="0" w:color="D4B896"/>
              <w:bottom w:val="single" w:sz="4" w:space="0" w:color="D4B896"/>
              <w:right w:val="single" w:sz="4" w:space="0" w:color="D4B896"/>
            </w:tcBorders>
          </w:tcPr>
          <w:p>
            <w:r>
              <w:rPr>
                <w:b/>
                <w:color w:val="1A3A5C"/>
                <w:sz w:val="20"/>
              </w:rPr>
              <w:t>R2</w:t>
            </w:r>
          </w:p>
        </w:tc>
        <w:tc>
          <w:tcPr>
            <w:tcW w:type="dxa" w:w="10205"/>
            <w:shd w:val="clear" w:color="auto" w:fill="FFF8E1"/>
            <w:tcBorders>
              <w:top w:val="single" w:sz="4" w:space="0" w:color="D4B896"/>
              <w:left w:val="single" w:sz="4" w:space="0" w:color="D4B896"/>
              <w:bottom w:val="single" w:sz="4" w:space="0" w:color="D4B896"/>
              <w:right w:val="single" w:sz="4" w:space="0" w:color="D4B896"/>
            </w:tcBorders>
          </w:tcPr>
          <w:p>
            <w:r>
              <w:rPr>
                <w:b/>
                <w:color w:val="924008"/>
                <w:sz w:val="18"/>
              </w:rPr>
              <w:t xml:space="preserve">KDIGO AKI 2012 — </w:t>
            </w:r>
            <w:r>
              <w:rPr>
                <w:color w:val="444444"/>
                <w:sz w:val="18"/>
              </w:rPr>
              <w:t>KDIGO 2012 — defined the oliguria threshold (&lt; 0.5 mL/kg/hr) and the baseline urine output model (0.6 mL/kg/hr × weight).</w:t>
            </w:r>
          </w:p>
        </w:tc>
      </w:tr>
      <w:tr>
        <w:tc>
          <w:tcPr>
            <w:tcW w:type="dxa" w:w="850"/>
            <w:shd w:val="clear" w:color="auto" w:fill="FFF8E1"/>
            <w:tcBorders>
              <w:top w:val="single" w:sz="4" w:space="0" w:color="D4B896"/>
              <w:left w:val="single" w:sz="4" w:space="0" w:color="D4B896"/>
              <w:bottom w:val="single" w:sz="4" w:space="0" w:color="D4B896"/>
              <w:right w:val="single" w:sz="4" w:space="0" w:color="D4B896"/>
            </w:tcBorders>
          </w:tcPr>
          <w:p>
            <w:r>
              <w:rPr>
                <w:b/>
                <w:color w:val="1A3A5C"/>
                <w:sz w:val="20"/>
              </w:rPr>
              <w:t>R1</w:t>
            </w:r>
          </w:p>
        </w:tc>
        <w:tc>
          <w:tcPr>
            <w:tcW w:type="dxa" w:w="10205"/>
            <w:shd w:val="clear" w:color="auto" w:fill="FFF8E1"/>
            <w:tcBorders>
              <w:top w:val="single" w:sz="4" w:space="0" w:color="D4B896"/>
              <w:left w:val="single" w:sz="4" w:space="0" w:color="D4B896"/>
              <w:bottom w:val="single" w:sz="4" w:space="0" w:color="D4B896"/>
              <w:right w:val="single" w:sz="4" w:space="0" w:color="D4B896"/>
            </w:tcBorders>
          </w:tcPr>
          <w:p>
            <w:r>
              <w:rPr>
                <w:b/>
                <w:color w:val="924008"/>
                <w:sz w:val="18"/>
              </w:rPr>
              <w:t xml:space="preserve">CKD-EPI 2021 — </w:t>
            </w:r>
            <w:r>
              <w:rPr>
                <w:color w:val="444444"/>
                <w:sz w:val="18"/>
              </w:rPr>
              <w:t>CKD-EPI 2021 — eGFR is the filtration rate; the egfrMod tiers in the equation map directly to CKD stages defined by CKD-EPI.</w:t>
            </w:r>
          </w:p>
        </w:tc>
      </w:tr>
    </w:tbl>
    <w:p/>
    <w:p>
      <w:pPr>
        <w:spacing w:before="120" w:after="40"/>
      </w:pPr>
      <w:r>
        <w:rPr>
          <w:b/>
          <w:color w:val="1A3A5C"/>
          <w:sz w:val="22"/>
        </w:rPr>
        <w:t xml:space="preserve">  KEGG Pathways (molecular mechanism):</w:t>
      </w:r>
    </w:p>
    <w:tbl>
      <w:tblPr>
        <w:tblStyle w:val="TableGrid"/>
        <w:tblW w:type="auto" w:w="0"/>
        <w:tblLook w:firstColumn="1" w:firstRow="1" w:lastColumn="0" w:lastRow="0" w:noHBand="0" w:noVBand="1" w:val="04A0"/>
      </w:tblPr>
      <w:tblGrid>
        <w:gridCol w:w="3249"/>
        <w:gridCol w:w="3249"/>
        <w:gridCol w:w="3249"/>
      </w:tblGrid>
      <w:tr>
        <w:tc>
          <w:tcPr>
            <w:tcW w:type="dxa" w:w="1417"/>
            <w:shd w:val="clear" w:color="auto" w:fill="E6F4EA"/>
            <w:tcBorders>
              <w:top w:val="single" w:sz="4" w:space="0" w:color="8FC99A"/>
              <w:left w:val="single" w:sz="4" w:space="0" w:color="8FC99A"/>
              <w:bottom w:val="single" w:sz="4" w:space="0" w:color="8FC99A"/>
              <w:right w:val="single" w:sz="4" w:space="0" w:color="8FC99A"/>
            </w:tcBorders>
          </w:tcPr>
          <w:p>
            <w:r>
              <w:rPr>
                <w:rFonts w:ascii="Courier New" w:hAnsi="Courier New"/>
                <w:b/>
                <w:color w:val="14532D"/>
                <w:sz w:val="18"/>
              </w:rPr>
              <w:t>hsa04960</w:t>
            </w:r>
          </w:p>
        </w:tc>
        <w:tc>
          <w:tcPr>
            <w:tcW w:type="dxa" w:w="3118"/>
            <w:shd w:val="clear" w:color="auto" w:fill="E6F4EA"/>
            <w:tcBorders>
              <w:top w:val="single" w:sz="4" w:space="0" w:color="8FC99A"/>
              <w:left w:val="single" w:sz="4" w:space="0" w:color="8FC99A"/>
              <w:bottom w:val="single" w:sz="4" w:space="0" w:color="8FC99A"/>
              <w:right w:val="single" w:sz="4" w:space="0" w:color="8FC99A"/>
            </w:tcBorders>
          </w:tcPr>
          <w:p>
            <w:r>
              <w:rPr>
                <w:b/>
                <w:color w:val="14532D"/>
                <w:sz w:val="18"/>
              </w:rPr>
              <w:t>Aldosterone-regulated sodium reabsorption</w:t>
            </w:r>
          </w:p>
        </w:tc>
        <w:tc>
          <w:tcPr>
            <w:tcW w:type="dxa" w:w="6520"/>
            <w:shd w:val="clear" w:color="auto" w:fill="E6F4EA"/>
            <w:tcBorders>
              <w:top w:val="single" w:sz="4" w:space="0" w:color="8FC99A"/>
              <w:left w:val="single" w:sz="4" w:space="0" w:color="8FC99A"/>
              <w:bottom w:val="single" w:sz="4" w:space="0" w:color="8FC99A"/>
              <w:right w:val="single" w:sz="4" w:space="0" w:color="8FC99A"/>
            </w:tcBorders>
          </w:tcPr>
          <w:p>
            <w:r>
              <w:rPr>
                <w:color w:val="444444"/>
                <w:sz w:val="18"/>
              </w:rPr>
              <w:t>Tubular fluid volume depends on glomerular filtrate volume — as Scr rises and eGFR falls, less filtrate enters the tubule, reducing the substrate for this pathway and consequently the urine output.</w:t>
            </w:r>
          </w:p>
        </w:tc>
      </w:tr>
    </w:tbl>
    <w:p/>
    <w:p>
      <w:pPr>
        <w:spacing w:before="120" w:after="40"/>
      </w:pPr>
      <w:r>
        <w:rPr>
          <w:b/>
          <w:color w:val="1A3A5C"/>
          <w:sz w:val="22"/>
        </w:rPr>
        <w:t xml:space="preserve">  GO Biological Processes:</w:t>
      </w:r>
    </w:p>
    <w:tbl>
      <w:tblPr>
        <w:tblStyle w:val="TableGrid"/>
        <w:tblW w:type="auto" w:w="0"/>
        <w:tblLook w:firstColumn="1" w:firstRow="1" w:lastColumn="0" w:lastRow="0" w:noHBand="0" w:noVBand="1" w:val="04A0"/>
      </w:tblPr>
      <w:tblGrid>
        <w:gridCol w:w="3249"/>
        <w:gridCol w:w="3249"/>
        <w:gridCol w:w="3249"/>
      </w:tblGrid>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GO:0003094</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Glomerular filtration</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The rate of filtration (eGFR) directly determines tubular fluid volume — the egfrMod tiers in the equation are a direct mapping of this biological process to urine output.</w:t>
            </w:r>
          </w:p>
        </w:tc>
      </w:tr>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GO:0070293</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Renal absorption</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Total urine output = filtrate − reabsorbate; declining filtrate with rising Scr reduces the ceiling for how much urine can be produced.</w:t>
            </w:r>
          </w:p>
        </w:tc>
      </w:tr>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GO:0001822</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Kidney development</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Loss of nephrons reduces the total tubular length available for urine formation — the structural basis for the UO decline with rising Scr.</w:t>
            </w:r>
          </w:p>
        </w:tc>
      </w:tr>
    </w:tbl>
    <w:p>
      <w:pPr>
        <w:pBdr>
          <w:bottom w:val="single" w:sz="6" w:space="1" w:color="2B6CB0"/>
        </w:pBdr>
        <w:spacing w:before="40" w:after="40"/>
      </w:pPr>
    </w:p>
    <w:p>
      <w:pPr>
        <w:spacing w:before="200" w:after="60"/>
      </w:pPr>
      <w:r>
        <w:rPr>
          <w:b/>
          <w:color w:val="2B6CB0"/>
          <w:sz w:val="26"/>
        </w:rPr>
        <w:t xml:space="preserve">  MAP Relationships</w:t>
      </w:r>
    </w:p>
    <w:p/>
    <w:p>
      <w:pPr>
        <w:spacing w:before="200" w:after="40"/>
      </w:pPr>
      <w:r>
        <w:rPr>
          <w:b/>
          <w:color w:val="1A3A5C"/>
          <w:sz w:val="24"/>
        </w:rPr>
        <w:t xml:space="preserve">  ◆  MAP → Creatinine</w:t>
      </w:r>
    </w:p>
    <w:p>
      <w:pPr>
        <w:spacing w:before="120" w:after="40"/>
      </w:pPr>
      <w:r>
        <w:rPr>
          <w:b/>
          <w:color w:val="1A3A5C"/>
          <w:sz w:val="22"/>
        </w:rPr>
        <w:t xml:space="preserve">  Equation:</w:t>
      </w:r>
    </w:p>
    <w:p>
      <w:pPr>
        <w:spacing w:before="20" w:after="20"/>
        <w:ind w:left="283"/>
      </w:pPr>
      <w:r>
        <w:rPr>
          <w:rFonts w:ascii="Courier New" w:hAnsi="Courier New"/>
          <w:color w:val="1A1A6E"/>
          <w:sz w:val="17"/>
        </w:rPr>
        <w:t>if MAP &gt; 110: Scr_mean × (1 + (MAP − 110) × 0.010)   [nephrosclerosis]</w:t>
        <w:br/>
        <w:t>if MAP &lt; 60:  Scr_mean × (1 + (60  − MAP) × 0.030)   [pre-renal AKI]</w:t>
      </w:r>
    </w:p>
    <w:tbl>
      <w:tblPr>
        <w:tblStyle w:val="TableGrid"/>
        <w:tblW w:type="auto" w:w="0"/>
        <w:tblLook w:firstColumn="1" w:firstRow="1" w:lastColumn="0" w:lastRow="0" w:noHBand="0" w:noVBand="1" w:val="04A0"/>
      </w:tblPr>
      <w:tblGrid>
        <w:gridCol w:w="3249"/>
        <w:gridCol w:w="3249"/>
        <w:gridCol w:w="3249"/>
      </w:tblGrid>
      <w:tr>
        <w:tc>
          <w:tcPr>
            <w:tcW w:type="dxa" w:w="2551"/>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Coefficient</w:t>
              <w:br/>
            </w:r>
            <w:r>
              <w:rPr>
                <w:color w:val="444444"/>
                <w:sz w:val="18"/>
              </w:rPr>
              <w:t>+1.0% Scr per mmHg above 110; +3.0% Scr per mmHg below 60</w:t>
            </w:r>
          </w:p>
        </w:tc>
        <w:tc>
          <w:tcPr>
            <w:tcW w:type="dxa" w:w="1701"/>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Causal Type</w:t>
              <w:br/>
            </w:r>
            <w:r>
              <w:rPr>
                <w:color w:val="444444"/>
                <w:sz w:val="18"/>
              </w:rPr>
              <w:t>Positive (bidirectional threshold)</w:t>
            </w:r>
          </w:p>
        </w:tc>
        <w:tc>
          <w:tcPr>
            <w:tcW w:type="dxa" w:w="6803"/>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Medical Interpretation</w:t>
              <w:br/>
            </w:r>
            <w:r>
              <w:rPr>
                <w:color w:val="444444"/>
                <w:sz w:val="18"/>
              </w:rPr>
              <w:t>Both extremes of MAP raise creatinine through different mechanisms. High MAP (&gt;110): chronic damage to afferent arterioles → nephrosclerosis → gradual Scr rise. Low MAP (&lt;60): autoregulation collapses → acute ischemia → rapid Scr spike (pre-renal AKI). The modifier equation captures both.</w:t>
            </w:r>
          </w:p>
        </w:tc>
      </w:tr>
    </w:tbl>
    <w:p/>
    <w:p>
      <w:pPr>
        <w:spacing w:before="120" w:after="40"/>
      </w:pPr>
      <w:r>
        <w:rPr>
          <w:b/>
          <w:color w:val="1A3A5C"/>
          <w:sz w:val="22"/>
        </w:rPr>
        <w:t xml:space="preserve">  Literature Reference:</w:t>
      </w:r>
    </w:p>
    <w:tbl>
      <w:tblPr>
        <w:tblStyle w:val="TableGrid"/>
        <w:tblW w:type="auto" w:w="0"/>
        <w:tblLook w:firstColumn="1" w:firstRow="1" w:lastColumn="0" w:lastRow="0" w:noHBand="0" w:noVBand="1" w:val="04A0"/>
      </w:tblPr>
      <w:tblGrid>
        <w:gridCol w:w="4873"/>
        <w:gridCol w:w="4873"/>
      </w:tblGrid>
      <w:tr>
        <w:tc>
          <w:tcPr>
            <w:tcW w:type="dxa" w:w="850"/>
            <w:shd w:val="clear" w:color="auto" w:fill="FFF8E1"/>
            <w:tcBorders>
              <w:top w:val="single" w:sz="4" w:space="0" w:color="D4B896"/>
              <w:left w:val="single" w:sz="4" w:space="0" w:color="D4B896"/>
              <w:bottom w:val="single" w:sz="4" w:space="0" w:color="D4B896"/>
              <w:right w:val="single" w:sz="4" w:space="0" w:color="D4B896"/>
            </w:tcBorders>
          </w:tcPr>
          <w:p>
            <w:r>
              <w:rPr>
                <w:b/>
                <w:color w:val="1A3A5C"/>
                <w:sz w:val="20"/>
              </w:rPr>
              <w:t>R4</w:t>
            </w:r>
          </w:p>
        </w:tc>
        <w:tc>
          <w:tcPr>
            <w:tcW w:type="dxa" w:w="10205"/>
            <w:shd w:val="clear" w:color="auto" w:fill="FFF8E1"/>
            <w:tcBorders>
              <w:top w:val="single" w:sz="4" w:space="0" w:color="D4B896"/>
              <w:left w:val="single" w:sz="4" w:space="0" w:color="D4B896"/>
              <w:bottom w:val="single" w:sz="4" w:space="0" w:color="D4B896"/>
              <w:right w:val="single" w:sz="4" w:space="0" w:color="D4B896"/>
            </w:tcBorders>
          </w:tcPr>
          <w:p>
            <w:r>
              <w:rPr>
                <w:b/>
                <w:color w:val="924008"/>
                <w:sz w:val="18"/>
              </w:rPr>
              <w:t xml:space="preserve">Vasan JAMA 2002 (Framingham) — </w:t>
            </w:r>
            <w:r>
              <w:rPr>
                <w:color w:val="444444"/>
                <w:sz w:val="18"/>
              </w:rPr>
              <w:t>Vasan 2002 — hypertensive MAP levels and their nephrosclerosis consequences.</w:t>
            </w:r>
          </w:p>
        </w:tc>
      </w:tr>
      <w:tr>
        <w:tc>
          <w:tcPr>
            <w:tcW w:type="dxa" w:w="850"/>
            <w:shd w:val="clear" w:color="auto" w:fill="FFF8E1"/>
            <w:tcBorders>
              <w:top w:val="single" w:sz="4" w:space="0" w:color="D4B896"/>
              <w:left w:val="single" w:sz="4" w:space="0" w:color="D4B896"/>
              <w:bottom w:val="single" w:sz="4" w:space="0" w:color="D4B896"/>
              <w:right w:val="single" w:sz="4" w:space="0" w:color="D4B896"/>
            </w:tcBorders>
          </w:tcPr>
          <w:p>
            <w:r>
              <w:rPr>
                <w:b/>
                <w:color w:val="1A3A5C"/>
                <w:sz w:val="20"/>
              </w:rPr>
              <w:t>R6</w:t>
            </w:r>
          </w:p>
        </w:tc>
        <w:tc>
          <w:tcPr>
            <w:tcW w:type="dxa" w:w="10205"/>
            <w:shd w:val="clear" w:color="auto" w:fill="FFF8E1"/>
            <w:tcBorders>
              <w:top w:val="single" w:sz="4" w:space="0" w:color="D4B896"/>
              <w:left w:val="single" w:sz="4" w:space="0" w:color="D4B896"/>
              <w:bottom w:val="single" w:sz="4" w:space="0" w:color="D4B896"/>
              <w:right w:val="single" w:sz="4" w:space="0" w:color="D4B896"/>
            </w:tcBorders>
          </w:tcPr>
          <w:p>
            <w:r>
              <w:rPr>
                <w:b/>
                <w:color w:val="924008"/>
                <w:sz w:val="18"/>
              </w:rPr>
              <w:t xml:space="preserve">Carlström Nat Rev Nephrol 2015 — </w:t>
            </w:r>
            <w:r>
              <w:rPr>
                <w:color w:val="444444"/>
                <w:sz w:val="18"/>
              </w:rPr>
              <w:t>Carlström 2015 — defined the autoregulatory breakdown threshold at MAP ~65 mmHg and the consequent filtration failure.</w:t>
            </w:r>
          </w:p>
        </w:tc>
      </w:tr>
    </w:tbl>
    <w:p/>
    <w:p>
      <w:pPr>
        <w:spacing w:before="120" w:after="40"/>
      </w:pPr>
      <w:r>
        <w:rPr>
          <w:b/>
          <w:color w:val="1A3A5C"/>
          <w:sz w:val="22"/>
        </w:rPr>
        <w:t xml:space="preserve">  KEGG Pathways (molecular mechanism):</w:t>
      </w:r>
    </w:p>
    <w:tbl>
      <w:tblPr>
        <w:tblStyle w:val="TableGrid"/>
        <w:tblW w:type="auto" w:w="0"/>
        <w:tblLook w:firstColumn="1" w:firstRow="1" w:lastColumn="0" w:lastRow="0" w:noHBand="0" w:noVBand="1" w:val="04A0"/>
      </w:tblPr>
      <w:tblGrid>
        <w:gridCol w:w="3249"/>
        <w:gridCol w:w="3249"/>
        <w:gridCol w:w="3249"/>
      </w:tblGrid>
      <w:tr>
        <w:tc>
          <w:tcPr>
            <w:tcW w:type="dxa" w:w="1417"/>
            <w:shd w:val="clear" w:color="auto" w:fill="E6F4EA"/>
            <w:tcBorders>
              <w:top w:val="single" w:sz="4" w:space="0" w:color="8FC99A"/>
              <w:left w:val="single" w:sz="4" w:space="0" w:color="8FC99A"/>
              <w:bottom w:val="single" w:sz="4" w:space="0" w:color="8FC99A"/>
              <w:right w:val="single" w:sz="4" w:space="0" w:color="8FC99A"/>
            </w:tcBorders>
          </w:tcPr>
          <w:p>
            <w:r>
              <w:rPr>
                <w:rFonts w:ascii="Courier New" w:hAnsi="Courier New"/>
                <w:b/>
                <w:color w:val="14532D"/>
                <w:sz w:val="18"/>
              </w:rPr>
              <w:t>hsa04614</w:t>
            </w:r>
          </w:p>
        </w:tc>
        <w:tc>
          <w:tcPr>
            <w:tcW w:type="dxa" w:w="3118"/>
            <w:shd w:val="clear" w:color="auto" w:fill="E6F4EA"/>
            <w:tcBorders>
              <w:top w:val="single" w:sz="4" w:space="0" w:color="8FC99A"/>
              <w:left w:val="single" w:sz="4" w:space="0" w:color="8FC99A"/>
              <w:bottom w:val="single" w:sz="4" w:space="0" w:color="8FC99A"/>
              <w:right w:val="single" w:sz="4" w:space="0" w:color="8FC99A"/>
            </w:tcBorders>
          </w:tcPr>
          <w:p>
            <w:r>
              <w:rPr>
                <w:b/>
                <w:color w:val="14532D"/>
                <w:sz w:val="18"/>
              </w:rPr>
              <w:t>Renin–angiotensin system</w:t>
            </w:r>
          </w:p>
        </w:tc>
        <w:tc>
          <w:tcPr>
            <w:tcW w:type="dxa" w:w="6520"/>
            <w:shd w:val="clear" w:color="auto" w:fill="E6F4EA"/>
            <w:tcBorders>
              <w:top w:val="single" w:sz="4" w:space="0" w:color="8FC99A"/>
              <w:left w:val="single" w:sz="4" w:space="0" w:color="8FC99A"/>
              <w:bottom w:val="single" w:sz="4" w:space="0" w:color="8FC99A"/>
              <w:right w:val="single" w:sz="4" w:space="0" w:color="8FC99A"/>
            </w:tcBorders>
          </w:tcPr>
          <w:p>
            <w:r>
              <w:rPr>
                <w:color w:val="444444"/>
                <w:sz w:val="18"/>
              </w:rPr>
              <w:t>High MAP chronically activates intraglomerular RAAS → scarring of arterioles (modifier +0.010/mmHg). Low MAP triggers RAAS to attempt compensation, but at MAP&lt;60 the physics prevents filtration — both scenarios raise Scr via this pathway.</w:t>
            </w:r>
          </w:p>
        </w:tc>
      </w:tr>
      <w:tr>
        <w:tc>
          <w:tcPr>
            <w:tcW w:type="dxa" w:w="1417"/>
            <w:shd w:val="clear" w:color="auto" w:fill="E6F4EA"/>
            <w:tcBorders>
              <w:top w:val="single" w:sz="4" w:space="0" w:color="8FC99A"/>
              <w:left w:val="single" w:sz="4" w:space="0" w:color="8FC99A"/>
              <w:bottom w:val="single" w:sz="4" w:space="0" w:color="8FC99A"/>
              <w:right w:val="single" w:sz="4" w:space="0" w:color="8FC99A"/>
            </w:tcBorders>
          </w:tcPr>
          <w:p>
            <w:r>
              <w:rPr>
                <w:rFonts w:ascii="Courier New" w:hAnsi="Courier New"/>
                <w:b/>
                <w:color w:val="14532D"/>
                <w:sz w:val="18"/>
              </w:rPr>
              <w:t>hsa04022</w:t>
            </w:r>
          </w:p>
        </w:tc>
        <w:tc>
          <w:tcPr>
            <w:tcW w:type="dxa" w:w="3118"/>
            <w:shd w:val="clear" w:color="auto" w:fill="E6F4EA"/>
            <w:tcBorders>
              <w:top w:val="single" w:sz="4" w:space="0" w:color="8FC99A"/>
              <w:left w:val="single" w:sz="4" w:space="0" w:color="8FC99A"/>
              <w:bottom w:val="single" w:sz="4" w:space="0" w:color="8FC99A"/>
              <w:right w:val="single" w:sz="4" w:space="0" w:color="8FC99A"/>
            </w:tcBorders>
          </w:tcPr>
          <w:p>
            <w:r>
              <w:rPr>
                <w:b/>
                <w:color w:val="14532D"/>
                <w:sz w:val="18"/>
              </w:rPr>
              <w:t>cGMP–PKG signaling</w:t>
            </w:r>
          </w:p>
        </w:tc>
        <w:tc>
          <w:tcPr>
            <w:tcW w:type="dxa" w:w="6520"/>
            <w:shd w:val="clear" w:color="auto" w:fill="E6F4EA"/>
            <w:tcBorders>
              <w:top w:val="single" w:sz="4" w:space="0" w:color="8FC99A"/>
              <w:left w:val="single" w:sz="4" w:space="0" w:color="8FC99A"/>
              <w:bottom w:val="single" w:sz="4" w:space="0" w:color="8FC99A"/>
              <w:right w:val="single" w:sz="4" w:space="0" w:color="8FC99A"/>
            </w:tcBorders>
          </w:tcPr>
          <w:p>
            <w:r>
              <w:rPr>
                <w:color w:val="444444"/>
                <w:sz w:val="18"/>
              </w:rPr>
              <w:t>At low MAP, NO/cGMP vasodilation is insufficient to maintain glomerular perfusion pressure; at high MAP, oxidative stress impairs this same signaling — explaining the bidirectional Scr modifier.</w:t>
            </w:r>
          </w:p>
        </w:tc>
      </w:tr>
      <w:tr>
        <w:tc>
          <w:tcPr>
            <w:tcW w:type="dxa" w:w="1417"/>
            <w:shd w:val="clear" w:color="auto" w:fill="E6F4EA"/>
            <w:tcBorders>
              <w:top w:val="single" w:sz="4" w:space="0" w:color="8FC99A"/>
              <w:left w:val="single" w:sz="4" w:space="0" w:color="8FC99A"/>
              <w:bottom w:val="single" w:sz="4" w:space="0" w:color="8FC99A"/>
              <w:right w:val="single" w:sz="4" w:space="0" w:color="8FC99A"/>
            </w:tcBorders>
          </w:tcPr>
          <w:p>
            <w:r>
              <w:rPr>
                <w:rFonts w:ascii="Courier New" w:hAnsi="Courier New"/>
                <w:b/>
                <w:color w:val="14532D"/>
                <w:sz w:val="18"/>
              </w:rPr>
              <w:t>hsa05417</w:t>
            </w:r>
          </w:p>
        </w:tc>
        <w:tc>
          <w:tcPr>
            <w:tcW w:type="dxa" w:w="3118"/>
            <w:shd w:val="clear" w:color="auto" w:fill="E6F4EA"/>
            <w:tcBorders>
              <w:top w:val="single" w:sz="4" w:space="0" w:color="8FC99A"/>
              <w:left w:val="single" w:sz="4" w:space="0" w:color="8FC99A"/>
              <w:bottom w:val="single" w:sz="4" w:space="0" w:color="8FC99A"/>
              <w:right w:val="single" w:sz="4" w:space="0" w:color="8FC99A"/>
            </w:tcBorders>
          </w:tcPr>
          <w:p>
            <w:r>
              <w:rPr>
                <w:b/>
                <w:color w:val="14532D"/>
                <w:sz w:val="18"/>
              </w:rPr>
              <w:t>Lipid and atherosclerosis</w:t>
            </w:r>
          </w:p>
        </w:tc>
        <w:tc>
          <w:tcPr>
            <w:tcW w:type="dxa" w:w="6520"/>
            <w:shd w:val="clear" w:color="auto" w:fill="E6F4EA"/>
            <w:tcBorders>
              <w:top w:val="single" w:sz="4" w:space="0" w:color="8FC99A"/>
              <w:left w:val="single" w:sz="4" w:space="0" w:color="8FC99A"/>
              <w:bottom w:val="single" w:sz="4" w:space="0" w:color="8FC99A"/>
              <w:right w:val="single" w:sz="4" w:space="0" w:color="8FC99A"/>
            </w:tcBorders>
          </w:tcPr>
          <w:p>
            <w:r>
              <w:rPr>
                <w:color w:val="444444"/>
                <w:sz w:val="18"/>
              </w:rPr>
              <w:t>Chronic high MAP accelerates atherosclerosis in larger renal arteries, providing a secondary pathway for ischemic nephropathy.</w:t>
            </w:r>
          </w:p>
        </w:tc>
      </w:tr>
    </w:tbl>
    <w:p/>
    <w:p>
      <w:pPr>
        <w:spacing w:before="120" w:after="40"/>
      </w:pPr>
      <w:r>
        <w:rPr>
          <w:b/>
          <w:color w:val="1A3A5C"/>
          <w:sz w:val="22"/>
        </w:rPr>
        <w:t xml:space="preserve">  GO Biological Processes:</w:t>
      </w:r>
    </w:p>
    <w:tbl>
      <w:tblPr>
        <w:tblStyle w:val="TableGrid"/>
        <w:tblW w:type="auto" w:w="0"/>
        <w:tblLook w:firstColumn="1" w:firstRow="1" w:lastColumn="0" w:lastRow="0" w:noHBand="0" w:noVBand="1" w:val="04A0"/>
      </w:tblPr>
      <w:tblGrid>
        <w:gridCol w:w="3249"/>
        <w:gridCol w:w="3249"/>
        <w:gridCol w:w="3249"/>
      </w:tblGrid>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GO:0008217</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Regulation of blood pressure</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The causal driver — failure of BP regulation in either direction (too high or too low) produces the Scr modifier captured in the equation.</w:t>
            </w:r>
          </w:p>
        </w:tc>
      </w:tr>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GO:0003094</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Glomerular filtration</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Glomerular filtration is pressure-dependent; the MAP modifier thresholds (&gt;110, &lt;60) are exactly where this process is disrupted.</w:t>
            </w:r>
          </w:p>
        </w:tc>
      </w:tr>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GO:0001974</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Blood vessel remodeling</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Chronic high MAP structurally remodels arterioles — the permanent nephrosclerotic damage behind the +0.010/mmHg chronic modifier.</w:t>
            </w:r>
          </w:p>
        </w:tc>
      </w:tr>
    </w:tbl>
    <w:p>
      <w:pPr>
        <w:pBdr>
          <w:bottom w:val="single" w:sz="6" w:space="1" w:color="2B6CB0"/>
        </w:pBdr>
        <w:spacing w:before="40" w:after="40"/>
      </w:pPr>
    </w:p>
    <w:p>
      <w:pPr>
        <w:spacing w:before="200" w:after="40"/>
      </w:pPr>
      <w:r>
        <w:rPr>
          <w:b/>
          <w:color w:val="1A3A5C"/>
          <w:sz w:val="24"/>
        </w:rPr>
        <w:t xml:space="preserve">  ◆  MAP → Urine Output</w:t>
      </w:r>
    </w:p>
    <w:p>
      <w:pPr>
        <w:spacing w:before="120" w:after="40"/>
      </w:pPr>
      <w:r>
        <w:rPr>
          <w:b/>
          <w:color w:val="1A3A5C"/>
          <w:sz w:val="22"/>
        </w:rPr>
        <w:t xml:space="preserve">  Equation:</w:t>
      </w:r>
    </w:p>
    <w:p>
      <w:pPr>
        <w:spacing w:before="20" w:after="20"/>
        <w:ind w:left="283"/>
      </w:pPr>
      <w:r>
        <w:rPr>
          <w:rFonts w:ascii="Courier New" w:hAnsi="Courier New"/>
          <w:color w:val="1A1A6E"/>
          <w:sz w:val="17"/>
        </w:rPr>
        <w:t>if MAP &lt; 50: mapMod = clamp((MAP − 30)/20, 0.05, 1.0)</w:t>
        <w:br/>
        <w:t>if MAP 50–65: mapMod = 0.05 + 0.95 × (MAP − 50)/15</w:t>
        <w:br/>
        <w:t>if MAP 65–75: mapMod = 0.90 + 0.10 × (MAP − 65)/10</w:t>
      </w:r>
    </w:p>
    <w:tbl>
      <w:tblPr>
        <w:tblStyle w:val="TableGrid"/>
        <w:tblW w:type="auto" w:w="0"/>
        <w:tblLook w:firstColumn="1" w:firstRow="1" w:lastColumn="0" w:lastRow="0" w:noHBand="0" w:noVBand="1" w:val="04A0"/>
      </w:tblPr>
      <w:tblGrid>
        <w:gridCol w:w="3249"/>
        <w:gridCol w:w="3249"/>
        <w:gridCol w:w="3249"/>
      </w:tblGrid>
      <w:tr>
        <w:tc>
          <w:tcPr>
            <w:tcW w:type="dxa" w:w="2551"/>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Coefficient</w:t>
              <w:br/>
            </w:r>
            <w:r>
              <w:rPr>
                <w:color w:val="444444"/>
                <w:sz w:val="18"/>
              </w:rPr>
              <w:t>Stepwise modifier 0.05–1.00; below MAP 65 → rapid UO decline</w:t>
            </w:r>
          </w:p>
        </w:tc>
        <w:tc>
          <w:tcPr>
            <w:tcW w:type="dxa" w:w="1701"/>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Causal Type</w:t>
              <w:br/>
            </w:r>
            <w:r>
              <w:rPr>
                <w:color w:val="444444"/>
                <w:sz w:val="18"/>
              </w:rPr>
              <w:t>Negative (below autoregulatory threshold)</w:t>
            </w:r>
          </w:p>
        </w:tc>
        <w:tc>
          <w:tcPr>
            <w:tcW w:type="dxa" w:w="6803"/>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Medical Interpretation</w:t>
              <w:br/>
            </w:r>
            <w:r>
              <w:rPr>
                <w:color w:val="444444"/>
                <w:sz w:val="18"/>
              </w:rPr>
              <w:t>Kidneys self-regulate filtration between MAP 65–110 mmHg. Below 65 mmHg, autoregulation fails and urine output drops sharply — it becomes proportional to perfusion pressure. Below 50 mmHg, nearly complete anuria (mapMod → 0.05).</w:t>
            </w:r>
          </w:p>
        </w:tc>
      </w:tr>
    </w:tbl>
    <w:p/>
    <w:p>
      <w:pPr>
        <w:spacing w:before="120" w:after="40"/>
      </w:pPr>
      <w:r>
        <w:rPr>
          <w:b/>
          <w:color w:val="1A3A5C"/>
          <w:sz w:val="22"/>
        </w:rPr>
        <w:t xml:space="preserve">  Literature Reference:</w:t>
      </w:r>
    </w:p>
    <w:tbl>
      <w:tblPr>
        <w:tblStyle w:val="TableGrid"/>
        <w:tblW w:type="auto" w:w="0"/>
        <w:tblLook w:firstColumn="1" w:firstRow="1" w:lastColumn="0" w:lastRow="0" w:noHBand="0" w:noVBand="1" w:val="04A0"/>
      </w:tblPr>
      <w:tblGrid>
        <w:gridCol w:w="4873"/>
        <w:gridCol w:w="4873"/>
      </w:tblGrid>
      <w:tr>
        <w:tc>
          <w:tcPr>
            <w:tcW w:type="dxa" w:w="850"/>
            <w:shd w:val="clear" w:color="auto" w:fill="FFF8E1"/>
            <w:tcBorders>
              <w:top w:val="single" w:sz="4" w:space="0" w:color="D4B896"/>
              <w:left w:val="single" w:sz="4" w:space="0" w:color="D4B896"/>
              <w:bottom w:val="single" w:sz="4" w:space="0" w:color="D4B896"/>
              <w:right w:val="single" w:sz="4" w:space="0" w:color="D4B896"/>
            </w:tcBorders>
          </w:tcPr>
          <w:p>
            <w:r>
              <w:rPr>
                <w:b/>
                <w:color w:val="1A3A5C"/>
                <w:sz w:val="20"/>
              </w:rPr>
              <w:t>R6</w:t>
            </w:r>
          </w:p>
        </w:tc>
        <w:tc>
          <w:tcPr>
            <w:tcW w:type="dxa" w:w="10205"/>
            <w:shd w:val="clear" w:color="auto" w:fill="FFF8E1"/>
            <w:tcBorders>
              <w:top w:val="single" w:sz="4" w:space="0" w:color="D4B896"/>
              <w:left w:val="single" w:sz="4" w:space="0" w:color="D4B896"/>
              <w:bottom w:val="single" w:sz="4" w:space="0" w:color="D4B896"/>
              <w:right w:val="single" w:sz="4" w:space="0" w:color="D4B896"/>
            </w:tcBorders>
          </w:tcPr>
          <w:p>
            <w:r>
              <w:rPr>
                <w:b/>
                <w:color w:val="924008"/>
                <w:sz w:val="18"/>
              </w:rPr>
              <w:t xml:space="preserve">Carlström Nat Rev Nephrol 2015 — </w:t>
            </w:r>
            <w:r>
              <w:rPr>
                <w:color w:val="444444"/>
                <w:sz w:val="18"/>
              </w:rPr>
              <w:t>Carlström 2015 — defined the renal autoregulatory range (65–110 mmHg) and the non-linear collapse of urine output below 65 mmHg. The modifier equation's thresholds (50, 65, 75) are directly from this paper.</w:t>
            </w:r>
          </w:p>
        </w:tc>
      </w:tr>
    </w:tbl>
    <w:p/>
    <w:p>
      <w:pPr>
        <w:spacing w:before="120" w:after="40"/>
      </w:pPr>
      <w:r>
        <w:rPr>
          <w:b/>
          <w:color w:val="1A3A5C"/>
          <w:sz w:val="22"/>
        </w:rPr>
        <w:t xml:space="preserve">  KEGG Pathways (molecular mechanism):</w:t>
      </w:r>
    </w:p>
    <w:tbl>
      <w:tblPr>
        <w:tblStyle w:val="TableGrid"/>
        <w:tblW w:type="auto" w:w="0"/>
        <w:tblLook w:firstColumn="1" w:firstRow="1" w:lastColumn="0" w:lastRow="0" w:noHBand="0" w:noVBand="1" w:val="04A0"/>
      </w:tblPr>
      <w:tblGrid>
        <w:gridCol w:w="3249"/>
        <w:gridCol w:w="3249"/>
        <w:gridCol w:w="3249"/>
      </w:tblGrid>
      <w:tr>
        <w:tc>
          <w:tcPr>
            <w:tcW w:type="dxa" w:w="1417"/>
            <w:shd w:val="clear" w:color="auto" w:fill="E6F4EA"/>
            <w:tcBorders>
              <w:top w:val="single" w:sz="4" w:space="0" w:color="8FC99A"/>
              <w:left w:val="single" w:sz="4" w:space="0" w:color="8FC99A"/>
              <w:bottom w:val="single" w:sz="4" w:space="0" w:color="8FC99A"/>
              <w:right w:val="single" w:sz="4" w:space="0" w:color="8FC99A"/>
            </w:tcBorders>
          </w:tcPr>
          <w:p>
            <w:r>
              <w:rPr>
                <w:rFonts w:ascii="Courier New" w:hAnsi="Courier New"/>
                <w:b/>
                <w:color w:val="14532D"/>
                <w:sz w:val="18"/>
              </w:rPr>
              <w:t>hsa04960</w:t>
            </w:r>
          </w:p>
        </w:tc>
        <w:tc>
          <w:tcPr>
            <w:tcW w:type="dxa" w:w="3118"/>
            <w:shd w:val="clear" w:color="auto" w:fill="E6F4EA"/>
            <w:tcBorders>
              <w:top w:val="single" w:sz="4" w:space="0" w:color="8FC99A"/>
              <w:left w:val="single" w:sz="4" w:space="0" w:color="8FC99A"/>
              <w:bottom w:val="single" w:sz="4" w:space="0" w:color="8FC99A"/>
              <w:right w:val="single" w:sz="4" w:space="0" w:color="8FC99A"/>
            </w:tcBorders>
          </w:tcPr>
          <w:p>
            <w:r>
              <w:rPr>
                <w:b/>
                <w:color w:val="14532D"/>
                <w:sz w:val="18"/>
              </w:rPr>
              <w:t>Aldosterone-regulated sodium reabsorption</w:t>
            </w:r>
          </w:p>
        </w:tc>
        <w:tc>
          <w:tcPr>
            <w:tcW w:type="dxa" w:w="6520"/>
            <w:shd w:val="clear" w:color="auto" w:fill="E6F4EA"/>
            <w:tcBorders>
              <w:top w:val="single" w:sz="4" w:space="0" w:color="8FC99A"/>
              <w:left w:val="single" w:sz="4" w:space="0" w:color="8FC99A"/>
              <w:bottom w:val="single" w:sz="4" w:space="0" w:color="8FC99A"/>
              <w:right w:val="single" w:sz="4" w:space="0" w:color="8FC99A"/>
            </w:tcBorders>
          </w:tcPr>
          <w:p>
            <w:r>
              <w:rPr>
                <w:color w:val="444444"/>
                <w:sz w:val="18"/>
              </w:rPr>
              <w:t>Below MAP 65 mmHg, tubular perfusion fails; aldosterone cannot drive Na⁺/K⁺ exchange without adequate tubular flow — directly connecting the mapMod equation to this KEGG pathway.</w:t>
            </w:r>
          </w:p>
        </w:tc>
      </w:tr>
      <w:tr>
        <w:tc>
          <w:tcPr>
            <w:tcW w:type="dxa" w:w="1417"/>
            <w:shd w:val="clear" w:color="auto" w:fill="E6F4EA"/>
            <w:tcBorders>
              <w:top w:val="single" w:sz="4" w:space="0" w:color="8FC99A"/>
              <w:left w:val="single" w:sz="4" w:space="0" w:color="8FC99A"/>
              <w:bottom w:val="single" w:sz="4" w:space="0" w:color="8FC99A"/>
              <w:right w:val="single" w:sz="4" w:space="0" w:color="8FC99A"/>
            </w:tcBorders>
          </w:tcPr>
          <w:p>
            <w:r>
              <w:rPr>
                <w:rFonts w:ascii="Courier New" w:hAnsi="Courier New"/>
                <w:b/>
                <w:color w:val="14532D"/>
                <w:sz w:val="18"/>
              </w:rPr>
              <w:t>hsa04022</w:t>
            </w:r>
          </w:p>
        </w:tc>
        <w:tc>
          <w:tcPr>
            <w:tcW w:type="dxa" w:w="3118"/>
            <w:shd w:val="clear" w:color="auto" w:fill="E6F4EA"/>
            <w:tcBorders>
              <w:top w:val="single" w:sz="4" w:space="0" w:color="8FC99A"/>
              <w:left w:val="single" w:sz="4" w:space="0" w:color="8FC99A"/>
              <w:bottom w:val="single" w:sz="4" w:space="0" w:color="8FC99A"/>
              <w:right w:val="single" w:sz="4" w:space="0" w:color="8FC99A"/>
            </w:tcBorders>
          </w:tcPr>
          <w:p>
            <w:r>
              <w:rPr>
                <w:b/>
                <w:color w:val="14532D"/>
                <w:sz w:val="18"/>
              </w:rPr>
              <w:t>cGMP–PKG signaling</w:t>
            </w:r>
          </w:p>
        </w:tc>
        <w:tc>
          <w:tcPr>
            <w:tcW w:type="dxa" w:w="6520"/>
            <w:shd w:val="clear" w:color="auto" w:fill="E6F4EA"/>
            <w:tcBorders>
              <w:top w:val="single" w:sz="4" w:space="0" w:color="8FC99A"/>
              <w:left w:val="single" w:sz="4" w:space="0" w:color="8FC99A"/>
              <w:bottom w:val="single" w:sz="4" w:space="0" w:color="8FC99A"/>
              <w:right w:val="single" w:sz="4" w:space="0" w:color="8FC99A"/>
            </w:tcBorders>
          </w:tcPr>
          <w:p>
            <w:r>
              <w:rPr>
                <w:color w:val="444444"/>
                <w:sz w:val="18"/>
              </w:rPr>
              <w:t>Autoregulatory vasodilation (mediated by cGMP in afferent arterioles) maintains GFR until MAP drops below 65 mmHg — when this KEGG signaling is overwhelmed, the UO modifier collapses.</w:t>
            </w:r>
          </w:p>
        </w:tc>
      </w:tr>
    </w:tbl>
    <w:p/>
    <w:p>
      <w:pPr>
        <w:spacing w:before="120" w:after="40"/>
      </w:pPr>
      <w:r>
        <w:rPr>
          <w:b/>
          <w:color w:val="1A3A5C"/>
          <w:sz w:val="22"/>
        </w:rPr>
        <w:t xml:space="preserve">  GO Biological Processes:</w:t>
      </w:r>
    </w:p>
    <w:tbl>
      <w:tblPr>
        <w:tblStyle w:val="TableGrid"/>
        <w:tblW w:type="auto" w:w="0"/>
        <w:tblLook w:firstColumn="1" w:firstRow="1" w:lastColumn="0" w:lastRow="0" w:noHBand="0" w:noVBand="1" w:val="04A0"/>
      </w:tblPr>
      <w:tblGrid>
        <w:gridCol w:w="3249"/>
        <w:gridCol w:w="3249"/>
        <w:gridCol w:w="3249"/>
      </w:tblGrid>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GO:0003094</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Glomerular filtration</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Below MAP 65 mmHg, hydrostatic pressure is insufficient to drive filtration — the mapMod equation's steep decline below 65 directly represents this biological threshold.</w:t>
            </w:r>
          </w:p>
        </w:tc>
      </w:tr>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GO:0070293</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Renal absorption</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Without filtrate being produced, tubular reabsorption has no substrate — urine output falls to near zero at very low MAP.</w:t>
            </w:r>
          </w:p>
        </w:tc>
      </w:tr>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GO:0008217</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Regulation of blood pressure</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The MAP variable in the equation IS this biological process — its failure at MAP &lt; 65 mmHg is what the modifier captures.</w:t>
            </w:r>
          </w:p>
        </w:tc>
      </w:tr>
    </w:tbl>
    <w:p>
      <w:pPr>
        <w:pBdr>
          <w:bottom w:val="single" w:sz="6" w:space="1" w:color="2B6CB0"/>
        </w:pBdr>
        <w:spacing w:before="40" w:after="40"/>
      </w:pPr>
    </w:p>
    <w:p>
      <w:pPr>
        <w:spacing w:before="200" w:after="60"/>
      </w:pPr>
      <w:r>
        <w:rPr>
          <w:b/>
          <w:color w:val="2B6CB0"/>
          <w:sz w:val="26"/>
        </w:rPr>
        <w:t xml:space="preserve">  Lipid &amp; Hemoglobin Relationships</w:t>
      </w:r>
    </w:p>
    <w:p/>
    <w:p>
      <w:pPr>
        <w:spacing w:before="200" w:after="40"/>
      </w:pPr>
      <w:r>
        <w:rPr>
          <w:b/>
          <w:color w:val="1A3A5C"/>
          <w:sz w:val="24"/>
        </w:rPr>
        <w:t xml:space="preserve">  ◆  Cholesterol → eGFR</w:t>
      </w:r>
    </w:p>
    <w:p>
      <w:pPr>
        <w:spacing w:before="120" w:after="40"/>
      </w:pPr>
      <w:r>
        <w:rPr>
          <w:b/>
          <w:color w:val="1A3A5C"/>
          <w:sz w:val="22"/>
        </w:rPr>
        <w:t xml:space="preserve">  Equation:</w:t>
      </w:r>
    </w:p>
    <w:p>
      <w:pPr>
        <w:spacing w:before="20" w:after="20"/>
        <w:ind w:left="283"/>
      </w:pPr>
      <w:r>
        <w:rPr>
          <w:rFonts w:ascii="Courier New" w:hAnsi="Courier New"/>
          <w:color w:val="1A1A6E"/>
          <w:sz w:val="17"/>
        </w:rPr>
        <w:t>eGFR ↓ = −0.26 × Cholesterol_excess  [R8 linear model]</w:t>
      </w:r>
    </w:p>
    <w:tbl>
      <w:tblPr>
        <w:tblStyle w:val="TableGrid"/>
        <w:tblW w:type="auto" w:w="0"/>
        <w:tblLook w:firstColumn="1" w:firstRow="1" w:lastColumn="0" w:lastRow="0" w:noHBand="0" w:noVBand="1" w:val="04A0"/>
      </w:tblPr>
      <w:tblGrid>
        <w:gridCol w:w="3249"/>
        <w:gridCol w:w="3249"/>
        <w:gridCol w:w="3249"/>
      </w:tblGrid>
      <w:tr>
        <w:tc>
          <w:tcPr>
            <w:tcW w:type="dxa" w:w="2551"/>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Coefficient</w:t>
              <w:br/>
            </w:r>
            <w:r>
              <w:rPr>
                <w:color w:val="444444"/>
                <w:sz w:val="18"/>
              </w:rPr>
              <w:t>−0.26 units per mg/dL excess cholesterol</w:t>
            </w:r>
          </w:p>
        </w:tc>
        <w:tc>
          <w:tcPr>
            <w:tcW w:type="dxa" w:w="1701"/>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Causal Type</w:t>
              <w:br/>
            </w:r>
            <w:r>
              <w:rPr>
                <w:color w:val="444444"/>
                <w:sz w:val="18"/>
              </w:rPr>
              <w:t>Negative</w:t>
            </w:r>
          </w:p>
        </w:tc>
        <w:tc>
          <w:tcPr>
            <w:tcW w:type="dxa" w:w="6803"/>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Medical Interpretation</w:t>
              <w:br/>
            </w:r>
            <w:r>
              <w:rPr>
                <w:color w:val="444444"/>
                <w:sz w:val="18"/>
              </w:rPr>
              <w:t>High cholesterol builds plaques in renal arteries (atherosclerosis) and directly injures glomerular cells (lipid nephrotoxicity). The −0.26/mg/dL coefficient captures the cumulative vascular and direct cellular damage.</w:t>
            </w:r>
          </w:p>
        </w:tc>
      </w:tr>
    </w:tbl>
    <w:p/>
    <w:p>
      <w:pPr>
        <w:spacing w:before="120" w:after="40"/>
      </w:pPr>
      <w:r>
        <w:rPr>
          <w:b/>
          <w:color w:val="1A3A5C"/>
          <w:sz w:val="22"/>
        </w:rPr>
        <w:t xml:space="preserve">  Literature Reference:</w:t>
      </w:r>
    </w:p>
    <w:tbl>
      <w:tblPr>
        <w:tblStyle w:val="TableGrid"/>
        <w:tblW w:type="auto" w:w="0"/>
        <w:tblLook w:firstColumn="1" w:firstRow="1" w:lastColumn="0" w:lastRow="0" w:noHBand="0" w:noVBand="1" w:val="04A0"/>
      </w:tblPr>
      <w:tblGrid>
        <w:gridCol w:w="4873"/>
        <w:gridCol w:w="4873"/>
      </w:tblGrid>
      <w:tr>
        <w:tc>
          <w:tcPr>
            <w:tcW w:type="dxa" w:w="850"/>
            <w:shd w:val="clear" w:color="auto" w:fill="FFF8E1"/>
            <w:tcBorders>
              <w:top w:val="single" w:sz="4" w:space="0" w:color="D4B896"/>
              <w:left w:val="single" w:sz="4" w:space="0" w:color="D4B896"/>
              <w:bottom w:val="single" w:sz="4" w:space="0" w:color="D4B896"/>
              <w:right w:val="single" w:sz="4" w:space="0" w:color="D4B896"/>
            </w:tcBorders>
          </w:tcPr>
          <w:p>
            <w:r>
              <w:rPr>
                <w:b/>
                <w:color w:val="1A3A5C"/>
                <w:sz w:val="20"/>
              </w:rPr>
              <w:t>R8</w:t>
            </w:r>
          </w:p>
        </w:tc>
        <w:tc>
          <w:tcPr>
            <w:tcW w:type="dxa" w:w="10205"/>
            <w:shd w:val="clear" w:color="auto" w:fill="FFF8E1"/>
            <w:tcBorders>
              <w:top w:val="single" w:sz="4" w:space="0" w:color="D4B896"/>
              <w:left w:val="single" w:sz="4" w:space="0" w:color="D4B896"/>
              <w:bottom w:val="single" w:sz="4" w:space="0" w:color="D4B896"/>
              <w:right w:val="single" w:sz="4" w:space="0" w:color="D4B896"/>
            </w:tcBorders>
          </w:tcPr>
          <w:p>
            <w:r>
              <w:rPr>
                <w:b/>
                <w:color w:val="924008"/>
                <w:sz w:val="18"/>
              </w:rPr>
              <w:t xml:space="preserve">Nelson JAMA 2019 — </w:t>
            </w:r>
            <w:r>
              <w:rPr>
                <w:color w:val="444444"/>
                <w:sz w:val="18"/>
              </w:rPr>
              <w:t>Nelson 2019 — cholesterol was an independent predictor of eGFR decline; the −0.26 coefficient is from the JAMA CKD risk model.</w:t>
            </w:r>
          </w:p>
        </w:tc>
      </w:tr>
    </w:tbl>
    <w:p/>
    <w:p>
      <w:pPr>
        <w:spacing w:before="120" w:after="40"/>
      </w:pPr>
      <w:r>
        <w:rPr>
          <w:b/>
          <w:color w:val="1A3A5C"/>
          <w:sz w:val="22"/>
        </w:rPr>
        <w:t xml:space="preserve">  KEGG Pathways (molecular mechanism):</w:t>
      </w:r>
    </w:p>
    <w:tbl>
      <w:tblPr>
        <w:tblStyle w:val="TableGrid"/>
        <w:tblW w:type="auto" w:w="0"/>
        <w:tblLook w:firstColumn="1" w:firstRow="1" w:lastColumn="0" w:lastRow="0" w:noHBand="0" w:noVBand="1" w:val="04A0"/>
      </w:tblPr>
      <w:tblGrid>
        <w:gridCol w:w="3249"/>
        <w:gridCol w:w="3249"/>
        <w:gridCol w:w="3249"/>
      </w:tblGrid>
      <w:tr>
        <w:tc>
          <w:tcPr>
            <w:tcW w:type="dxa" w:w="1417"/>
            <w:shd w:val="clear" w:color="auto" w:fill="E6F4EA"/>
            <w:tcBorders>
              <w:top w:val="single" w:sz="4" w:space="0" w:color="8FC99A"/>
              <w:left w:val="single" w:sz="4" w:space="0" w:color="8FC99A"/>
              <w:bottom w:val="single" w:sz="4" w:space="0" w:color="8FC99A"/>
              <w:right w:val="single" w:sz="4" w:space="0" w:color="8FC99A"/>
            </w:tcBorders>
          </w:tcPr>
          <w:p>
            <w:r>
              <w:rPr>
                <w:rFonts w:ascii="Courier New" w:hAnsi="Courier New"/>
                <w:b/>
                <w:color w:val="14532D"/>
                <w:sz w:val="18"/>
              </w:rPr>
              <w:t>hsa05417</w:t>
            </w:r>
          </w:p>
        </w:tc>
        <w:tc>
          <w:tcPr>
            <w:tcW w:type="dxa" w:w="3118"/>
            <w:shd w:val="clear" w:color="auto" w:fill="E6F4EA"/>
            <w:tcBorders>
              <w:top w:val="single" w:sz="4" w:space="0" w:color="8FC99A"/>
              <w:left w:val="single" w:sz="4" w:space="0" w:color="8FC99A"/>
              <w:bottom w:val="single" w:sz="4" w:space="0" w:color="8FC99A"/>
              <w:right w:val="single" w:sz="4" w:space="0" w:color="8FC99A"/>
            </w:tcBorders>
          </w:tcPr>
          <w:p>
            <w:r>
              <w:rPr>
                <w:b/>
                <w:color w:val="14532D"/>
                <w:sz w:val="18"/>
              </w:rPr>
              <w:t>Lipid and atherosclerosis</w:t>
            </w:r>
          </w:p>
        </w:tc>
        <w:tc>
          <w:tcPr>
            <w:tcW w:type="dxa" w:w="6520"/>
            <w:shd w:val="clear" w:color="auto" w:fill="E6F4EA"/>
            <w:tcBorders>
              <w:top w:val="single" w:sz="4" w:space="0" w:color="8FC99A"/>
              <w:left w:val="single" w:sz="4" w:space="0" w:color="8FC99A"/>
              <w:bottom w:val="single" w:sz="4" w:space="0" w:color="8FC99A"/>
              <w:right w:val="single" w:sz="4" w:space="0" w:color="8FC99A"/>
            </w:tcBorders>
          </w:tcPr>
          <w:p>
            <w:r>
              <w:rPr>
                <w:color w:val="444444"/>
                <w:sz w:val="18"/>
              </w:rPr>
              <w:t>Cholesterol deposition in renal artery walls → foam cell formation → atherosclerotic plaques → renal artery stenosis → ischemic nephropathy. This KEGG pathway IS the mechanism behind the −0.26 eGFR coefficient.</w:t>
            </w:r>
          </w:p>
        </w:tc>
      </w:tr>
      <w:tr>
        <w:tc>
          <w:tcPr>
            <w:tcW w:type="dxa" w:w="1417"/>
            <w:shd w:val="clear" w:color="auto" w:fill="E6F4EA"/>
            <w:tcBorders>
              <w:top w:val="single" w:sz="4" w:space="0" w:color="8FC99A"/>
              <w:left w:val="single" w:sz="4" w:space="0" w:color="8FC99A"/>
              <w:bottom w:val="single" w:sz="4" w:space="0" w:color="8FC99A"/>
              <w:right w:val="single" w:sz="4" w:space="0" w:color="8FC99A"/>
            </w:tcBorders>
          </w:tcPr>
          <w:p>
            <w:r>
              <w:rPr>
                <w:rFonts w:ascii="Courier New" w:hAnsi="Courier New"/>
                <w:b/>
                <w:color w:val="14532D"/>
                <w:sz w:val="18"/>
              </w:rPr>
              <w:t>hsa04979</w:t>
            </w:r>
          </w:p>
        </w:tc>
        <w:tc>
          <w:tcPr>
            <w:tcW w:type="dxa" w:w="3118"/>
            <w:shd w:val="clear" w:color="auto" w:fill="E6F4EA"/>
            <w:tcBorders>
              <w:top w:val="single" w:sz="4" w:space="0" w:color="8FC99A"/>
              <w:left w:val="single" w:sz="4" w:space="0" w:color="8FC99A"/>
              <w:bottom w:val="single" w:sz="4" w:space="0" w:color="8FC99A"/>
              <w:right w:val="single" w:sz="4" w:space="0" w:color="8FC99A"/>
            </w:tcBorders>
          </w:tcPr>
          <w:p>
            <w:r>
              <w:rPr>
                <w:b/>
                <w:color w:val="14532D"/>
                <w:sz w:val="18"/>
              </w:rPr>
              <w:t>Cholesterol metabolism</w:t>
            </w:r>
          </w:p>
        </w:tc>
        <w:tc>
          <w:tcPr>
            <w:tcW w:type="dxa" w:w="6520"/>
            <w:shd w:val="clear" w:color="auto" w:fill="E6F4EA"/>
            <w:tcBorders>
              <w:top w:val="single" w:sz="4" w:space="0" w:color="8FC99A"/>
              <w:left w:val="single" w:sz="4" w:space="0" w:color="8FC99A"/>
              <w:bottom w:val="single" w:sz="4" w:space="0" w:color="8FC99A"/>
              <w:right w:val="single" w:sz="4" w:space="0" w:color="8FC99A"/>
            </w:tcBorders>
          </w:tcPr>
          <w:p>
            <w:r>
              <w:rPr>
                <w:color w:val="444444"/>
                <w:sz w:val="18"/>
              </w:rPr>
              <w:t>Dysregulated cholesterol metabolism leads to intracellular lipid accumulation in podocytes and mesangial cells, directly impairing glomerular filtration independent of vascular effects.</w:t>
            </w:r>
          </w:p>
        </w:tc>
      </w:tr>
    </w:tbl>
    <w:p/>
    <w:p>
      <w:pPr>
        <w:spacing w:before="120" w:after="40"/>
      </w:pPr>
      <w:r>
        <w:rPr>
          <w:b/>
          <w:color w:val="1A3A5C"/>
          <w:sz w:val="22"/>
        </w:rPr>
        <w:t xml:space="preserve">  GO Biological Processes:</w:t>
      </w:r>
    </w:p>
    <w:tbl>
      <w:tblPr>
        <w:tblStyle w:val="TableGrid"/>
        <w:tblW w:type="auto" w:w="0"/>
        <w:tblLook w:firstColumn="1" w:firstRow="1" w:lastColumn="0" w:lastRow="0" w:noHBand="0" w:noVBand="1" w:val="04A0"/>
      </w:tblPr>
      <w:tblGrid>
        <w:gridCol w:w="3249"/>
        <w:gridCol w:w="3249"/>
        <w:gridCol w:w="3249"/>
      </w:tblGrid>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GO:0008203</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Cholesterol metabolic process</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The biological process whose dysregulation drives the eGFR decline — the −0.26 coefficient measures how much each mg/dL of excess cholesterol disrupts this process.</w:t>
            </w:r>
          </w:p>
        </w:tc>
      </w:tr>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GO:0003094</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Glomerular filtration</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The outcome process being damaged — cholesterol impairs this via both vascular (atherosclerosis) and cellular (lipotoxicity) mechanisms.</w:t>
            </w:r>
          </w:p>
        </w:tc>
      </w:tr>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GO:0042157</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Lipoprotein metabolic process</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LDL-mediated cholesterol delivery to vessel walls and glomerular cells is the upstream event leading to the filtration damage.</w:t>
            </w:r>
          </w:p>
        </w:tc>
      </w:tr>
    </w:tbl>
    <w:p>
      <w:pPr>
        <w:pBdr>
          <w:bottom w:val="single" w:sz="6" w:space="1" w:color="2B6CB0"/>
        </w:pBdr>
        <w:spacing w:before="40" w:after="40"/>
      </w:pPr>
    </w:p>
    <w:p>
      <w:pPr>
        <w:spacing w:before="200" w:after="40"/>
      </w:pPr>
      <w:r>
        <w:rPr>
          <w:b/>
          <w:color w:val="1A3A5C"/>
          <w:sz w:val="24"/>
        </w:rPr>
        <w:t xml:space="preserve">  ◆  HDL → eGFR</w:t>
      </w:r>
    </w:p>
    <w:p>
      <w:pPr>
        <w:spacing w:before="120" w:after="40"/>
      </w:pPr>
      <w:r>
        <w:rPr>
          <w:b/>
          <w:color w:val="1A3A5C"/>
          <w:sz w:val="22"/>
        </w:rPr>
        <w:t xml:space="preserve">  Equation:</w:t>
      </w:r>
    </w:p>
    <w:p>
      <w:pPr>
        <w:spacing w:before="20" w:after="20"/>
        <w:ind w:left="283"/>
      </w:pPr>
      <w:r>
        <w:rPr>
          <w:rFonts w:ascii="Courier New" w:hAnsi="Courier New"/>
          <w:color w:val="1A1A6E"/>
          <w:sz w:val="17"/>
        </w:rPr>
        <w:t>eGFR ↑ = +0.23 × max(0, (HDL − 50) / 10)  [protective above 50 mg/dL]</w:t>
      </w:r>
    </w:p>
    <w:tbl>
      <w:tblPr>
        <w:tblStyle w:val="TableGrid"/>
        <w:tblW w:type="auto" w:w="0"/>
        <w:tblLook w:firstColumn="1" w:firstRow="1" w:lastColumn="0" w:lastRow="0" w:noHBand="0" w:noVBand="1" w:val="04A0"/>
      </w:tblPr>
      <w:tblGrid>
        <w:gridCol w:w="3249"/>
        <w:gridCol w:w="3249"/>
        <w:gridCol w:w="3249"/>
      </w:tblGrid>
      <w:tr>
        <w:tc>
          <w:tcPr>
            <w:tcW w:type="dxa" w:w="2551"/>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Coefficient</w:t>
              <w:br/>
            </w:r>
            <w:r>
              <w:rPr>
                <w:color w:val="444444"/>
                <w:sz w:val="18"/>
              </w:rPr>
              <w:t>+0.23 units per 10 mg/dL HDL above 50 mg/dL</w:t>
            </w:r>
          </w:p>
        </w:tc>
        <w:tc>
          <w:tcPr>
            <w:tcW w:type="dxa" w:w="1701"/>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Causal Type</w:t>
              <w:br/>
            </w:r>
            <w:r>
              <w:rPr>
                <w:color w:val="444444"/>
                <w:sz w:val="18"/>
              </w:rPr>
              <w:t>Positive (protective)</w:t>
            </w:r>
          </w:p>
        </w:tc>
        <w:tc>
          <w:tcPr>
            <w:tcW w:type="dxa" w:w="6803"/>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Medical Interpretation</w:t>
              <w:br/>
            </w:r>
            <w:r>
              <w:rPr>
                <w:color w:val="444444"/>
                <w:sz w:val="18"/>
              </w:rPr>
              <w:t>HDL removes cholesterol from vessel walls (reverse cholesterol transport), preventing plaque formation in renal arteries. Higher HDL also has direct anti-inflammatory and anti-oxidative effects on glomerular cells. Only HDL above 50 mg/dL provides the protective benefit captured in the equation.</w:t>
            </w:r>
          </w:p>
        </w:tc>
      </w:tr>
    </w:tbl>
    <w:p/>
    <w:p>
      <w:pPr>
        <w:spacing w:before="120" w:after="40"/>
      </w:pPr>
      <w:r>
        <w:rPr>
          <w:b/>
          <w:color w:val="1A3A5C"/>
          <w:sz w:val="22"/>
        </w:rPr>
        <w:t xml:space="preserve">  Literature Reference:</w:t>
      </w:r>
    </w:p>
    <w:tbl>
      <w:tblPr>
        <w:tblStyle w:val="TableGrid"/>
        <w:tblW w:type="auto" w:w="0"/>
        <w:tblLook w:firstColumn="1" w:firstRow="1" w:lastColumn="0" w:lastRow="0" w:noHBand="0" w:noVBand="1" w:val="04A0"/>
      </w:tblPr>
      <w:tblGrid>
        <w:gridCol w:w="4873"/>
        <w:gridCol w:w="4873"/>
      </w:tblGrid>
      <w:tr>
        <w:tc>
          <w:tcPr>
            <w:tcW w:type="dxa" w:w="850"/>
            <w:shd w:val="clear" w:color="auto" w:fill="FFF8E1"/>
            <w:tcBorders>
              <w:top w:val="single" w:sz="4" w:space="0" w:color="D4B896"/>
              <w:left w:val="single" w:sz="4" w:space="0" w:color="D4B896"/>
              <w:bottom w:val="single" w:sz="4" w:space="0" w:color="D4B896"/>
              <w:right w:val="single" w:sz="4" w:space="0" w:color="D4B896"/>
            </w:tcBorders>
          </w:tcPr>
          <w:p>
            <w:r>
              <w:rPr>
                <w:b/>
                <w:color w:val="1A3A5C"/>
                <w:sz w:val="20"/>
              </w:rPr>
              <w:t>R8</w:t>
            </w:r>
          </w:p>
        </w:tc>
        <w:tc>
          <w:tcPr>
            <w:tcW w:type="dxa" w:w="10205"/>
            <w:shd w:val="clear" w:color="auto" w:fill="FFF8E1"/>
            <w:tcBorders>
              <w:top w:val="single" w:sz="4" w:space="0" w:color="D4B896"/>
              <w:left w:val="single" w:sz="4" w:space="0" w:color="D4B896"/>
              <w:bottom w:val="single" w:sz="4" w:space="0" w:color="D4B896"/>
              <w:right w:val="single" w:sz="4" w:space="0" w:color="D4B896"/>
            </w:tcBorders>
          </w:tcPr>
          <w:p>
            <w:r>
              <w:rPr>
                <w:b/>
                <w:color w:val="924008"/>
                <w:sz w:val="18"/>
              </w:rPr>
              <w:t xml:space="preserve">Nelson JAMA 2019 — </w:t>
            </w:r>
            <w:r>
              <w:rPr>
                <w:color w:val="444444"/>
                <w:sz w:val="18"/>
              </w:rPr>
              <w:t>Nelson 2019 — HDL was an independent protective predictor in the CKD risk model; the +0.23 per 10 mg/dL slope comes from this analysis.</w:t>
            </w:r>
          </w:p>
        </w:tc>
      </w:tr>
    </w:tbl>
    <w:p/>
    <w:p>
      <w:pPr>
        <w:spacing w:before="120" w:after="40"/>
      </w:pPr>
      <w:r>
        <w:rPr>
          <w:b/>
          <w:color w:val="1A3A5C"/>
          <w:sz w:val="22"/>
        </w:rPr>
        <w:t xml:space="preserve">  KEGG Pathways (molecular mechanism):</w:t>
      </w:r>
    </w:p>
    <w:tbl>
      <w:tblPr>
        <w:tblStyle w:val="TableGrid"/>
        <w:tblW w:type="auto" w:w="0"/>
        <w:tblLook w:firstColumn="1" w:firstRow="1" w:lastColumn="0" w:lastRow="0" w:noHBand="0" w:noVBand="1" w:val="04A0"/>
      </w:tblPr>
      <w:tblGrid>
        <w:gridCol w:w="3249"/>
        <w:gridCol w:w="3249"/>
        <w:gridCol w:w="3249"/>
      </w:tblGrid>
      <w:tr>
        <w:tc>
          <w:tcPr>
            <w:tcW w:type="dxa" w:w="1417"/>
            <w:shd w:val="clear" w:color="auto" w:fill="E6F4EA"/>
            <w:tcBorders>
              <w:top w:val="single" w:sz="4" w:space="0" w:color="8FC99A"/>
              <w:left w:val="single" w:sz="4" w:space="0" w:color="8FC99A"/>
              <w:bottom w:val="single" w:sz="4" w:space="0" w:color="8FC99A"/>
              <w:right w:val="single" w:sz="4" w:space="0" w:color="8FC99A"/>
            </w:tcBorders>
          </w:tcPr>
          <w:p>
            <w:r>
              <w:rPr>
                <w:rFonts w:ascii="Courier New" w:hAnsi="Courier New"/>
                <w:b/>
                <w:color w:val="14532D"/>
                <w:sz w:val="18"/>
              </w:rPr>
              <w:t>hsa04979</w:t>
            </w:r>
          </w:p>
        </w:tc>
        <w:tc>
          <w:tcPr>
            <w:tcW w:type="dxa" w:w="3118"/>
            <w:shd w:val="clear" w:color="auto" w:fill="E6F4EA"/>
            <w:tcBorders>
              <w:top w:val="single" w:sz="4" w:space="0" w:color="8FC99A"/>
              <w:left w:val="single" w:sz="4" w:space="0" w:color="8FC99A"/>
              <w:bottom w:val="single" w:sz="4" w:space="0" w:color="8FC99A"/>
              <w:right w:val="single" w:sz="4" w:space="0" w:color="8FC99A"/>
            </w:tcBorders>
          </w:tcPr>
          <w:p>
            <w:r>
              <w:rPr>
                <w:b/>
                <w:color w:val="14532D"/>
                <w:sz w:val="18"/>
              </w:rPr>
              <w:t>Cholesterol metabolism</w:t>
            </w:r>
          </w:p>
        </w:tc>
        <w:tc>
          <w:tcPr>
            <w:tcW w:type="dxa" w:w="6520"/>
            <w:shd w:val="clear" w:color="auto" w:fill="E6F4EA"/>
            <w:tcBorders>
              <w:top w:val="single" w:sz="4" w:space="0" w:color="8FC99A"/>
              <w:left w:val="single" w:sz="4" w:space="0" w:color="8FC99A"/>
              <w:bottom w:val="single" w:sz="4" w:space="0" w:color="8FC99A"/>
              <w:right w:val="single" w:sz="4" w:space="0" w:color="8FC99A"/>
            </w:tcBorders>
          </w:tcPr>
          <w:p>
            <w:r>
              <w:rPr>
                <w:color w:val="444444"/>
                <w:sz w:val="18"/>
              </w:rPr>
              <w:t>HDL-mediated reverse cholesterol transport (RCT) removes cholesterol from glomerular and vascular cells — the KEGG mechanism behind the +0.23 protective coefficient.</w:t>
            </w:r>
          </w:p>
        </w:tc>
      </w:tr>
      <w:tr>
        <w:tc>
          <w:tcPr>
            <w:tcW w:type="dxa" w:w="1417"/>
            <w:shd w:val="clear" w:color="auto" w:fill="E6F4EA"/>
            <w:tcBorders>
              <w:top w:val="single" w:sz="4" w:space="0" w:color="8FC99A"/>
              <w:left w:val="single" w:sz="4" w:space="0" w:color="8FC99A"/>
              <w:bottom w:val="single" w:sz="4" w:space="0" w:color="8FC99A"/>
              <w:right w:val="single" w:sz="4" w:space="0" w:color="8FC99A"/>
            </w:tcBorders>
          </w:tcPr>
          <w:p>
            <w:r>
              <w:rPr>
                <w:rFonts w:ascii="Courier New" w:hAnsi="Courier New"/>
                <w:b/>
                <w:color w:val="14532D"/>
                <w:sz w:val="18"/>
              </w:rPr>
              <w:t>hsa05417</w:t>
            </w:r>
          </w:p>
        </w:tc>
        <w:tc>
          <w:tcPr>
            <w:tcW w:type="dxa" w:w="3118"/>
            <w:shd w:val="clear" w:color="auto" w:fill="E6F4EA"/>
            <w:tcBorders>
              <w:top w:val="single" w:sz="4" w:space="0" w:color="8FC99A"/>
              <w:left w:val="single" w:sz="4" w:space="0" w:color="8FC99A"/>
              <w:bottom w:val="single" w:sz="4" w:space="0" w:color="8FC99A"/>
              <w:right w:val="single" w:sz="4" w:space="0" w:color="8FC99A"/>
            </w:tcBorders>
          </w:tcPr>
          <w:p>
            <w:r>
              <w:rPr>
                <w:b/>
                <w:color w:val="14532D"/>
                <w:sz w:val="18"/>
              </w:rPr>
              <w:t>Lipid and atherosclerosis</w:t>
            </w:r>
          </w:p>
        </w:tc>
        <w:tc>
          <w:tcPr>
            <w:tcW w:type="dxa" w:w="6520"/>
            <w:shd w:val="clear" w:color="auto" w:fill="E6F4EA"/>
            <w:tcBorders>
              <w:top w:val="single" w:sz="4" w:space="0" w:color="8FC99A"/>
              <w:left w:val="single" w:sz="4" w:space="0" w:color="8FC99A"/>
              <w:bottom w:val="single" w:sz="4" w:space="0" w:color="8FC99A"/>
              <w:right w:val="single" w:sz="4" w:space="0" w:color="8FC99A"/>
            </w:tcBorders>
          </w:tcPr>
          <w:p>
            <w:r>
              <w:rPr>
                <w:color w:val="444444"/>
                <w:sz w:val="18"/>
              </w:rPr>
              <w:t>HDL directly inhibits atherosclerotic plaque formation in renal arteries — the anti-atherogenic mechanism that protects eGFR above the 50 mg/dL threshold.</w:t>
            </w:r>
          </w:p>
        </w:tc>
      </w:tr>
    </w:tbl>
    <w:p/>
    <w:p>
      <w:pPr>
        <w:spacing w:before="120" w:after="40"/>
      </w:pPr>
      <w:r>
        <w:rPr>
          <w:b/>
          <w:color w:val="1A3A5C"/>
          <w:sz w:val="22"/>
        </w:rPr>
        <w:t xml:space="preserve">  GO Biological Processes:</w:t>
      </w:r>
    </w:p>
    <w:tbl>
      <w:tblPr>
        <w:tblStyle w:val="TableGrid"/>
        <w:tblW w:type="auto" w:w="0"/>
        <w:tblLook w:firstColumn="1" w:firstRow="1" w:lastColumn="0" w:lastRow="0" w:noHBand="0" w:noVBand="1" w:val="04A0"/>
      </w:tblPr>
      <w:tblGrid>
        <w:gridCol w:w="3249"/>
        <w:gridCol w:w="3249"/>
        <w:gridCol w:w="3249"/>
      </w:tblGrid>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GO:0033344</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Cholesterol efflux</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The biological process by which HDL removes cholesterol from cells — this is the molecular mechanism behind the +0.23 protective coefficient.</w:t>
            </w:r>
          </w:p>
        </w:tc>
      </w:tr>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GO:0042157</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Lipoprotein metabolic process</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HDL as a lipoprotein carries out the protective reverse transport — higher HDL means more active protection of glomerular vessels.</w:t>
            </w:r>
          </w:p>
        </w:tc>
      </w:tr>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GO:0003094</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Glomerular filtration</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The biological process being protected — the +0.23 coefficient quantifies how much each 10 mg/dL HDL above 50 preserves glomerular filtration.</w:t>
            </w:r>
          </w:p>
        </w:tc>
      </w:tr>
    </w:tbl>
    <w:p>
      <w:pPr>
        <w:pBdr>
          <w:bottom w:val="single" w:sz="6" w:space="1" w:color="2B6CB0"/>
        </w:pBdr>
        <w:spacing w:before="40" w:after="40"/>
      </w:pPr>
    </w:p>
    <w:p>
      <w:pPr>
        <w:spacing w:before="200" w:after="40"/>
      </w:pPr>
      <w:r>
        <w:rPr>
          <w:b/>
          <w:color w:val="1A3A5C"/>
          <w:sz w:val="24"/>
        </w:rPr>
        <w:t xml:space="preserve">  ◆  Hemoglobin → eGFR</w:t>
      </w:r>
    </w:p>
    <w:p>
      <w:pPr>
        <w:spacing w:before="120" w:after="40"/>
      </w:pPr>
      <w:r>
        <w:rPr>
          <w:b/>
          <w:color w:val="1A3A5C"/>
          <w:sz w:val="22"/>
        </w:rPr>
        <w:t xml:space="preserve">  Equation:</w:t>
      </w:r>
    </w:p>
    <w:p>
      <w:pPr>
        <w:spacing w:before="20" w:after="20"/>
        <w:ind w:left="283"/>
      </w:pPr>
      <w:r>
        <w:rPr>
          <w:rFonts w:ascii="Courier New" w:hAnsi="Courier New"/>
          <w:color w:val="1A1A6E"/>
          <w:sz w:val="17"/>
        </w:rPr>
        <w:t>eGFR ↑ = +0.85 × Hemoglobin  [R8 linear model]</w:t>
      </w:r>
    </w:p>
    <w:tbl>
      <w:tblPr>
        <w:tblStyle w:val="TableGrid"/>
        <w:tblW w:type="auto" w:w="0"/>
        <w:tblLook w:firstColumn="1" w:firstRow="1" w:lastColumn="0" w:lastRow="0" w:noHBand="0" w:noVBand="1" w:val="04A0"/>
      </w:tblPr>
      <w:tblGrid>
        <w:gridCol w:w="3249"/>
        <w:gridCol w:w="3249"/>
        <w:gridCol w:w="3249"/>
      </w:tblGrid>
      <w:tr>
        <w:tc>
          <w:tcPr>
            <w:tcW w:type="dxa" w:w="2551"/>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Coefficient</w:t>
              <w:br/>
            </w:r>
            <w:r>
              <w:rPr>
                <w:color w:val="444444"/>
                <w:sz w:val="18"/>
              </w:rPr>
              <w:t>+0.85 units per g/dL hemoglobin</w:t>
            </w:r>
          </w:p>
        </w:tc>
        <w:tc>
          <w:tcPr>
            <w:tcW w:type="dxa" w:w="1701"/>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Causal Type</w:t>
              <w:br/>
            </w:r>
            <w:r>
              <w:rPr>
                <w:color w:val="444444"/>
                <w:sz w:val="18"/>
              </w:rPr>
              <w:t>Positive</w:t>
            </w:r>
          </w:p>
        </w:tc>
        <w:tc>
          <w:tcPr>
            <w:tcW w:type="dxa" w:w="6803"/>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Medical Interpretation</w:t>
              <w:br/>
            </w:r>
            <w:r>
              <w:rPr>
                <w:color w:val="444444"/>
                <w:sz w:val="18"/>
              </w:rPr>
              <w:t>Hemoglobin is both a consequence of CKD (via EPO deficiency) and an independent eGFR predictor. Low Hb → renal tissue hypoxia → tubular cell damage → accelerated eGFR decline. Treating anemia with EPO in CKD patients modestly slows progression. Each g/dL Hb adds +0.85 eGFR units.</w:t>
            </w:r>
          </w:p>
        </w:tc>
      </w:tr>
    </w:tbl>
    <w:p/>
    <w:p>
      <w:pPr>
        <w:spacing w:before="120" w:after="40"/>
      </w:pPr>
      <w:r>
        <w:rPr>
          <w:b/>
          <w:color w:val="1A3A5C"/>
          <w:sz w:val="22"/>
        </w:rPr>
        <w:t xml:space="preserve">  Literature Reference:</w:t>
      </w:r>
    </w:p>
    <w:tbl>
      <w:tblPr>
        <w:tblStyle w:val="TableGrid"/>
        <w:tblW w:type="auto" w:w="0"/>
        <w:tblLook w:firstColumn="1" w:firstRow="1" w:lastColumn="0" w:lastRow="0" w:noHBand="0" w:noVBand="1" w:val="04A0"/>
      </w:tblPr>
      <w:tblGrid>
        <w:gridCol w:w="4873"/>
        <w:gridCol w:w="4873"/>
      </w:tblGrid>
      <w:tr>
        <w:tc>
          <w:tcPr>
            <w:tcW w:type="dxa" w:w="850"/>
            <w:shd w:val="clear" w:color="auto" w:fill="FFF8E1"/>
            <w:tcBorders>
              <w:top w:val="single" w:sz="4" w:space="0" w:color="D4B896"/>
              <w:left w:val="single" w:sz="4" w:space="0" w:color="D4B896"/>
              <w:bottom w:val="single" w:sz="4" w:space="0" w:color="D4B896"/>
              <w:right w:val="single" w:sz="4" w:space="0" w:color="D4B896"/>
            </w:tcBorders>
          </w:tcPr>
          <w:p>
            <w:r>
              <w:rPr>
                <w:b/>
                <w:color w:val="1A3A5C"/>
                <w:sz w:val="20"/>
              </w:rPr>
              <w:t>R8</w:t>
            </w:r>
          </w:p>
        </w:tc>
        <w:tc>
          <w:tcPr>
            <w:tcW w:type="dxa" w:w="10205"/>
            <w:shd w:val="clear" w:color="auto" w:fill="FFF8E1"/>
            <w:tcBorders>
              <w:top w:val="single" w:sz="4" w:space="0" w:color="D4B896"/>
              <w:left w:val="single" w:sz="4" w:space="0" w:color="D4B896"/>
              <w:bottom w:val="single" w:sz="4" w:space="0" w:color="D4B896"/>
              <w:right w:val="single" w:sz="4" w:space="0" w:color="D4B896"/>
            </w:tcBorders>
          </w:tcPr>
          <w:p>
            <w:r>
              <w:rPr>
                <w:b/>
                <w:color w:val="924008"/>
                <w:sz w:val="18"/>
              </w:rPr>
              <w:t xml:space="preserve">Nelson JAMA 2019 — </w:t>
            </w:r>
            <w:r>
              <w:rPr>
                <w:color w:val="444444"/>
                <w:sz w:val="18"/>
              </w:rPr>
              <w:t>Nelson 2019 — hemoglobin was an independent predictor of incident CKD in the JAMA model; +0.85 per g/dL derived from this analysis.</w:t>
            </w:r>
          </w:p>
        </w:tc>
      </w:tr>
    </w:tbl>
    <w:p/>
    <w:p>
      <w:pPr>
        <w:spacing w:before="120" w:after="40"/>
      </w:pPr>
      <w:r>
        <w:rPr>
          <w:b/>
          <w:color w:val="1A3A5C"/>
          <w:sz w:val="22"/>
        </w:rPr>
        <w:t xml:space="preserve">  KEGG Pathways (molecular mechanism):</w:t>
      </w:r>
    </w:p>
    <w:tbl>
      <w:tblPr>
        <w:tblStyle w:val="TableGrid"/>
        <w:tblW w:type="auto" w:w="0"/>
        <w:tblLook w:firstColumn="1" w:firstRow="1" w:lastColumn="0" w:lastRow="0" w:noHBand="0" w:noVBand="1" w:val="04A0"/>
      </w:tblPr>
      <w:tblGrid>
        <w:gridCol w:w="3249"/>
        <w:gridCol w:w="3249"/>
        <w:gridCol w:w="3249"/>
      </w:tblGrid>
      <w:tr>
        <w:tc>
          <w:tcPr>
            <w:tcW w:type="dxa" w:w="1417"/>
            <w:shd w:val="clear" w:color="auto" w:fill="E6F4EA"/>
            <w:tcBorders>
              <w:top w:val="single" w:sz="4" w:space="0" w:color="8FC99A"/>
              <w:left w:val="single" w:sz="4" w:space="0" w:color="8FC99A"/>
              <w:bottom w:val="single" w:sz="4" w:space="0" w:color="8FC99A"/>
              <w:right w:val="single" w:sz="4" w:space="0" w:color="8FC99A"/>
            </w:tcBorders>
          </w:tcPr>
          <w:p>
            <w:r>
              <w:rPr>
                <w:rFonts w:ascii="Courier New" w:hAnsi="Courier New"/>
                <w:b/>
                <w:color w:val="14532D"/>
                <w:sz w:val="18"/>
              </w:rPr>
              <w:t>hsa04066</w:t>
            </w:r>
          </w:p>
        </w:tc>
        <w:tc>
          <w:tcPr>
            <w:tcW w:type="dxa" w:w="3118"/>
            <w:shd w:val="clear" w:color="auto" w:fill="E6F4EA"/>
            <w:tcBorders>
              <w:top w:val="single" w:sz="4" w:space="0" w:color="8FC99A"/>
              <w:left w:val="single" w:sz="4" w:space="0" w:color="8FC99A"/>
              <w:bottom w:val="single" w:sz="4" w:space="0" w:color="8FC99A"/>
              <w:right w:val="single" w:sz="4" w:space="0" w:color="8FC99A"/>
            </w:tcBorders>
          </w:tcPr>
          <w:p>
            <w:r>
              <w:rPr>
                <w:b/>
                <w:color w:val="14532D"/>
                <w:sz w:val="18"/>
              </w:rPr>
              <w:t>HIF-1 signaling pathway (hypoxia response)</w:t>
            </w:r>
          </w:p>
        </w:tc>
        <w:tc>
          <w:tcPr>
            <w:tcW w:type="dxa" w:w="6520"/>
            <w:shd w:val="clear" w:color="auto" w:fill="E6F4EA"/>
            <w:tcBorders>
              <w:top w:val="single" w:sz="4" w:space="0" w:color="8FC99A"/>
              <w:left w:val="single" w:sz="4" w:space="0" w:color="8FC99A"/>
              <w:bottom w:val="single" w:sz="4" w:space="0" w:color="8FC99A"/>
              <w:right w:val="single" w:sz="4" w:space="0" w:color="8FC99A"/>
            </w:tcBorders>
          </w:tcPr>
          <w:p>
            <w:r>
              <w:rPr>
                <w:color w:val="444444"/>
                <w:sz w:val="18"/>
              </w:rPr>
              <w:t>Low Hb → tissue hypoxia → HIF-1 activation in tubular cells → initially protective, but chronic HIF-1 activation drives pro-fibrotic TGF-β and VEGF expression → tubular injury → eGFR decline. The +0.85 coefficient reflects how more Hb prevents this cascade.</w:t>
            </w:r>
          </w:p>
        </w:tc>
      </w:tr>
      <w:tr>
        <w:tc>
          <w:tcPr>
            <w:tcW w:type="dxa" w:w="1417"/>
            <w:shd w:val="clear" w:color="auto" w:fill="E6F4EA"/>
            <w:tcBorders>
              <w:top w:val="single" w:sz="4" w:space="0" w:color="8FC99A"/>
              <w:left w:val="single" w:sz="4" w:space="0" w:color="8FC99A"/>
              <w:bottom w:val="single" w:sz="4" w:space="0" w:color="8FC99A"/>
              <w:right w:val="single" w:sz="4" w:space="0" w:color="8FC99A"/>
            </w:tcBorders>
          </w:tcPr>
          <w:p>
            <w:r>
              <w:rPr>
                <w:rFonts w:ascii="Courier New" w:hAnsi="Courier New"/>
                <w:b/>
                <w:color w:val="14532D"/>
                <w:sz w:val="18"/>
              </w:rPr>
              <w:t>hsa04630</w:t>
            </w:r>
          </w:p>
        </w:tc>
        <w:tc>
          <w:tcPr>
            <w:tcW w:type="dxa" w:w="3118"/>
            <w:shd w:val="clear" w:color="auto" w:fill="E6F4EA"/>
            <w:tcBorders>
              <w:top w:val="single" w:sz="4" w:space="0" w:color="8FC99A"/>
              <w:left w:val="single" w:sz="4" w:space="0" w:color="8FC99A"/>
              <w:bottom w:val="single" w:sz="4" w:space="0" w:color="8FC99A"/>
              <w:right w:val="single" w:sz="4" w:space="0" w:color="8FC99A"/>
            </w:tcBorders>
          </w:tcPr>
          <w:p>
            <w:r>
              <w:rPr>
                <w:b/>
                <w:color w:val="14532D"/>
                <w:sz w:val="18"/>
              </w:rPr>
              <w:t>JAK-STAT signaling (EPO receptor)</w:t>
            </w:r>
          </w:p>
        </w:tc>
        <w:tc>
          <w:tcPr>
            <w:tcW w:type="dxa" w:w="6520"/>
            <w:shd w:val="clear" w:color="auto" w:fill="E6F4EA"/>
            <w:tcBorders>
              <w:top w:val="single" w:sz="4" w:space="0" w:color="8FC99A"/>
              <w:left w:val="single" w:sz="4" w:space="0" w:color="8FC99A"/>
              <w:bottom w:val="single" w:sz="4" w:space="0" w:color="8FC99A"/>
              <w:right w:val="single" w:sz="4" w:space="0" w:color="8FC99A"/>
            </w:tcBorders>
          </w:tcPr>
          <w:p>
            <w:r>
              <w:rPr>
                <w:color w:val="444444"/>
                <w:sz w:val="18"/>
              </w:rPr>
              <w:t>EPO replacement (via this pathway) is clinically used to raise Hb in CKD; the +0.85 eGFR benefit per g/dL Hb is the biological rationale for treating anemia in CKD patients.</w:t>
            </w:r>
          </w:p>
        </w:tc>
      </w:tr>
    </w:tbl>
    <w:p/>
    <w:p>
      <w:pPr>
        <w:spacing w:before="120" w:after="40"/>
      </w:pPr>
      <w:r>
        <w:rPr>
          <w:b/>
          <w:color w:val="1A3A5C"/>
          <w:sz w:val="22"/>
        </w:rPr>
        <w:t xml:space="preserve">  GO Biological Processes:</w:t>
      </w:r>
    </w:p>
    <w:tbl>
      <w:tblPr>
        <w:tblStyle w:val="TableGrid"/>
        <w:tblW w:type="auto" w:w="0"/>
        <w:tblLook w:firstColumn="1" w:firstRow="1" w:lastColumn="0" w:lastRow="0" w:noHBand="0" w:noVBand="1" w:val="04A0"/>
      </w:tblPr>
      <w:tblGrid>
        <w:gridCol w:w="3249"/>
        <w:gridCol w:w="3249"/>
        <w:gridCol w:w="3249"/>
      </w:tblGrid>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GO:0030218</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Erythrocyte differentiation</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More red blood cells (higher Hb) means better oxygen delivery to renal tubular cells — the biological process that mediates the +0.85 eGFR protective effect.</w:t>
            </w:r>
          </w:p>
        </w:tc>
      </w:tr>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GO:0003094</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Glomerular filtration</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The outcome process being protected by adequate Hb — renal oxygenation maintains tubular cell integrity and thereby preserves filtration function.</w:t>
            </w:r>
          </w:p>
        </w:tc>
      </w:tr>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GO:0001889</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Liver development (EPO)</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The liver produces ~10–15% of EPO in adults; Hb levels reflect the combined kidney + liver EPO output.</w:t>
            </w:r>
          </w:p>
        </w:tc>
      </w:tr>
    </w:tbl>
    <w:p>
      <w:pPr>
        <w:pBdr>
          <w:bottom w:val="single" w:sz="6" w:space="1" w:color="2B6CB0"/>
        </w:pBdr>
        <w:spacing w:before="40" w:after="40"/>
      </w:pPr>
    </w:p>
    <w:p>
      <w:pPr>
        <w:spacing w:before="200" w:after="60"/>
      </w:pPr>
      <w:r>
        <w:rPr>
          <w:b/>
          <w:color w:val="2B6CB0"/>
          <w:sz w:val="26"/>
        </w:rPr>
        <w:t xml:space="preserve">  Sex &amp; Weight</w:t>
      </w:r>
    </w:p>
    <w:p/>
    <w:p>
      <w:pPr>
        <w:spacing w:before="200" w:after="40"/>
      </w:pPr>
      <w:r>
        <w:rPr>
          <w:b/>
          <w:color w:val="1A3A5C"/>
          <w:sz w:val="24"/>
        </w:rPr>
        <w:t xml:space="preserve">  ◆  Sex → Creatinine</w:t>
      </w:r>
    </w:p>
    <w:p>
      <w:pPr>
        <w:spacing w:before="120" w:after="40"/>
      </w:pPr>
      <w:r>
        <w:rPr>
          <w:b/>
          <w:color w:val="1A3A5C"/>
          <w:sz w:val="22"/>
        </w:rPr>
        <w:t xml:space="preserve">  Equation:</w:t>
      </w:r>
    </w:p>
    <w:p>
      <w:pPr>
        <w:spacing w:before="20" w:after="20"/>
        <w:ind w:left="283"/>
      </w:pPr>
      <w:r>
        <w:rPr>
          <w:rFonts w:ascii="Courier New" w:hAnsi="Courier New"/>
          <w:color w:val="1A1A6E"/>
          <w:sz w:val="17"/>
        </w:rPr>
        <w:t>sex_factor = 0.85 (female), 1.0 (male)</w:t>
        <w:br/>
        <w:t>Scr_expected × 0.85 for female patients</w:t>
      </w:r>
    </w:p>
    <w:tbl>
      <w:tblPr>
        <w:tblStyle w:val="TableGrid"/>
        <w:tblW w:type="auto" w:w="0"/>
        <w:tblLook w:firstColumn="1" w:firstRow="1" w:lastColumn="0" w:lastRow="0" w:noHBand="0" w:noVBand="1" w:val="04A0"/>
      </w:tblPr>
      <w:tblGrid>
        <w:gridCol w:w="3249"/>
        <w:gridCol w:w="3249"/>
        <w:gridCol w:w="3249"/>
      </w:tblGrid>
      <w:tr>
        <w:tc>
          <w:tcPr>
            <w:tcW w:type="dxa" w:w="2551"/>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Coefficient</w:t>
              <w:br/>
            </w:r>
            <w:r>
              <w:rPr>
                <w:color w:val="444444"/>
                <w:sz w:val="18"/>
              </w:rPr>
              <w:t>×0.85 female correction factor</w:t>
            </w:r>
          </w:p>
        </w:tc>
        <w:tc>
          <w:tcPr>
            <w:tcW w:type="dxa" w:w="1701"/>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Causal Type</w:t>
              <w:br/>
            </w:r>
            <w:r>
              <w:rPr>
                <w:color w:val="444444"/>
                <w:sz w:val="18"/>
              </w:rPr>
              <w:t>Categorical (sex-based)</w:t>
            </w:r>
          </w:p>
        </w:tc>
        <w:tc>
          <w:tcPr>
            <w:tcW w:type="dxa" w:w="6803"/>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Medical Interpretation</w:t>
              <w:br/>
            </w:r>
            <w:r>
              <w:rPr>
                <w:color w:val="444444"/>
                <w:sz w:val="18"/>
              </w:rPr>
              <w:t>Women produce ~15% less creatinine than men of the same age and weight due to lower average skeletal muscle mass. Using the same creatinine reference range for both sexes systematically underestimates kidney disease in women — the 0.85 correction is essential.</w:t>
            </w:r>
          </w:p>
        </w:tc>
      </w:tr>
    </w:tbl>
    <w:p/>
    <w:p>
      <w:pPr>
        <w:spacing w:before="120" w:after="40"/>
      </w:pPr>
      <w:r>
        <w:rPr>
          <w:b/>
          <w:color w:val="1A3A5C"/>
          <w:sz w:val="22"/>
        </w:rPr>
        <w:t xml:space="preserve">  Literature Reference:</w:t>
      </w:r>
    </w:p>
    <w:tbl>
      <w:tblPr>
        <w:tblStyle w:val="TableGrid"/>
        <w:tblW w:type="auto" w:w="0"/>
        <w:tblLook w:firstColumn="1" w:firstRow="1" w:lastColumn="0" w:lastRow="0" w:noHBand="0" w:noVBand="1" w:val="04A0"/>
      </w:tblPr>
      <w:tblGrid>
        <w:gridCol w:w="4873"/>
        <w:gridCol w:w="4873"/>
      </w:tblGrid>
      <w:tr>
        <w:tc>
          <w:tcPr>
            <w:tcW w:type="dxa" w:w="850"/>
            <w:shd w:val="clear" w:color="auto" w:fill="FFF8E1"/>
            <w:tcBorders>
              <w:top w:val="single" w:sz="4" w:space="0" w:color="D4B896"/>
              <w:left w:val="single" w:sz="4" w:space="0" w:color="D4B896"/>
              <w:bottom w:val="single" w:sz="4" w:space="0" w:color="D4B896"/>
              <w:right w:val="single" w:sz="4" w:space="0" w:color="D4B896"/>
            </w:tcBorders>
          </w:tcPr>
          <w:p>
            <w:r>
              <w:rPr>
                <w:b/>
                <w:color w:val="1A3A5C"/>
                <w:sz w:val="20"/>
              </w:rPr>
              <w:t>R5</w:t>
            </w:r>
          </w:p>
        </w:tc>
        <w:tc>
          <w:tcPr>
            <w:tcW w:type="dxa" w:w="10205"/>
            <w:shd w:val="clear" w:color="auto" w:fill="FFF8E1"/>
            <w:tcBorders>
              <w:top w:val="single" w:sz="4" w:space="0" w:color="D4B896"/>
              <w:left w:val="single" w:sz="4" w:space="0" w:color="D4B896"/>
              <w:bottom w:val="single" w:sz="4" w:space="0" w:color="D4B896"/>
              <w:right w:val="single" w:sz="4" w:space="0" w:color="D4B896"/>
            </w:tcBorders>
          </w:tcPr>
          <w:p>
            <w:r>
              <w:rPr>
                <w:b/>
                <w:color w:val="924008"/>
                <w:sz w:val="18"/>
              </w:rPr>
              <w:t xml:space="preserve">Cockcroft-Gault Nephron 1976 — </w:t>
            </w:r>
            <w:r>
              <w:rPr>
                <w:color w:val="444444"/>
                <w:sz w:val="18"/>
              </w:rPr>
              <w:t>Cockcroft-Gault 1976 — the ×0.85 female correction was measured directly in the original CrCl dataset and is preserved in all subsequent GFR formulas.</w:t>
            </w:r>
          </w:p>
        </w:tc>
      </w:tr>
    </w:tbl>
    <w:p/>
    <w:p>
      <w:pPr>
        <w:spacing w:before="120" w:after="40"/>
      </w:pPr>
      <w:r>
        <w:rPr>
          <w:b/>
          <w:color w:val="1A3A5C"/>
          <w:sz w:val="22"/>
        </w:rPr>
        <w:t xml:space="preserve">  KEGG Pathways (molecular mechanism):</w:t>
      </w:r>
    </w:p>
    <w:tbl>
      <w:tblPr>
        <w:tblStyle w:val="TableGrid"/>
        <w:tblW w:type="auto" w:w="0"/>
        <w:tblLook w:firstColumn="1" w:firstRow="1" w:lastColumn="0" w:lastRow="0" w:noHBand="0" w:noVBand="1" w:val="04A0"/>
      </w:tblPr>
      <w:tblGrid>
        <w:gridCol w:w="3249"/>
        <w:gridCol w:w="3249"/>
        <w:gridCol w:w="3249"/>
      </w:tblGrid>
      <w:tr>
        <w:tc>
          <w:tcPr>
            <w:tcW w:type="dxa" w:w="1417"/>
            <w:shd w:val="clear" w:color="auto" w:fill="E6F4EA"/>
            <w:tcBorders>
              <w:top w:val="single" w:sz="4" w:space="0" w:color="8FC99A"/>
              <w:left w:val="single" w:sz="4" w:space="0" w:color="8FC99A"/>
              <w:bottom w:val="single" w:sz="4" w:space="0" w:color="8FC99A"/>
              <w:right w:val="single" w:sz="4" w:space="0" w:color="8FC99A"/>
            </w:tcBorders>
          </w:tcPr>
          <w:p>
            <w:r>
              <w:rPr>
                <w:rFonts w:ascii="Courier New" w:hAnsi="Courier New"/>
                <w:b/>
                <w:color w:val="14532D"/>
                <w:sz w:val="18"/>
              </w:rPr>
              <w:t>hsa04010</w:t>
            </w:r>
          </w:p>
        </w:tc>
        <w:tc>
          <w:tcPr>
            <w:tcW w:type="dxa" w:w="3118"/>
            <w:shd w:val="clear" w:color="auto" w:fill="E6F4EA"/>
            <w:tcBorders>
              <w:top w:val="single" w:sz="4" w:space="0" w:color="8FC99A"/>
              <w:left w:val="single" w:sz="4" w:space="0" w:color="8FC99A"/>
              <w:bottom w:val="single" w:sz="4" w:space="0" w:color="8FC99A"/>
              <w:right w:val="single" w:sz="4" w:space="0" w:color="8FC99A"/>
            </w:tcBorders>
          </w:tcPr>
          <w:p>
            <w:r>
              <w:rPr>
                <w:b/>
                <w:color w:val="14532D"/>
                <w:sz w:val="18"/>
              </w:rPr>
              <w:t>MAPK signaling (muscle metabolism)</w:t>
            </w:r>
          </w:p>
        </w:tc>
        <w:tc>
          <w:tcPr>
            <w:tcW w:type="dxa" w:w="6520"/>
            <w:shd w:val="clear" w:color="auto" w:fill="E6F4EA"/>
            <w:tcBorders>
              <w:top w:val="single" w:sz="4" w:space="0" w:color="8FC99A"/>
              <w:left w:val="single" w:sz="4" w:space="0" w:color="8FC99A"/>
              <w:bottom w:val="single" w:sz="4" w:space="0" w:color="8FC99A"/>
              <w:right w:val="single" w:sz="4" w:space="0" w:color="8FC99A"/>
            </w:tcBorders>
          </w:tcPr>
          <w:p>
            <w:r>
              <w:rPr>
                <w:color w:val="444444"/>
                <w:sz w:val="18"/>
              </w:rPr>
              <w:t>Sex hormone differences (testosterone vs oestrogen) regulate muscle protein synthesis via MAPK/ERK pathways — directly causing the ~15% male-female muscle mass difference that the ×0.85 factor corrects.</w:t>
            </w:r>
          </w:p>
        </w:tc>
      </w:tr>
    </w:tbl>
    <w:p/>
    <w:p>
      <w:pPr>
        <w:spacing w:before="120" w:after="40"/>
      </w:pPr>
      <w:r>
        <w:rPr>
          <w:b/>
          <w:color w:val="1A3A5C"/>
          <w:sz w:val="22"/>
        </w:rPr>
        <w:t xml:space="preserve">  GO Biological Processes:</w:t>
      </w:r>
    </w:p>
    <w:tbl>
      <w:tblPr>
        <w:tblStyle w:val="TableGrid"/>
        <w:tblW w:type="auto" w:w="0"/>
        <w:tblLook w:firstColumn="1" w:firstRow="1" w:lastColumn="0" w:lastRow="0" w:noHBand="0" w:noVBand="1" w:val="04A0"/>
      </w:tblPr>
      <w:tblGrid>
        <w:gridCol w:w="3249"/>
        <w:gridCol w:w="3249"/>
        <w:gridCol w:w="3249"/>
      </w:tblGrid>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GO:0007548</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Sex differentiation</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Biological sex determines the hormone environment that sets adult muscle mass — the root cause of the ×0.85 correction factor.</w:t>
            </w:r>
          </w:p>
        </w:tc>
      </w:tr>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GO:0014706</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Striated muscle tissue development</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Male sex hormones drive ~15% greater striated muscle mass than female — the anatomical basis for the creatinine sex correction.</w:t>
            </w:r>
          </w:p>
        </w:tc>
      </w:tr>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GO:0006544</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Glycine metabolic process (creatine)</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Creatinine is the spontaneous breakdown product of creatine phosphate; higher muscle mass = higher creatine pool = higher daily creatinine production.</w:t>
            </w:r>
          </w:p>
        </w:tc>
      </w:tr>
    </w:tbl>
    <w:p>
      <w:pPr>
        <w:pBdr>
          <w:bottom w:val="single" w:sz="6" w:space="1" w:color="2B6CB0"/>
        </w:pBdr>
        <w:spacing w:before="40" w:after="40"/>
      </w:pPr>
    </w:p>
    <w:p>
      <w:pPr>
        <w:spacing w:before="200" w:after="40"/>
      </w:pPr>
      <w:r>
        <w:rPr>
          <w:b/>
          <w:color w:val="1A3A5C"/>
          <w:sz w:val="24"/>
        </w:rPr>
        <w:t xml:space="preserve">  ◆  Weight → Creatinine</w:t>
      </w:r>
    </w:p>
    <w:p>
      <w:pPr>
        <w:spacing w:before="120" w:after="40"/>
      </w:pPr>
      <w:r>
        <w:rPr>
          <w:b/>
          <w:color w:val="1A3A5C"/>
          <w:sz w:val="22"/>
        </w:rPr>
        <w:t xml:space="preserve">  Equation:</w:t>
      </w:r>
    </w:p>
    <w:p>
      <w:pPr>
        <w:spacing w:before="20" w:after="20"/>
        <w:ind w:left="283"/>
      </w:pPr>
      <w:r>
        <w:rPr>
          <w:rFonts w:ascii="Courier New" w:hAnsi="Courier New"/>
          <w:color w:val="1A1A6E"/>
          <w:sz w:val="17"/>
        </w:rPr>
        <w:t>Scr_mean = [(140 − age) × weight] / (72 × CrCl_healthy) × sex_factor</w:t>
        <w:br/>
        <w:t xml:space="preserve">  Weight appears as a direct linear term in numerator</w:t>
      </w:r>
    </w:p>
    <w:tbl>
      <w:tblPr>
        <w:tblStyle w:val="TableGrid"/>
        <w:tblW w:type="auto" w:w="0"/>
        <w:tblLook w:firstColumn="1" w:firstRow="1" w:lastColumn="0" w:lastRow="0" w:noHBand="0" w:noVBand="1" w:val="04A0"/>
      </w:tblPr>
      <w:tblGrid>
        <w:gridCol w:w="3249"/>
        <w:gridCol w:w="3249"/>
        <w:gridCol w:w="3249"/>
      </w:tblGrid>
      <w:tr>
        <w:tc>
          <w:tcPr>
            <w:tcW w:type="dxa" w:w="2551"/>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Coefficient</w:t>
              <w:br/>
            </w:r>
            <w:r>
              <w:rPr>
                <w:color w:val="444444"/>
                <w:sz w:val="18"/>
              </w:rPr>
              <w:t>Direct linear: heavier weight → proportionally higher expected Scr</w:t>
            </w:r>
          </w:p>
        </w:tc>
        <w:tc>
          <w:tcPr>
            <w:tcW w:type="dxa" w:w="1701"/>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Causal Type</w:t>
              <w:br/>
            </w:r>
            <w:r>
              <w:rPr>
                <w:color w:val="444444"/>
                <w:sz w:val="18"/>
              </w:rPr>
              <w:t>Positive (muscle mass proxy)</w:t>
            </w:r>
          </w:p>
        </w:tc>
        <w:tc>
          <w:tcPr>
            <w:tcW w:type="dxa" w:w="6803"/>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Medical Interpretation</w:t>
              <w:br/>
            </w:r>
            <w:r>
              <w:rPr>
                <w:color w:val="444444"/>
                <w:sz w:val="18"/>
              </w:rPr>
              <w:t>Body weight is used as a proxy for skeletal muscle mass in Cockcroft-Gault. A heavier person produces more creatinine. A 100 kg vs 60 kg person with identical Scr = 1.0 mg/dL have very different levels of kidney function.</w:t>
            </w:r>
          </w:p>
        </w:tc>
      </w:tr>
    </w:tbl>
    <w:p/>
    <w:p>
      <w:pPr>
        <w:spacing w:before="120" w:after="40"/>
      </w:pPr>
      <w:r>
        <w:rPr>
          <w:b/>
          <w:color w:val="1A3A5C"/>
          <w:sz w:val="22"/>
        </w:rPr>
        <w:t xml:space="preserve">  Literature Reference:</w:t>
      </w:r>
    </w:p>
    <w:tbl>
      <w:tblPr>
        <w:tblStyle w:val="TableGrid"/>
        <w:tblW w:type="auto" w:w="0"/>
        <w:tblLook w:firstColumn="1" w:firstRow="1" w:lastColumn="0" w:lastRow="0" w:noHBand="0" w:noVBand="1" w:val="04A0"/>
      </w:tblPr>
      <w:tblGrid>
        <w:gridCol w:w="4873"/>
        <w:gridCol w:w="4873"/>
      </w:tblGrid>
      <w:tr>
        <w:tc>
          <w:tcPr>
            <w:tcW w:type="dxa" w:w="850"/>
            <w:shd w:val="clear" w:color="auto" w:fill="FFF8E1"/>
            <w:tcBorders>
              <w:top w:val="single" w:sz="4" w:space="0" w:color="D4B896"/>
              <w:left w:val="single" w:sz="4" w:space="0" w:color="D4B896"/>
              <w:bottom w:val="single" w:sz="4" w:space="0" w:color="D4B896"/>
              <w:right w:val="single" w:sz="4" w:space="0" w:color="D4B896"/>
            </w:tcBorders>
          </w:tcPr>
          <w:p>
            <w:r>
              <w:rPr>
                <w:b/>
                <w:color w:val="1A3A5C"/>
                <w:sz w:val="20"/>
              </w:rPr>
              <w:t>R5</w:t>
            </w:r>
          </w:p>
        </w:tc>
        <w:tc>
          <w:tcPr>
            <w:tcW w:type="dxa" w:w="10205"/>
            <w:shd w:val="clear" w:color="auto" w:fill="FFF8E1"/>
            <w:tcBorders>
              <w:top w:val="single" w:sz="4" w:space="0" w:color="D4B896"/>
              <w:left w:val="single" w:sz="4" w:space="0" w:color="D4B896"/>
              <w:bottom w:val="single" w:sz="4" w:space="0" w:color="D4B896"/>
              <w:right w:val="single" w:sz="4" w:space="0" w:color="D4B896"/>
            </w:tcBorders>
          </w:tcPr>
          <w:p>
            <w:r>
              <w:rPr>
                <w:b/>
                <w:color w:val="924008"/>
                <w:sz w:val="18"/>
              </w:rPr>
              <w:t xml:space="preserve">Cockcroft-Gault Nephron 1976 — </w:t>
            </w:r>
            <w:r>
              <w:rPr>
                <w:color w:val="444444"/>
                <w:sz w:val="18"/>
              </w:rPr>
              <w:t>Cockcroft-Gault 1976 — weight is a direct numerator term in the CrCl formula; reversed to derive expected Scr from weight.</w:t>
            </w:r>
          </w:p>
        </w:tc>
      </w:tr>
    </w:tbl>
    <w:p/>
    <w:p>
      <w:pPr>
        <w:spacing w:before="120" w:after="40"/>
      </w:pPr>
      <w:r>
        <w:rPr>
          <w:b/>
          <w:color w:val="1A3A5C"/>
          <w:sz w:val="22"/>
        </w:rPr>
        <w:t xml:space="preserve">  KEGG Pathways (molecular mechanism):</w:t>
      </w:r>
    </w:p>
    <w:tbl>
      <w:tblPr>
        <w:tblStyle w:val="TableGrid"/>
        <w:tblW w:type="auto" w:w="0"/>
        <w:tblLook w:firstColumn="1" w:firstRow="1" w:lastColumn="0" w:lastRow="0" w:noHBand="0" w:noVBand="1" w:val="04A0"/>
      </w:tblPr>
      <w:tblGrid>
        <w:gridCol w:w="3249"/>
        <w:gridCol w:w="3249"/>
        <w:gridCol w:w="3249"/>
      </w:tblGrid>
      <w:tr>
        <w:tc>
          <w:tcPr>
            <w:tcW w:type="dxa" w:w="1417"/>
            <w:shd w:val="clear" w:color="auto" w:fill="E6F4EA"/>
            <w:tcBorders>
              <w:top w:val="single" w:sz="4" w:space="0" w:color="8FC99A"/>
              <w:left w:val="single" w:sz="4" w:space="0" w:color="8FC99A"/>
              <w:bottom w:val="single" w:sz="4" w:space="0" w:color="8FC99A"/>
              <w:right w:val="single" w:sz="4" w:space="0" w:color="8FC99A"/>
            </w:tcBorders>
          </w:tcPr>
          <w:p>
            <w:r>
              <w:rPr>
                <w:rFonts w:ascii="Courier New" w:hAnsi="Courier New"/>
                <w:b/>
                <w:color w:val="14532D"/>
                <w:sz w:val="18"/>
              </w:rPr>
              <w:t>hsa04217</w:t>
            </w:r>
          </w:p>
        </w:tc>
        <w:tc>
          <w:tcPr>
            <w:tcW w:type="dxa" w:w="3118"/>
            <w:shd w:val="clear" w:color="auto" w:fill="E6F4EA"/>
            <w:tcBorders>
              <w:top w:val="single" w:sz="4" w:space="0" w:color="8FC99A"/>
              <w:left w:val="single" w:sz="4" w:space="0" w:color="8FC99A"/>
              <w:bottom w:val="single" w:sz="4" w:space="0" w:color="8FC99A"/>
              <w:right w:val="single" w:sz="4" w:space="0" w:color="8FC99A"/>
            </w:tcBorders>
          </w:tcPr>
          <w:p>
            <w:r>
              <w:rPr>
                <w:b/>
                <w:color w:val="14532D"/>
                <w:sz w:val="18"/>
              </w:rPr>
              <w:t>Necroptosis (muscle catabolism)</w:t>
            </w:r>
          </w:p>
        </w:tc>
        <w:tc>
          <w:tcPr>
            <w:tcW w:type="dxa" w:w="6520"/>
            <w:shd w:val="clear" w:color="auto" w:fill="E6F4EA"/>
            <w:tcBorders>
              <w:top w:val="single" w:sz="4" w:space="0" w:color="8FC99A"/>
              <w:left w:val="single" w:sz="4" w:space="0" w:color="8FC99A"/>
              <w:bottom w:val="single" w:sz="4" w:space="0" w:color="8FC99A"/>
              <w:right w:val="single" w:sz="4" w:space="0" w:color="8FC99A"/>
            </w:tcBorders>
          </w:tcPr>
          <w:p>
            <w:r>
              <w:rPr>
                <w:color w:val="444444"/>
                <w:sz w:val="18"/>
              </w:rPr>
              <w:t>Daily creatinine production equals muscle creatine turnover via necroptotic and autophagic pathways — higher muscle mass (body weight) directly scales this rate.</w:t>
            </w:r>
          </w:p>
        </w:tc>
      </w:tr>
    </w:tbl>
    <w:p/>
    <w:p>
      <w:pPr>
        <w:spacing w:before="120" w:after="40"/>
      </w:pPr>
      <w:r>
        <w:rPr>
          <w:b/>
          <w:color w:val="1A3A5C"/>
          <w:sz w:val="22"/>
        </w:rPr>
        <w:t xml:space="preserve">  GO Biological Processes:</w:t>
      </w:r>
    </w:p>
    <w:tbl>
      <w:tblPr>
        <w:tblStyle w:val="TableGrid"/>
        <w:tblW w:type="auto" w:w="0"/>
        <w:tblLook w:firstColumn="1" w:firstRow="1" w:lastColumn="0" w:lastRow="0" w:noHBand="0" w:noVBand="1" w:val="04A0"/>
      </w:tblPr>
      <w:tblGrid>
        <w:gridCol w:w="3249"/>
        <w:gridCol w:w="3249"/>
        <w:gridCol w:w="3249"/>
      </w:tblGrid>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GO:0014706</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Striated muscle tissue development</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Total striated muscle mass (approximated by weight) determines the total creatinine generation rate in the Cockcroft-Gault equation.</w:t>
            </w:r>
          </w:p>
        </w:tc>
      </w:tr>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GO:0006544</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Glycine metabolic process (creatine)</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Creatine synthesis and spontaneous breakdown to creatinine scales directly with muscle mass — the mechanism behind the weight term in the equation.</w:t>
            </w:r>
          </w:p>
        </w:tc>
      </w:tr>
    </w:tbl>
    <w:p>
      <w:pPr>
        <w:pBdr>
          <w:bottom w:val="single" w:sz="6" w:space="1" w:color="2B6CB0"/>
        </w:pBdr>
        <w:spacing w:before="40" w:after="40"/>
      </w:pPr>
    </w:p>
    <w:p>
      <w:pPr>
        <w:spacing w:before="200" w:after="40"/>
      </w:pPr>
      <w:r>
        <w:rPr>
          <w:b/>
          <w:color w:val="1A3A5C"/>
          <w:sz w:val="24"/>
        </w:rPr>
        <w:t xml:space="preserve">  ◆  Weight → Urine Output</w:t>
      </w:r>
    </w:p>
    <w:p>
      <w:pPr>
        <w:spacing w:before="120" w:after="40"/>
      </w:pPr>
      <w:r>
        <w:rPr>
          <w:b/>
          <w:color w:val="1A3A5C"/>
          <w:sz w:val="22"/>
        </w:rPr>
        <w:t xml:space="preserve">  Equation:</w:t>
      </w:r>
    </w:p>
    <w:p>
      <w:pPr>
        <w:spacing w:before="20" w:after="20"/>
        <w:ind w:left="283"/>
      </w:pPr>
      <w:r>
        <w:rPr>
          <w:rFonts w:ascii="Courier New" w:hAnsi="Courier New"/>
          <w:color w:val="1A1A6E"/>
          <w:sz w:val="17"/>
        </w:rPr>
        <w:t>UO_base = weight × 0.6 × 24   [mL/day]</w:t>
      </w:r>
    </w:p>
    <w:tbl>
      <w:tblPr>
        <w:tblStyle w:val="TableGrid"/>
        <w:tblW w:type="auto" w:w="0"/>
        <w:tblLook w:firstColumn="1" w:firstRow="1" w:lastColumn="0" w:lastRow="0" w:noHBand="0" w:noVBand="1" w:val="04A0"/>
      </w:tblPr>
      <w:tblGrid>
        <w:gridCol w:w="3249"/>
        <w:gridCol w:w="3249"/>
        <w:gridCol w:w="3249"/>
      </w:tblGrid>
      <w:tr>
        <w:tc>
          <w:tcPr>
            <w:tcW w:type="dxa" w:w="2551"/>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Coefficient</w:t>
              <w:br/>
            </w:r>
            <w:r>
              <w:rPr>
                <w:color w:val="444444"/>
                <w:sz w:val="18"/>
              </w:rPr>
              <w:t>0.6 mL/kg/hr × 24 hours = 14.4 mL/kg/day baseline</w:t>
            </w:r>
          </w:p>
        </w:tc>
        <w:tc>
          <w:tcPr>
            <w:tcW w:type="dxa" w:w="1701"/>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Causal Type</w:t>
              <w:br/>
            </w:r>
            <w:r>
              <w:rPr>
                <w:color w:val="444444"/>
                <w:sz w:val="18"/>
              </w:rPr>
              <w:t>Positive (proportional)</w:t>
            </w:r>
          </w:p>
        </w:tc>
        <w:tc>
          <w:tcPr>
            <w:tcW w:type="dxa" w:w="6803"/>
            <w:shd w:val="clear" w:color="auto" w:fill="EBF4FF"/>
            <w:tcBorders>
              <w:top w:val="single" w:sz="4" w:space="0" w:color="90B4D8"/>
              <w:left w:val="single" w:sz="4" w:space="0" w:color="90B4D8"/>
              <w:bottom w:val="single" w:sz="4" w:space="0" w:color="90B4D8"/>
              <w:right w:val="single" w:sz="4" w:space="0" w:color="90B4D8"/>
            </w:tcBorders>
          </w:tcPr>
          <w:p>
            <w:r>
              <w:rPr>
                <w:b/>
                <w:color w:val="1A3A5C"/>
                <w:sz w:val="17"/>
              </w:rPr>
              <w:t>Medical Interpretation</w:t>
              <w:br/>
            </w:r>
            <w:r>
              <w:rPr>
                <w:color w:val="444444"/>
                <w:sz w:val="18"/>
              </w:rPr>
              <w:t>KDIGO defines normal urine output as 0.5–1.0 mL/kg/hr. A 70 kg person should produce ≥1,008 mL/day; a 100 kg person ≥1,440 mL/day. Using absolute thresholds (like "&lt; 500 mL = oliguria") without weight-adjustment underdiagnoses oliguria in larger patients.</w:t>
            </w:r>
          </w:p>
        </w:tc>
      </w:tr>
    </w:tbl>
    <w:p/>
    <w:p>
      <w:pPr>
        <w:spacing w:before="120" w:after="40"/>
      </w:pPr>
      <w:r>
        <w:rPr>
          <w:b/>
          <w:color w:val="1A3A5C"/>
          <w:sz w:val="22"/>
        </w:rPr>
        <w:t xml:space="preserve">  Literature Reference:</w:t>
      </w:r>
    </w:p>
    <w:tbl>
      <w:tblPr>
        <w:tblStyle w:val="TableGrid"/>
        <w:tblW w:type="auto" w:w="0"/>
        <w:tblLook w:firstColumn="1" w:firstRow="1" w:lastColumn="0" w:lastRow="0" w:noHBand="0" w:noVBand="1" w:val="04A0"/>
      </w:tblPr>
      <w:tblGrid>
        <w:gridCol w:w="4873"/>
        <w:gridCol w:w="4873"/>
      </w:tblGrid>
      <w:tr>
        <w:tc>
          <w:tcPr>
            <w:tcW w:type="dxa" w:w="850"/>
            <w:shd w:val="clear" w:color="auto" w:fill="FFF8E1"/>
            <w:tcBorders>
              <w:top w:val="single" w:sz="4" w:space="0" w:color="D4B896"/>
              <w:left w:val="single" w:sz="4" w:space="0" w:color="D4B896"/>
              <w:bottom w:val="single" w:sz="4" w:space="0" w:color="D4B896"/>
              <w:right w:val="single" w:sz="4" w:space="0" w:color="D4B896"/>
            </w:tcBorders>
          </w:tcPr>
          <w:p>
            <w:r>
              <w:rPr>
                <w:b/>
                <w:color w:val="1A3A5C"/>
                <w:sz w:val="20"/>
              </w:rPr>
              <w:t>R2</w:t>
            </w:r>
          </w:p>
        </w:tc>
        <w:tc>
          <w:tcPr>
            <w:tcW w:type="dxa" w:w="10205"/>
            <w:shd w:val="clear" w:color="auto" w:fill="FFF8E1"/>
            <w:tcBorders>
              <w:top w:val="single" w:sz="4" w:space="0" w:color="D4B896"/>
              <w:left w:val="single" w:sz="4" w:space="0" w:color="D4B896"/>
              <w:bottom w:val="single" w:sz="4" w:space="0" w:color="D4B896"/>
              <w:right w:val="single" w:sz="4" w:space="0" w:color="D4B896"/>
            </w:tcBorders>
          </w:tcPr>
          <w:p>
            <w:r>
              <w:rPr>
                <w:b/>
                <w:color w:val="924008"/>
                <w:sz w:val="18"/>
              </w:rPr>
              <w:t xml:space="preserve">KDIGO AKI 2012 — </w:t>
            </w:r>
            <w:r>
              <w:rPr>
                <w:color w:val="444444"/>
                <w:sz w:val="18"/>
              </w:rPr>
              <w:t>KDIGO 2012 — the 0.5–1.0 mL/kg/hr normal range and the oliguria definition (&lt; 0.5 mL/kg/hr) are the basis for the weight × 0.6 baseline in the equation.</w:t>
            </w:r>
          </w:p>
        </w:tc>
      </w:tr>
    </w:tbl>
    <w:p/>
    <w:p>
      <w:pPr>
        <w:spacing w:before="120" w:after="40"/>
      </w:pPr>
      <w:r>
        <w:rPr>
          <w:b/>
          <w:color w:val="1A3A5C"/>
          <w:sz w:val="22"/>
        </w:rPr>
        <w:t xml:space="preserve">  KEGG Pathways (molecular mechanism):</w:t>
      </w:r>
    </w:p>
    <w:tbl>
      <w:tblPr>
        <w:tblStyle w:val="TableGrid"/>
        <w:tblW w:type="auto" w:w="0"/>
        <w:tblLook w:firstColumn="1" w:firstRow="1" w:lastColumn="0" w:lastRow="0" w:noHBand="0" w:noVBand="1" w:val="04A0"/>
      </w:tblPr>
      <w:tblGrid>
        <w:gridCol w:w="3249"/>
        <w:gridCol w:w="3249"/>
        <w:gridCol w:w="3249"/>
      </w:tblGrid>
      <w:tr>
        <w:tc>
          <w:tcPr>
            <w:tcW w:type="dxa" w:w="1417"/>
            <w:shd w:val="clear" w:color="auto" w:fill="E6F4EA"/>
            <w:tcBorders>
              <w:top w:val="single" w:sz="4" w:space="0" w:color="8FC99A"/>
              <w:left w:val="single" w:sz="4" w:space="0" w:color="8FC99A"/>
              <w:bottom w:val="single" w:sz="4" w:space="0" w:color="8FC99A"/>
              <w:right w:val="single" w:sz="4" w:space="0" w:color="8FC99A"/>
            </w:tcBorders>
          </w:tcPr>
          <w:p>
            <w:r>
              <w:rPr>
                <w:rFonts w:ascii="Courier New" w:hAnsi="Courier New"/>
                <w:b/>
                <w:color w:val="14532D"/>
                <w:sz w:val="18"/>
              </w:rPr>
              <w:t>hsa04960</w:t>
            </w:r>
          </w:p>
        </w:tc>
        <w:tc>
          <w:tcPr>
            <w:tcW w:type="dxa" w:w="3118"/>
            <w:shd w:val="clear" w:color="auto" w:fill="E6F4EA"/>
            <w:tcBorders>
              <w:top w:val="single" w:sz="4" w:space="0" w:color="8FC99A"/>
              <w:left w:val="single" w:sz="4" w:space="0" w:color="8FC99A"/>
              <w:bottom w:val="single" w:sz="4" w:space="0" w:color="8FC99A"/>
              <w:right w:val="single" w:sz="4" w:space="0" w:color="8FC99A"/>
            </w:tcBorders>
          </w:tcPr>
          <w:p>
            <w:r>
              <w:rPr>
                <w:b/>
                <w:color w:val="14532D"/>
                <w:sz w:val="18"/>
              </w:rPr>
              <w:t>Aldosterone-regulated sodium reabsorption</w:t>
            </w:r>
          </w:p>
        </w:tc>
        <w:tc>
          <w:tcPr>
            <w:tcW w:type="dxa" w:w="6520"/>
            <w:shd w:val="clear" w:color="auto" w:fill="E6F4EA"/>
            <w:tcBorders>
              <w:top w:val="single" w:sz="4" w:space="0" w:color="8FC99A"/>
              <w:left w:val="single" w:sz="4" w:space="0" w:color="8FC99A"/>
              <w:bottom w:val="single" w:sz="4" w:space="0" w:color="8FC99A"/>
              <w:right w:val="single" w:sz="4" w:space="0" w:color="8FC99A"/>
            </w:tcBorders>
          </w:tcPr>
          <w:p>
            <w:r>
              <w:rPr>
                <w:color w:val="444444"/>
                <w:sz w:val="18"/>
              </w:rPr>
              <w:t>A larger body has proportionally more nephrons producing proportionally more tubular filtrate — this biological scaling is what the weight × 0.6 equation captures.</w:t>
            </w:r>
          </w:p>
        </w:tc>
      </w:tr>
    </w:tbl>
    <w:p/>
    <w:p>
      <w:pPr>
        <w:spacing w:before="120" w:after="40"/>
      </w:pPr>
      <w:r>
        <w:rPr>
          <w:b/>
          <w:color w:val="1A3A5C"/>
          <w:sz w:val="22"/>
        </w:rPr>
        <w:t xml:space="preserve">  GO Biological Processes:</w:t>
      </w:r>
    </w:p>
    <w:tbl>
      <w:tblPr>
        <w:tblStyle w:val="TableGrid"/>
        <w:tblW w:type="auto" w:w="0"/>
        <w:tblLook w:firstColumn="1" w:firstRow="1" w:lastColumn="0" w:lastRow="0" w:noHBand="0" w:noVBand="1" w:val="04A0"/>
      </w:tblPr>
      <w:tblGrid>
        <w:gridCol w:w="3249"/>
        <w:gridCol w:w="3249"/>
        <w:gridCol w:w="3249"/>
      </w:tblGrid>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GO:0003094</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Glomerular filtration</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Total filtration rate scales with the number of functioning nephrons, which scales with body size (weight) — the biological basis for weight × 0.6.</w:t>
            </w:r>
          </w:p>
        </w:tc>
      </w:tr>
      <w:tr>
        <w:tc>
          <w:tcPr>
            <w:tcW w:type="dxa" w:w="1417"/>
            <w:shd w:val="clear" w:color="auto" w:fill="F3E8FF"/>
            <w:tcBorders>
              <w:top w:val="single" w:sz="4" w:space="0" w:color="C49FD4"/>
              <w:left w:val="single" w:sz="4" w:space="0" w:color="C49FD4"/>
              <w:bottom w:val="single" w:sz="4" w:space="0" w:color="C49FD4"/>
              <w:right w:val="single" w:sz="4" w:space="0" w:color="C49FD4"/>
            </w:tcBorders>
          </w:tcPr>
          <w:p>
            <w:r>
              <w:rPr>
                <w:rFonts w:ascii="Courier New" w:hAnsi="Courier New"/>
                <w:b/>
                <w:color w:val="441978"/>
                <w:sz w:val="18"/>
              </w:rPr>
              <w:t>GO:0070293</w:t>
            </w:r>
          </w:p>
        </w:tc>
        <w:tc>
          <w:tcPr>
            <w:tcW w:type="dxa" w:w="3118"/>
            <w:shd w:val="clear" w:color="auto" w:fill="F3E8FF"/>
            <w:tcBorders>
              <w:top w:val="single" w:sz="4" w:space="0" w:color="C49FD4"/>
              <w:left w:val="single" w:sz="4" w:space="0" w:color="C49FD4"/>
              <w:bottom w:val="single" w:sz="4" w:space="0" w:color="C49FD4"/>
              <w:right w:val="single" w:sz="4" w:space="0" w:color="C49FD4"/>
            </w:tcBorders>
          </w:tcPr>
          <w:p>
            <w:r>
              <w:rPr>
                <w:b/>
                <w:color w:val="441978"/>
                <w:sz w:val="18"/>
              </w:rPr>
              <w:t>Renal absorption</w:t>
            </w:r>
          </w:p>
        </w:tc>
        <w:tc>
          <w:tcPr>
            <w:tcW w:type="dxa" w:w="6520"/>
            <w:shd w:val="clear" w:color="auto" w:fill="F3E8FF"/>
            <w:tcBorders>
              <w:top w:val="single" w:sz="4" w:space="0" w:color="C49FD4"/>
              <w:left w:val="single" w:sz="4" w:space="0" w:color="C49FD4"/>
              <w:bottom w:val="single" w:sz="4" w:space="0" w:color="C49FD4"/>
              <w:right w:val="single" w:sz="4" w:space="0" w:color="C49FD4"/>
            </w:tcBorders>
          </w:tcPr>
          <w:p>
            <w:r>
              <w:rPr>
                <w:color w:val="444444"/>
                <w:sz w:val="18"/>
              </w:rPr>
              <w:t>A larger tubular mass handles more filtrate — reabsorption and secretion both scale with body weight, consistent with weight-adjusted urine output norms.</w:t>
            </w:r>
          </w:p>
        </w:tc>
      </w:tr>
    </w:tbl>
    <w:p>
      <w:pPr>
        <w:pBdr>
          <w:bottom w:val="single" w:sz="6" w:space="1" w:color="2B6CB0"/>
        </w:pBdr>
        <w:spacing w:before="40" w:after="40"/>
      </w:pPr>
    </w:p>
    <w:p>
      <w:r>
        <w:br w:type="page"/>
      </w:r>
    </w:p>
    <w:p>
      <w:pPr>
        <w:spacing w:before="320" w:after="80"/>
      </w:pPr>
      <w:r>
        <w:rPr>
          <w:b/>
          <w:color w:val="1A3A5C"/>
          <w:sz w:val="32"/>
        </w:rPr>
        <w:t>3. Probability Causal Model — How It Works</w:t>
      </w:r>
    </w:p>
    <w:p>
      <w:pPr>
        <w:pBdr>
          <w:bottom w:val="single" w:sz="6" w:space="1" w:color="2B6CB0"/>
        </w:pBdr>
        <w:spacing w:before="40" w:after="40"/>
      </w:pPr>
    </w:p>
    <w:p>
      <w:pPr>
        <w:spacing w:before="200" w:after="60"/>
      </w:pPr>
      <w:r>
        <w:rPr>
          <w:b/>
          <w:color w:val="2B6CB0"/>
          <w:sz w:val="26"/>
        </w:rPr>
        <w:t>Architecture: Conditional Gaussian Bayesian Network (KBBN)</w:t>
      </w:r>
    </w:p>
    <w:p>
      <w:pPr>
        <w:spacing w:before="0" w:after="80"/>
      </w:pPr>
      <w:r>
        <w:rPr>
          <w:color w:val="444444"/>
          <w:sz w:val="20"/>
        </w:rPr>
        <w:t>Each causal edge above is implemented as a Gaussian conditional distribution. The equations in Section 2 define the expected mean; the z-score determines how far the observed value deviates from it; KEGG/GO pathways explain WHY that deviation is clinically significant.</w:t>
      </w:r>
    </w:p>
    <w:p>
      <w:pPr>
        <w:spacing w:before="120" w:after="40"/>
      </w:pPr>
      <w:r>
        <w:rPr>
          <w:b/>
          <w:color w:val="1A3A5C"/>
          <w:sz w:val="22"/>
        </w:rPr>
        <w:t>Step 1 — Conditional distribution per node:</w:t>
      </w:r>
    </w:p>
    <w:p>
      <w:pPr>
        <w:spacing w:before="20" w:after="20"/>
        <w:ind w:left="283"/>
      </w:pPr>
      <w:r>
        <w:rPr>
          <w:rFonts w:ascii="Courier New" w:hAnsi="Courier New"/>
          <w:color w:val="1A1A6E"/>
          <w:sz w:val="17"/>
        </w:rPr>
        <w:t>P(Xi | parents(Xi)) ~ Normal(μ_i(parents), σ_i²)</w:t>
        <w:br/>
        <w:t>μ_i = expected value from parent values using the published equation above</w:t>
        <w:br/>
        <w:t>σ_i = population SD (from the same reference)</w:t>
      </w:r>
    </w:p>
    <w:p>
      <w:pPr>
        <w:spacing w:before="120" w:after="40"/>
      </w:pPr>
      <w:r>
        <w:rPr>
          <w:b/>
          <w:color w:val="1A3A5C"/>
          <w:sz w:val="22"/>
        </w:rPr>
        <w:t>Step 2 — Z-score = clinical significance of deviation:</w:t>
      </w:r>
    </w:p>
    <w:p>
      <w:pPr>
        <w:spacing w:before="20" w:after="20"/>
        <w:ind w:left="283"/>
      </w:pPr>
      <w:r>
        <w:rPr>
          <w:rFonts w:ascii="Courier New" w:hAnsi="Courier New"/>
          <w:color w:val="1A1A6E"/>
          <w:sz w:val="17"/>
        </w:rPr>
        <w:t>z = (observed − μ_expected) / σ</w:t>
        <w:br/>
        <w:t>|z| ≤ 1.5  → within normal range   (p &gt; 13%) → no flag</w:t>
        <w:br/>
        <w:t>|z| &gt; 1.5  → atypical combination  (p &lt; 13%) → ⚠️  warning</w:t>
        <w:br/>
        <w:t>|z| &gt; 2.5  → highly atypical       (p &lt; 1%)  → 🔴 critical</w:t>
      </w:r>
    </w:p>
    <w:p>
      <w:pPr>
        <w:spacing w:before="120" w:after="40"/>
      </w:pPr>
      <w:r>
        <w:rPr>
          <w:b/>
          <w:color w:val="1A3A5C"/>
          <w:sz w:val="22"/>
        </w:rPr>
        <w:t>Step 3 — Forward propagation order:</w:t>
      </w:r>
    </w:p>
    <w:p>
      <w:pPr>
        <w:spacing w:before="20" w:after="20"/>
        <w:ind w:left="283"/>
      </w:pPr>
      <w:r>
        <w:rPr>
          <w:rFonts w:ascii="Courier New" w:hAnsi="Courier New"/>
          <w:color w:val="1A1A6E"/>
          <w:sz w:val="17"/>
        </w:rPr>
        <w:t>age, weight, sex        →  MAP</w:t>
        <w:br/>
        <w:t>age, weight, sex, MAP   →  creatinine</w:t>
        <w:br/>
        <w:t>creatinine              →  eGFR  →  potassium</w:t>
        <w:br/>
        <w:t>weight, MAP, eGFR       →  urineOutput</w:t>
        <w:br/>
        <w:t>DM, creatinine          →  hemoglobin</w:t>
      </w:r>
    </w:p>
    <w:p>
      <w:pPr>
        <w:spacing w:before="120" w:after="40"/>
      </w:pPr>
      <w:r>
        <w:rPr>
          <w:b/>
          <w:color w:val="1A3A5C"/>
          <w:sz w:val="22"/>
        </w:rPr>
        <w:t>Step 4 — Pairwise hard rules (non-Gaussian checks):</w:t>
      </w:r>
    </w:p>
    <w:p>
      <w:pPr>
        <w:spacing w:before="20" w:after="20"/>
        <w:ind w:left="283"/>
      </w:pPr>
      <w:r>
        <w:rPr>
          <w:rFonts w:ascii="Courier New" w:hAnsi="Courier New"/>
          <w:color w:val="1A1A6E"/>
          <w:sz w:val="17"/>
        </w:rPr>
        <w:t>K⁺ &lt; 4.5  with eGFR &lt; 10    → critical  (hsa04960 / GO:0006813 — K⁺ transport failure)</w:t>
        <w:br/>
        <w:t>UO &gt; 800  with eGFR &lt; 5     → critical  (hsa04960 / GO:0003094 — filtrate volume impossible)</w:t>
        <w:br/>
        <w:t>MAP &lt; 50  with UO &gt; 500     → critical  (hsa04022 / GO:0003094 — autoregulation collapsed)</w:t>
        <w:br/>
        <w:t>Scr &lt; 1.2 with MAP &lt; 55     → warning   (R6 threshold / GO:0008217)</w:t>
        <w:br/>
        <w:t>Age &lt; 35  with MAP &gt; 108    → warning   (R4 / secondary HTN must be excluded)</w:t>
        <w:br/>
        <w:t>Age ≥ 70  with Scr &lt; 0.65  → warning   (R7 / sarcopenia masking CKD)</w:t>
        <w:br/>
        <w:t>Female    with Scr &gt; 1.25 and eGFR &gt; 55  → warning (R5 / GO:0007548 sex differentiation)</w:t>
      </w:r>
    </w:p>
    <w:p/>
    <w:p>
      <w:pPr>
        <w:spacing w:before="200" w:after="60"/>
      </w:pPr>
      <w:r>
        <w:rPr>
          <w:b/>
          <w:color w:val="2B6CB0"/>
          <w:sz w:val="26"/>
        </w:rPr>
        <w:t>Limitations</w:t>
      </w:r>
    </w:p>
    <w:tbl>
      <w:tblPr>
        <w:tblStyle w:val="TableGrid"/>
        <w:tblW w:type="auto" w:w="0"/>
        <w:jc w:val="left"/>
        <w:tblLook w:firstColumn="1" w:firstRow="1" w:lastColumn="0" w:lastRow="0" w:noHBand="0" w:noVBand="1" w:val="04A0"/>
      </w:tblPr>
      <w:tblGrid>
        <w:gridCol w:w="3249"/>
        <w:gridCol w:w="3249"/>
        <w:gridCol w:w="3249"/>
      </w:tblGrid>
      <w:tr>
        <w:tc>
          <w:tcPr>
            <w:tcW w:type="dxa" w:w="3118"/>
            <w:shd w:val="clear" w:color="auto" w:fill="1A3A5C"/>
          </w:tcPr>
          <w:p>
            <w:pPr>
              <w:spacing w:before="40" w:after="40"/>
            </w:pPr>
            <w:r>
              <w:rPr>
                <w:b/>
                <w:color w:val="FFFFFF"/>
                <w:sz w:val="18"/>
              </w:rPr>
              <w:t>Limitation</w:t>
            </w:r>
          </w:p>
        </w:tc>
        <w:tc>
          <w:tcPr>
            <w:tcW w:type="dxa" w:w="3969"/>
            <w:shd w:val="clear" w:color="auto" w:fill="1A3A5C"/>
          </w:tcPr>
          <w:p>
            <w:pPr>
              <w:spacing w:before="40" w:after="40"/>
            </w:pPr>
            <w:r>
              <w:rPr>
                <w:b/>
                <w:color w:val="FFFFFF"/>
                <w:sz w:val="18"/>
              </w:rPr>
              <w:t>Impact</w:t>
            </w:r>
          </w:p>
        </w:tc>
        <w:tc>
          <w:tcPr>
            <w:tcW w:type="dxa" w:w="3969"/>
            <w:shd w:val="clear" w:color="auto" w:fill="1A3A5C"/>
          </w:tcPr>
          <w:p>
            <w:pPr>
              <w:spacing w:before="40" w:after="40"/>
            </w:pPr>
            <w:r>
              <w:rPr>
                <w:b/>
                <w:color w:val="FFFFFF"/>
                <w:sz w:val="18"/>
              </w:rPr>
              <w:t>Relevant Reference / GO</w:t>
            </w:r>
          </w:p>
        </w:tc>
      </w:tr>
      <w:tr>
        <w:tc>
          <w:tcPr>
            <w:tcW w:type="dxa" w:w="3118"/>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Forward-only propagation</w:t>
            </w:r>
          </w:p>
        </w:tc>
        <w:tc>
          <w:tcPr>
            <w:tcW w:type="dxa" w:w="3969"/>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No back-inference (high K⁺ cannot update Scr estimate)</w:t>
            </w:r>
          </w:p>
        </w:tc>
        <w:tc>
          <w:tcPr>
            <w:tcW w:type="dxa" w:w="3969"/>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R11 — Kanda Bayesian CKD design</w:t>
            </w:r>
          </w:p>
        </w:tc>
      </w:tr>
      <w:tr>
        <w:tc>
          <w:tcPr>
            <w:tcW w:type="dxa" w:w="3118"/>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Cycles not handled</w:t>
            </w:r>
          </w:p>
        </w:tc>
        <w:tc>
          <w:tcPr>
            <w:tcW w:type="dxa" w:w="3969"/>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DM↔HTN bidirectional not fully modeled</w:t>
            </w:r>
          </w:p>
        </w:tc>
        <w:tc>
          <w:tcPr>
            <w:tcW w:type="dxa" w:w="3969"/>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R9 — Sun 2019 Mendelian RCT</w:t>
            </w:r>
          </w:p>
        </w:tc>
      </w:tr>
      <w:tr>
        <w:tc>
          <w:tcPr>
            <w:tcW w:type="dxa" w:w="3118"/>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Gaussian assumption</w:t>
            </w:r>
          </w:p>
        </w:tc>
        <w:tc>
          <w:tcPr>
            <w:tcW w:type="dxa" w:w="3969"/>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K⁺ at extreme eGFR is exponential, not Gaussian</w:t>
            </w:r>
          </w:p>
        </w:tc>
        <w:tc>
          <w:tcPr>
            <w:tcW w:type="dxa" w:w="3969"/>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R3 — Kovesdy K⁺ curve</w:t>
            </w:r>
          </w:p>
        </w:tc>
      </w:tr>
      <w:tr>
        <w:tc>
          <w:tcPr>
            <w:tcW w:type="dxa" w:w="3118"/>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General-population coefficients</w:t>
            </w:r>
          </w:p>
        </w:tc>
        <w:tc>
          <w:tcPr>
            <w:tcW w:type="dxa" w:w="3969"/>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May not reflect local patient distribution</w:t>
            </w:r>
          </w:p>
        </w:tc>
        <w:tc>
          <w:tcPr>
            <w:tcW w:type="dxa" w:w="3969"/>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R8 — Nelson 2019 JAMA</w:t>
            </w:r>
          </w:p>
        </w:tc>
      </w:tr>
      <w:tr>
        <w:tc>
          <w:tcPr>
            <w:tcW w:type="dxa" w:w="3118"/>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Age→Hb direct edge missing</w:t>
            </w:r>
          </w:p>
        </w:tc>
        <w:tc>
          <w:tcPr>
            <w:tcW w:type="dxa" w:w="3969"/>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Only indirect chain Age→eGFR→Cr→Hb modeled</w:t>
            </w:r>
          </w:p>
        </w:tc>
        <w:tc>
          <w:tcPr>
            <w:tcW w:type="dxa" w:w="3969"/>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GO:0030218 Erythrocyte differentiation</w:t>
            </w:r>
          </w:p>
        </w:tc>
      </w:tr>
      <w:tr>
        <w:tc>
          <w:tcPr>
            <w:tcW w:type="dxa" w:w="3118"/>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R2 KDIGO 2012</w:t>
            </w:r>
          </w:p>
        </w:tc>
        <w:tc>
          <w:tcPr>
            <w:tcW w:type="dxa" w:w="3969"/>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May miss 2024 AKI guideline nuances</w:t>
            </w:r>
          </w:p>
        </w:tc>
        <w:tc>
          <w:tcPr>
            <w:tcW w:type="dxa" w:w="3969"/>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R2 — KDIGO 2024 update needed</w:t>
            </w:r>
          </w:p>
        </w:tc>
      </w:tr>
    </w:tbl>
    <w:p>
      <w:r>
        <w:br w:type="page"/>
      </w:r>
    </w:p>
    <w:p>
      <w:pPr>
        <w:spacing w:before="320" w:after="80"/>
      </w:pPr>
      <w:r>
        <w:rPr>
          <w:b/>
          <w:color w:val="1A3A5C"/>
          <w:sz w:val="32"/>
        </w:rPr>
        <w:t>4. Normal Ranges for All Features</w:t>
      </w:r>
    </w:p>
    <w:p>
      <w:pPr>
        <w:pBdr>
          <w:bottom w:val="single" w:sz="6" w:space="1" w:color="2B6CB0"/>
        </w:pBdr>
        <w:spacing w:before="40" w:after="40"/>
      </w:pP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701"/>
            <w:shd w:val="clear" w:color="auto" w:fill="1A3A5C"/>
          </w:tcPr>
          <w:p>
            <w:pPr>
              <w:spacing w:before="40" w:after="40"/>
            </w:pPr>
            <w:r>
              <w:rPr>
                <w:b/>
                <w:color w:val="FFFFFF"/>
                <w:sz w:val="18"/>
              </w:rPr>
              <w:t>Feature</w:t>
            </w:r>
          </w:p>
        </w:tc>
        <w:tc>
          <w:tcPr>
            <w:tcW w:type="dxa" w:w="1984"/>
            <w:shd w:val="clear" w:color="auto" w:fill="1A3A5C"/>
          </w:tcPr>
          <w:p>
            <w:pPr>
              <w:spacing w:before="40" w:after="40"/>
            </w:pPr>
            <w:r>
              <w:rPr>
                <w:b/>
                <w:color w:val="FFFFFF"/>
                <w:sz w:val="18"/>
              </w:rPr>
              <w:t>Normal Range</w:t>
            </w:r>
          </w:p>
        </w:tc>
        <w:tc>
          <w:tcPr>
            <w:tcW w:type="dxa" w:w="1417"/>
            <w:shd w:val="clear" w:color="auto" w:fill="1A3A5C"/>
          </w:tcPr>
          <w:p>
            <w:pPr>
              <w:spacing w:before="40" w:after="40"/>
            </w:pPr>
            <w:r>
              <w:rPr>
                <w:b/>
                <w:color w:val="FFFFFF"/>
                <w:sz w:val="18"/>
              </w:rPr>
              <w:t>Unit</w:t>
            </w:r>
          </w:p>
        </w:tc>
        <w:tc>
          <w:tcPr>
            <w:tcW w:type="dxa" w:w="4252"/>
            <w:shd w:val="clear" w:color="auto" w:fill="1A3A5C"/>
          </w:tcPr>
          <w:p>
            <w:pPr>
              <w:spacing w:before="40" w:after="40"/>
            </w:pPr>
            <w:r>
              <w:rPr>
                <w:b/>
                <w:color w:val="FFFFFF"/>
                <w:sz w:val="18"/>
              </w:rPr>
              <w:t>Clinical Thresholds</w:t>
            </w:r>
          </w:p>
        </w:tc>
        <w:tc>
          <w:tcPr>
            <w:tcW w:type="dxa" w:w="1701"/>
            <w:shd w:val="clear" w:color="auto" w:fill="1A3A5C"/>
          </w:tcPr>
          <w:p>
            <w:pPr>
              <w:spacing w:before="40" w:after="40"/>
            </w:pPr>
            <w:r>
              <w:rPr>
                <w:b/>
                <w:color w:val="FFFFFF"/>
                <w:sz w:val="18"/>
              </w:rPr>
              <w:t>Source</w:t>
            </w:r>
          </w:p>
        </w:tc>
      </w:tr>
      <w:tr>
        <w:tc>
          <w:tcPr>
            <w:tcW w:type="dxa" w:w="1701"/>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eGFR</w:t>
            </w:r>
          </w:p>
        </w:tc>
        <w:tc>
          <w:tcPr>
            <w:tcW w:type="dxa" w:w="1984"/>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 90</w:t>
            </w:r>
          </w:p>
        </w:tc>
        <w:tc>
          <w:tcPr>
            <w:tcW w:type="dxa" w:w="1417"/>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mL/min/1.73m²</w:t>
            </w:r>
          </w:p>
        </w:tc>
        <w:tc>
          <w:tcPr>
            <w:tcW w:type="dxa" w:w="4252"/>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G1≥90, G2 60–89, G3A 45–59, G3B 30–44, G4 15–29, G5&lt;15</w:t>
            </w:r>
          </w:p>
        </w:tc>
        <w:tc>
          <w:tcPr>
            <w:tcW w:type="dxa" w:w="1701"/>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R1</w:t>
            </w:r>
          </w:p>
        </w:tc>
      </w:tr>
      <w:tr>
        <w:tc>
          <w:tcPr>
            <w:tcW w:type="dxa" w:w="1701"/>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Creatinine (M)</w:t>
            </w:r>
          </w:p>
        </w:tc>
        <w:tc>
          <w:tcPr>
            <w:tcW w:type="dxa" w:w="1984"/>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0.74–1.35</w:t>
            </w:r>
          </w:p>
        </w:tc>
        <w:tc>
          <w:tcPr>
            <w:tcW w:type="dxa" w:w="1417"/>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mg/dL</w:t>
            </w:r>
          </w:p>
        </w:tc>
        <w:tc>
          <w:tcPr>
            <w:tcW w:type="dxa" w:w="4252"/>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SD = 0.25; &gt;1.8 → consistently abnormal</w:t>
            </w:r>
          </w:p>
        </w:tc>
        <w:tc>
          <w:tcPr>
            <w:tcW w:type="dxa" w:w="1701"/>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R5</w:t>
            </w:r>
          </w:p>
        </w:tc>
      </w:tr>
      <w:tr>
        <w:tc>
          <w:tcPr>
            <w:tcW w:type="dxa" w:w="1701"/>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Creatinine (F)</w:t>
            </w:r>
          </w:p>
        </w:tc>
        <w:tc>
          <w:tcPr>
            <w:tcW w:type="dxa" w:w="1984"/>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0.59–1.04</w:t>
            </w:r>
          </w:p>
        </w:tc>
        <w:tc>
          <w:tcPr>
            <w:tcW w:type="dxa" w:w="1417"/>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mg/dL</w:t>
            </w:r>
          </w:p>
        </w:tc>
        <w:tc>
          <w:tcPr>
            <w:tcW w:type="dxa" w:w="4252"/>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×0.85 sex factor; &gt;1.04 abnormal in females</w:t>
            </w:r>
          </w:p>
        </w:tc>
        <w:tc>
          <w:tcPr>
            <w:tcW w:type="dxa" w:w="1701"/>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R5</w:t>
            </w:r>
          </w:p>
        </w:tc>
      </w:tr>
      <w:tr>
        <w:tc>
          <w:tcPr>
            <w:tcW w:type="dxa" w:w="1701"/>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MAP</w:t>
            </w:r>
          </w:p>
        </w:tc>
        <w:tc>
          <w:tcPr>
            <w:tcW w:type="dxa" w:w="1984"/>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70–100</w:t>
            </w:r>
          </w:p>
        </w:tc>
        <w:tc>
          <w:tcPr>
            <w:tcW w:type="dxa" w:w="1417"/>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mmHg</w:t>
            </w:r>
          </w:p>
        </w:tc>
        <w:tc>
          <w:tcPr>
            <w:tcW w:type="dxa" w:w="4252"/>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&lt;65: autoregulation fails (R6); &gt;110: nephrosclerosis (R4)</w:t>
            </w:r>
          </w:p>
        </w:tc>
        <w:tc>
          <w:tcPr>
            <w:tcW w:type="dxa" w:w="1701"/>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R4, R6</w:t>
            </w:r>
          </w:p>
        </w:tc>
      </w:tr>
      <w:tr>
        <w:tc>
          <w:tcPr>
            <w:tcW w:type="dxa" w:w="1701"/>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Potassium K⁺</w:t>
            </w:r>
          </w:p>
        </w:tc>
        <w:tc>
          <w:tcPr>
            <w:tcW w:type="dxa" w:w="1984"/>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3.5–5.0</w:t>
            </w:r>
          </w:p>
        </w:tc>
        <w:tc>
          <w:tcPr>
            <w:tcW w:type="dxa" w:w="1417"/>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mEq/L</w:t>
            </w:r>
          </w:p>
        </w:tc>
        <w:tc>
          <w:tcPr>
            <w:tcW w:type="dxa" w:w="4252"/>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&gt;5.5: hyperkalemia (arrhythmia risk); SD=0.50</w:t>
            </w:r>
          </w:p>
        </w:tc>
        <w:tc>
          <w:tcPr>
            <w:tcW w:type="dxa" w:w="1701"/>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R3</w:t>
            </w:r>
          </w:p>
        </w:tc>
      </w:tr>
      <w:tr>
        <w:tc>
          <w:tcPr>
            <w:tcW w:type="dxa" w:w="1701"/>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Urine Output</w:t>
            </w:r>
          </w:p>
        </w:tc>
        <w:tc>
          <w:tcPr>
            <w:tcW w:type="dxa" w:w="1984"/>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800–2000</w:t>
            </w:r>
          </w:p>
        </w:tc>
        <w:tc>
          <w:tcPr>
            <w:tcW w:type="dxa" w:w="1417"/>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mL/day</w:t>
            </w:r>
          </w:p>
        </w:tc>
        <w:tc>
          <w:tcPr>
            <w:tcW w:type="dxa" w:w="4252"/>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&lt;0.5 mL/kg/hr = oliguria; &gt;2.5 mL/kg/hr = polyuria</w:t>
            </w:r>
          </w:p>
        </w:tc>
        <w:tc>
          <w:tcPr>
            <w:tcW w:type="dxa" w:w="1701"/>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R2</w:t>
            </w:r>
          </w:p>
        </w:tc>
      </w:tr>
      <w:tr>
        <w:tc>
          <w:tcPr>
            <w:tcW w:type="dxa" w:w="1701"/>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Hemoglobin (M)</w:t>
            </w:r>
          </w:p>
        </w:tc>
        <w:tc>
          <w:tcPr>
            <w:tcW w:type="dxa" w:w="1984"/>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13.5–17.5</w:t>
            </w:r>
          </w:p>
        </w:tc>
        <w:tc>
          <w:tcPr>
            <w:tcW w:type="dxa" w:w="1417"/>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g/dL</w:t>
            </w:r>
          </w:p>
        </w:tc>
        <w:tc>
          <w:tcPr>
            <w:tcW w:type="dxa" w:w="4252"/>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&lt;13: anemia in males; SD see Hb equation</w:t>
            </w:r>
          </w:p>
        </w:tc>
        <w:tc>
          <w:tcPr>
            <w:tcW w:type="dxa" w:w="1701"/>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Anemia of CKD</w:t>
            </w:r>
          </w:p>
        </w:tc>
      </w:tr>
      <w:tr>
        <w:tc>
          <w:tcPr>
            <w:tcW w:type="dxa" w:w="1701"/>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Hemoglobin (F)</w:t>
            </w:r>
          </w:p>
        </w:tc>
        <w:tc>
          <w:tcPr>
            <w:tcW w:type="dxa" w:w="1984"/>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12.0–15.5</w:t>
            </w:r>
          </w:p>
        </w:tc>
        <w:tc>
          <w:tcPr>
            <w:tcW w:type="dxa" w:w="1417"/>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g/dL</w:t>
            </w:r>
          </w:p>
        </w:tc>
        <w:tc>
          <w:tcPr>
            <w:tcW w:type="dxa" w:w="4252"/>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&lt;12: anemia in females</w:t>
            </w:r>
          </w:p>
        </w:tc>
        <w:tc>
          <w:tcPr>
            <w:tcW w:type="dxa" w:w="1701"/>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Anemia of CKD</w:t>
            </w:r>
          </w:p>
        </w:tc>
      </w:tr>
      <w:tr>
        <w:tc>
          <w:tcPr>
            <w:tcW w:type="dxa" w:w="1701"/>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BMI</w:t>
            </w:r>
          </w:p>
        </w:tc>
        <w:tc>
          <w:tcPr>
            <w:tcW w:type="dxa" w:w="1984"/>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18.5–24.9 (normal)</w:t>
            </w:r>
          </w:p>
        </w:tc>
        <w:tc>
          <w:tcPr>
            <w:tcW w:type="dxa" w:w="1417"/>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kg/m²</w:t>
            </w:r>
          </w:p>
        </w:tc>
        <w:tc>
          <w:tcPr>
            <w:tcW w:type="dxa" w:w="4252"/>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≥25: overweight; ≥30: obese; &lt;18.5: underweight</w:t>
            </w:r>
          </w:p>
        </w:tc>
        <w:tc>
          <w:tcPr>
            <w:tcW w:type="dxa" w:w="1701"/>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R8</w:t>
            </w:r>
          </w:p>
        </w:tc>
      </w:tr>
      <w:tr>
        <w:tc>
          <w:tcPr>
            <w:tcW w:type="dxa" w:w="1701"/>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Total Chol.</w:t>
            </w:r>
          </w:p>
        </w:tc>
        <w:tc>
          <w:tcPr>
            <w:tcW w:type="dxa" w:w="1984"/>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&lt; 200 (desirable)</w:t>
            </w:r>
          </w:p>
        </w:tc>
        <w:tc>
          <w:tcPr>
            <w:tcW w:type="dxa" w:w="1417"/>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mg/dL</w:t>
            </w:r>
          </w:p>
        </w:tc>
        <w:tc>
          <w:tcPr>
            <w:tcW w:type="dxa" w:w="4252"/>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200–239: borderline; ≥240: high</w:t>
            </w:r>
          </w:p>
        </w:tc>
        <w:tc>
          <w:tcPr>
            <w:tcW w:type="dxa" w:w="1701"/>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R8, R10</w:t>
            </w:r>
          </w:p>
        </w:tc>
      </w:tr>
      <w:tr>
        <w:tc>
          <w:tcPr>
            <w:tcW w:type="dxa" w:w="1701"/>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HDL</w:t>
            </w:r>
          </w:p>
        </w:tc>
        <w:tc>
          <w:tcPr>
            <w:tcW w:type="dxa" w:w="1984"/>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&gt; 60 (protective)</w:t>
            </w:r>
          </w:p>
        </w:tc>
        <w:tc>
          <w:tcPr>
            <w:tcW w:type="dxa" w:w="1417"/>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mg/dL</w:t>
            </w:r>
          </w:p>
        </w:tc>
        <w:tc>
          <w:tcPr>
            <w:tcW w:type="dxa" w:w="4252"/>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&lt;40 (M)/&lt;50 (F): low risk zone; &gt;50: +0.23 eGFR protection</w:t>
            </w:r>
          </w:p>
        </w:tc>
        <w:tc>
          <w:tcPr>
            <w:tcW w:type="dxa" w:w="1701"/>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R8, R10</w:t>
            </w:r>
          </w:p>
        </w:tc>
      </w:tr>
      <w:tr>
        <w:tc>
          <w:tcPr>
            <w:tcW w:type="dxa" w:w="1701"/>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Age</w:t>
            </w:r>
          </w:p>
        </w:tc>
        <w:tc>
          <w:tcPr>
            <w:tcW w:type="dxa" w:w="1984"/>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18–90 (adult)</w:t>
            </w:r>
          </w:p>
        </w:tc>
        <w:tc>
          <w:tcPr>
            <w:tcW w:type="dxa" w:w="1417"/>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years</w:t>
            </w:r>
          </w:p>
        </w:tc>
        <w:tc>
          <w:tcPr>
            <w:tcW w:type="dxa" w:w="4252"/>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Age is a driver, not a target; model validated for adults</w:t>
            </w:r>
          </w:p>
        </w:tc>
        <w:tc>
          <w:tcPr>
            <w:tcW w:type="dxa" w:w="1701"/>
            <w:shd w:val="clear" w:color="auto" w:fill="FFFF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R1, R8</w:t>
            </w:r>
          </w:p>
        </w:tc>
      </w:tr>
      <w:tr>
        <w:tc>
          <w:tcPr>
            <w:tcW w:type="dxa" w:w="1701"/>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Weight</w:t>
            </w:r>
          </w:p>
        </w:tc>
        <w:tc>
          <w:tcPr>
            <w:tcW w:type="dxa" w:w="1984"/>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40–150</w:t>
            </w:r>
          </w:p>
        </w:tc>
        <w:tc>
          <w:tcPr>
            <w:tcW w:type="dxa" w:w="1417"/>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kg</w:t>
            </w:r>
          </w:p>
        </w:tc>
        <w:tc>
          <w:tcPr>
            <w:tcW w:type="dxa" w:w="4252"/>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Direct term in Cockcroft-Gault and UO model</w:t>
            </w:r>
          </w:p>
        </w:tc>
        <w:tc>
          <w:tcPr>
            <w:tcW w:type="dxa" w:w="1701"/>
            <w:shd w:val="clear" w:color="auto" w:fill="F0F7FF"/>
            <w:tcBorders>
              <w:top w:val="single" w:sz="4" w:space="0" w:color="B8D4F0"/>
              <w:left w:val="single" w:sz="4" w:space="0" w:color="B8D4F0"/>
              <w:bottom w:val="single" w:sz="4" w:space="0" w:color="B8D4F0"/>
              <w:right w:val="single" w:sz="4" w:space="0" w:color="B8D4F0"/>
            </w:tcBorders>
          </w:tcPr>
          <w:p>
            <w:pPr>
              <w:spacing w:before="20" w:after="20"/>
            </w:pPr>
            <w:r>
              <w:rPr>
                <w:color w:val="444444"/>
                <w:sz w:val="18"/>
              </w:rPr>
              <w:t>R5, R2</w:t>
            </w:r>
          </w:p>
        </w:tc>
      </w:tr>
    </w:tbl>
    <w:p/>
    <w:p>
      <w:pPr>
        <w:spacing w:before="200" w:after="100"/>
      </w:pPr>
      <w:r>
        <w:rPr>
          <w:i/>
          <w:color w:val="999999"/>
          <w:sz w:val="16"/>
        </w:rPr>
        <w:t>Sources: egfr-network.html · clinicalRelationships.js · egfrCalculation.js · backend/main.py · user research tables</w:t>
        <w:br/>
        <w:t>KEGG: kegg.jp/pathway/[id]  ·  QuickGO: ebi.ac.uk/QuickGO/term/[id]</w:t>
        <w:br/>
        <w:t>eGFR Dashboard — Mallak &amp; Hazem — 2026</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