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Copilot Studio to Gemini Enterprise - Migration Feasibility</w:t>
      </w:r>
    </w:p>
    <w:p>
      <w:r>
        <w:rPr>
          <w:i/>
          <w:color w:val="000000"/>
          <w:sz w:val="18"/>
        </w:rPr>
        <w:t>Product feasibility of building an automated migration tool, organised by the sections of a Copilot Studio agent. Status values: Yes = migratable / works; Partial = possible but needs a human step, a rebuild, or has fidelity loss; No = not possible, no equivalent, or runtime/historical data; Verify = feasible in principle but must be confirmed on the destination.</w:t>
      </w:r>
    </w:p>
    <w:p>
      <w:pPr>
        <w:pStyle w:val="Heading1"/>
      </w:pPr>
      <w:r>
        <w:rPr>
          <w:color w:val="000000"/>
        </w:rPr>
        <w:t>1. Agent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  <w:color w:val="000000"/>
                <w:sz w:val="19"/>
              </w:rPr>
              <w:t>Source (Copilot Studio)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000000"/>
                <w:sz w:val="19"/>
              </w:rPr>
              <w:t>Destination equivalent (Gemini Enterprise)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000000"/>
                <w:sz w:val="19"/>
              </w:rPr>
              <w:t>Migrated / Not</w:t>
            </w:r>
          </w:p>
        </w:tc>
        <w:tc>
          <w:tcPr>
            <w:tcW w:type="dxa" w:w="4392"/>
          </w:tcPr>
          <w:p>
            <w:r/>
            <w:r>
              <w:rPr>
                <w:b/>
                <w:color w:val="000000"/>
                <w:sz w:val="19"/>
              </w:rPr>
              <w:t>How we build / do 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Name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Agent name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Yes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Copy directly.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Icon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Agent icon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Verify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Only if the destination supports a custom agent picture - confirm first.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Description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Description field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Source is often empty; the tool writes a generic filler. Recommend generating a real summary from the instruction/topics.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Owner (SYSTEM / person)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Creator / IAM identity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No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Owner becomes whoever/whatever account creates it in the destination. Source owner is not carried.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Status (Draft / Published)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Re-created publish state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Not copied. The tool publishes in the destination as its own step.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Last modified (date)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Auto timestamp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No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The destination sets its own new date; the old one cannot be forced.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Powered by (Standard)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Model / tier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No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Source plan label; no matching field on the destination.</w:t>
            </w:r>
          </w:p>
        </w:tc>
      </w:tr>
    </w:tbl>
    <w:p/>
    <w:p>
      <w:pPr>
        <w:pStyle w:val="Heading1"/>
      </w:pPr>
      <w:r>
        <w:rPr>
          <w:color w:val="000000"/>
        </w:rPr>
        <w:t>2. Knowledge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  <w:color w:val="000000"/>
                <w:sz w:val="19"/>
              </w:rPr>
              <w:t>Source (Copilot Studio)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000000"/>
                <w:sz w:val="19"/>
              </w:rPr>
              <w:t>Destination equivalent (Gemini Enterprise)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000000"/>
                <w:sz w:val="19"/>
              </w:rPr>
              <w:t>Migrated / Not</w:t>
            </w:r>
          </w:p>
        </w:tc>
        <w:tc>
          <w:tcPr>
            <w:tcW w:type="dxa" w:w="4392"/>
          </w:tcPr>
          <w:p>
            <w:r/>
            <w:r>
              <w:rPr>
                <w:b/>
                <w:color w:val="000000"/>
                <w:sz w:val="19"/>
              </w:rPr>
              <w:t>How we build / do 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Uploaded documents / PDFs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Agent files or document data store (GCS)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Yes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Fetch bytes from Dataverse then upload/attach to the agent (or GCS then ImportDocuments). Format+size gate; incompatible/encrypted files skipped and reported.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Public website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Website data store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No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The destination BLOCKS attaching a website data store to a Gemini app (proven). Fallback: append the URLs into the Instructions (a reference, not true search).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SharePoint (full connector)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SharePoint Online connector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Native connector. Federated (no copy, live) or ingestion (copies in). Needs one-time Entra OAuth + identity federation for permission trimming.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SharePoint / OneDrive files &amp; folders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OneDrive/SharePoint connector, or copy to GCS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Native connector, or pull files to GCS then a document data store. Can scope to specific folders. Needs the one-time OAuth.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Dataverse tables (reference/catalog)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Structured data store (BigQuery / inline JSON)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Read rows via Web API then BigQuery/inline then documents:import. Per-row permissions are NOT carried - only for non-sensitive tables.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Dataverse tables (sensitive/PII)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Agent tool (live query)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Do not snapshot (would expose all rows). Rebuild as a live tool that queries at answer time so access control stays enforced.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SharePoint Lists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Structured data store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Export list rows to a structured store (tabular, not a file copy).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Confluence / ServiceNow / Salesforce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Matching native connector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Create the connector + one-time OAuth; auto-syncs afterward.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Zendesk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Connector (unconfirmed)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Verify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Copilot supports it; a Gemini-side Zendesk connector is unconfirmed - verify before promising.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Azure Blob storage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GCS import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Transfer objects to GCS then ImportDocuments. Needs the customer blob credentials.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SQL / database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Agent tool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No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A database cannot be indexed as knowledge. Rebuild the connection as a tool.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Azure AI Search index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(none)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No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Prebuilt index cannot be migrated. Re-point at the underlying documents or rebuild as a retrieval tool.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Custom API / Graph / MCP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Agent tool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Recreate the tool definition, auth, and parameters on the destination.</w:t>
            </w:r>
          </w:p>
        </w:tc>
      </w:tr>
    </w:tbl>
    <w:p/>
    <w:p>
      <w:pPr>
        <w:pStyle w:val="Heading1"/>
      </w:pPr>
      <w:r>
        <w:rPr>
          <w:color w:val="000000"/>
        </w:rPr>
        <w:t>3. Agents (that work together - connected / sub-agents)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  <w:color w:val="000000"/>
                <w:sz w:val="19"/>
              </w:rPr>
              <w:t>Source (Copilot Studio)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000000"/>
                <w:sz w:val="19"/>
              </w:rPr>
              <w:t>Destination equivalent (Gemini Enterprise)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000000"/>
                <w:sz w:val="19"/>
              </w:rPr>
              <w:t>Migrated / Not</w:t>
            </w:r>
          </w:p>
        </w:tc>
        <w:tc>
          <w:tcPr>
            <w:tcW w:type="dxa" w:w="4392"/>
          </w:tcPr>
          <w:p>
            <w:r/>
            <w:r>
              <w:rPr>
                <w:b/>
                <w:color w:val="000000"/>
                <w:sz w:val="19"/>
              </w:rPr>
              <w:t>How we build / do 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Connected / sub-agents (Agents tab)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Gemini sub-agents (subAgentIds)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Equivalent exists. But not captured by extraction yet. Build: 1) capture the Agents tab; 2) migrate children first (dependency order); 3) two-pass - create all, then wire parent to children by new IDs; 4) guard cycles/depth; 5) report Microsoft built-in agents that have no equivalent.</w:t>
            </w:r>
          </w:p>
        </w:tc>
      </w:tr>
    </w:tbl>
    <w:p/>
    <w:p>
      <w:pPr>
        <w:pStyle w:val="Heading1"/>
      </w:pPr>
      <w:r>
        <w:rPr>
          <w:color w:val="000000"/>
        </w:rPr>
        <w:t>4. Topics (idea: Topic -&gt; Capability -&gt; Sub-agent)</w:t>
      </w:r>
    </w:p>
    <w:p>
      <w:r>
        <w:rPr>
          <w:i/>
          <w:color w:val="000000"/>
          <w:sz w:val="18"/>
        </w:rPr>
        <w:t>Core idea: reproduce what a topic DOES, not its flowchart. Most topics become a capability written as instruction text; group related capabilities into domain sub-agents; the main agent routes. Start with one agent and split only when size, coherence, or a tool/permission boundary forces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  <w:color w:val="000000"/>
                <w:sz w:val="19"/>
              </w:rPr>
              <w:t>Source (Copilot Studio)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000000"/>
                <w:sz w:val="19"/>
              </w:rPr>
              <w:t>Destination equivalent (Gemini Enterprise)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000000"/>
                <w:sz w:val="19"/>
              </w:rPr>
              <w:t>Migrated / Not</w:t>
            </w:r>
          </w:p>
        </w:tc>
        <w:tc>
          <w:tcPr>
            <w:tcW w:type="dxa" w:w="4392"/>
          </w:tcPr>
          <w:p>
            <w:r/>
            <w:r>
              <w:rPr>
                <w:b/>
                <w:color w:val="000000"/>
                <w:sz w:val="19"/>
              </w:rPr>
              <w:t>How we build / do 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Answering / Q&amp;A topic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Capability = instruction text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Yes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Compile the topic into an instruction paragraph. Planner is built; the deploy step is NOT wired yet.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Deciding / branching topic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Capability = instruction rules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Write the if/else as rules. The model usually follows but does not guarantee the exact path - flag for review.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Acting / transactional topic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Capability = tool / Cloud Workflow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Cannot copy an action. Rebuild the connector/API as a tool and reconnect auth.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System topic (greeting/fallback)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Main-agent settings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Yes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Fold into the root agent config, not a sub-agent.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Strict must-be-exact flow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Deterministic workflow / Dialogflow CX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No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Generative agents cannot guarantee order. Rebuild as a Cloud Workflow or Dialogflow CX.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Rich Adaptive Cards / UI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Plain text (usually)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No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No clean equivalent - becomes plain text or a manual rebuild.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Grouping many topics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Domain sub-agents + routing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Yes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Cluster by domain; main agent = router. Merge duplicates; drop trivial; keep topics that share variables together.</w:t>
            </w:r>
          </w:p>
        </w:tc>
      </w:tr>
    </w:tbl>
    <w:p/>
    <w:p>
      <w:pPr>
        <w:pStyle w:val="Heading1"/>
      </w:pPr>
      <w:r>
        <w:rPr>
          <w:color w:val="000000"/>
        </w:rPr>
        <w:t>5.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  <w:color w:val="000000"/>
                <w:sz w:val="19"/>
              </w:rPr>
              <w:t>Source (Copilot Studio)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000000"/>
                <w:sz w:val="19"/>
              </w:rPr>
              <w:t>Destination equivalent (Gemini Enterprise)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000000"/>
                <w:sz w:val="19"/>
              </w:rPr>
              <w:t>Migrated / Not</w:t>
            </w:r>
          </w:p>
        </w:tc>
        <w:tc>
          <w:tcPr>
            <w:tcW w:type="dxa" w:w="4392"/>
          </w:tcPr>
          <w:p>
            <w:r/>
            <w:r>
              <w:rPr>
                <w:b/>
                <w:color w:val="000000"/>
                <w:sz w:val="19"/>
              </w:rPr>
              <w:t>How we build / do 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Prebuilt / standard connectors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Gemini connector / tool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Recreate the tool and reconnect its auth. Logic can be rebuilt; nothing copies as-is.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Custom / REST / OpenAPI tools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Gemini OpenAPI tool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Re-register the API spec + auth on the destination.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Power Automate flows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Cloud Workflow / function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Rebuild the flow logic as a workflow or function; reconnect auth.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AI Builder / prompt tools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Model reasoning / prompt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Re-express as instructions/prompt; validate that behaviour matches.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MCP tools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Gemini tool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Partial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Recreate the tool definition + auth.</w:t>
            </w:r>
          </w:p>
        </w:tc>
      </w:tr>
    </w:tbl>
    <w:p/>
    <w:p>
      <w:r>
        <w:rPr>
          <w:i/>
          <w:color w:val="000000"/>
          <w:sz w:val="18"/>
        </w:rPr>
        <w:t>Note: tool logic is feasible to rebuild, but secrets/authentication are always a manual step, and no tool copies over as-is.</w:t>
      </w:r>
    </w:p>
    <w:p>
      <w:pPr>
        <w:pStyle w:val="Heading1"/>
      </w:pPr>
      <w:r>
        <w:rPr>
          <w:color w:val="000000"/>
        </w:rPr>
        <w:t>6.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  <w:color w:val="000000"/>
                <w:sz w:val="19"/>
              </w:rPr>
              <w:t>Source (Copilot Studio)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000000"/>
                <w:sz w:val="19"/>
              </w:rPr>
              <w:t>Destination equivalent (Gemini Enterprise)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000000"/>
                <w:sz w:val="19"/>
              </w:rPr>
              <w:t>Migrated / Not</w:t>
            </w:r>
          </w:p>
        </w:tc>
        <w:tc>
          <w:tcPr>
            <w:tcW w:type="dxa" w:w="4392"/>
          </w:tcPr>
          <w:p>
            <w:r/>
            <w:r>
              <w:rPr>
                <w:b/>
                <w:color w:val="000000"/>
                <w:sz w:val="19"/>
              </w:rPr>
              <w:t>How we build / do 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Test sets / quality evaluations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Gemini evaluation features (verify)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Verify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Evaluation configs are agent-specific and do not transfer. Re-create the test cases on the destination. Confirm what evaluation tooling Gemini exposes before promising parity.</w:t>
            </w:r>
          </w:p>
        </w:tc>
      </w:tr>
    </w:tbl>
    <w:p/>
    <w:p>
      <w:pPr>
        <w:pStyle w:val="Heading1"/>
      </w:pPr>
      <w:r>
        <w:rPr>
          <w:color w:val="000000"/>
        </w:rPr>
        <w:t>7. Monitor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  <w:color w:val="000000"/>
                <w:sz w:val="19"/>
              </w:rPr>
              <w:t>Source (Copilot Studio)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000000"/>
                <w:sz w:val="19"/>
              </w:rPr>
              <w:t>Destination equivalent (Gemini Enterprise)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000000"/>
                <w:sz w:val="19"/>
              </w:rPr>
              <w:t>Migrated / Not</w:t>
            </w:r>
          </w:p>
        </w:tc>
        <w:tc>
          <w:tcPr>
            <w:tcW w:type="dxa" w:w="4392"/>
          </w:tcPr>
          <w:p>
            <w:r/>
            <w:r>
              <w:rPr>
                <w:b/>
                <w:color w:val="000000"/>
                <w:sz w:val="19"/>
              </w:rPr>
              <w:t>How we build / do 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Runtime monitoring / session analytics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Google Cloud Logging / Monitoring / analytics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No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This is runtime telemetry, not agent content. The destination generates its own; historical monitoring data stays in the source.</w:t>
            </w:r>
          </w:p>
        </w:tc>
      </w:tr>
    </w:tbl>
    <w:p/>
    <w:p>
      <w:pPr>
        <w:pStyle w:val="Heading1"/>
      </w:pPr>
      <w:r>
        <w:rPr>
          <w:color w:val="000000"/>
        </w:rPr>
        <w:t>8.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  <w:color w:val="000000"/>
                <w:sz w:val="19"/>
              </w:rPr>
              <w:t>Source (Copilot Studio)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000000"/>
                <w:sz w:val="19"/>
              </w:rPr>
              <w:t>Destination equivalent (Gemini Enterprise)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000000"/>
                <w:sz w:val="19"/>
              </w:rPr>
              <w:t>Migrated / Not</w:t>
            </w:r>
          </w:p>
        </w:tc>
        <w:tc>
          <w:tcPr>
            <w:tcW w:type="dxa" w:w="4392"/>
          </w:tcPr>
          <w:p>
            <w:r/>
            <w:r>
              <w:rPr>
                <w:b/>
                <w:color w:val="000000"/>
                <w:sz w:val="19"/>
              </w:rPr>
              <w:t>How we build / do 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Publishing channels (Teams, web, etc.)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Gemini / Google surfaces + integrations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No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Channels do not transfer. Re-publish to the destination's own surfaces. Teams-specific channel config is not applicable on the destination.</w:t>
            </w:r>
          </w:p>
        </w:tc>
      </w:tr>
    </w:tbl>
    <w:p/>
    <w:p>
      <w:pPr>
        <w:pStyle w:val="Heading1"/>
      </w:pPr>
      <w:r>
        <w:rPr>
          <w:color w:val="000000"/>
        </w:rPr>
        <w:t>9. Activity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/>
            <w:r>
              <w:rPr>
                <w:b/>
                <w:color w:val="000000"/>
                <w:sz w:val="19"/>
              </w:rPr>
              <w:t>Source (Copilot Studio)</w:t>
            </w:r>
          </w:p>
        </w:tc>
        <w:tc>
          <w:tcPr>
            <w:tcW w:type="dxa" w:w="2736"/>
          </w:tcPr>
          <w:p>
            <w:r/>
            <w:r>
              <w:rPr>
                <w:b/>
                <w:color w:val="000000"/>
                <w:sz w:val="19"/>
              </w:rPr>
              <w:t>Destination equivalent (Gemini Enterprise)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000000"/>
                <w:sz w:val="19"/>
              </w:rPr>
              <w:t>Migrated / Not</w:t>
            </w:r>
          </w:p>
        </w:tc>
        <w:tc>
          <w:tcPr>
            <w:tcW w:type="dxa" w:w="4392"/>
          </w:tcPr>
          <w:p>
            <w:r/>
            <w:r>
              <w:rPr>
                <w:b/>
                <w:color w:val="000000"/>
                <w:sz w:val="19"/>
              </w:rPr>
              <w:t>How we build / do 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000000"/>
                <w:sz w:val="18"/>
              </w:rPr>
              <w:t>Conversation history / transcripts / usage</w:t>
            </w:r>
          </w:p>
        </w:tc>
        <w:tc>
          <w:tcPr>
            <w:tcW w:type="dxa" w:w="2736"/>
          </w:tcPr>
          <w:p>
            <w:r/>
            <w:r>
              <w:rPr>
                <w:color w:val="000000"/>
                <w:sz w:val="18"/>
              </w:rPr>
              <w:t>(none)</w:t>
            </w:r>
          </w:p>
        </w:tc>
        <w:tc>
          <w:tcPr>
            <w:tcW w:type="dxa" w:w="1656"/>
          </w:tcPr>
          <w:p>
            <w:r/>
            <w:r>
              <w:rPr>
                <w:color w:val="000000"/>
                <w:sz w:val="18"/>
              </w:rPr>
              <w:t>No</w:t>
            </w:r>
          </w:p>
        </w:tc>
        <w:tc>
          <w:tcPr>
            <w:tcW w:type="dxa" w:w="4392"/>
          </w:tcPr>
          <w:p>
            <w:r/>
            <w:r>
              <w:rPr>
                <w:color w:val="000000"/>
                <w:sz w:val="18"/>
              </w:rPr>
              <w:t>Historical activity is not migratable; it stays in the source. The new agent starts fresh.</w:t>
            </w:r>
          </w:p>
        </w:tc>
      </w:tr>
    </w:tbl>
    <w:p/>
    <w:p>
      <w:pPr>
        <w:pStyle w:val="Heading1"/>
      </w:pPr>
      <w:r>
        <w:rPr>
          <w:color w:val="000000"/>
        </w:rPr>
        <w:t>Summary of what is and is not a migration target</w:t>
      </w:r>
    </w:p>
    <w:p>
      <w:r>
        <w:rPr>
          <w:i w:val="0"/>
          <w:color w:val="000000"/>
          <w:sz w:val="20"/>
        </w:rPr>
        <w:t>Migratable agent DEFINITION: Agent metadata (mostly), Knowledge sources, Agents (connected), Topics, and Tools. These describe what the agent IS and DOES, and are the real migration surface.</w:t>
      </w:r>
    </w:p>
    <w:p>
      <w:r>
        <w:rPr>
          <w:i w:val="0"/>
          <w:color w:val="000000"/>
          <w:sz w:val="20"/>
        </w:rPr>
        <w:t>NOT a migration target (operational / historical / runtime): Evaluation configs, Monitor data, Channels, and Activity. These are re-established on the destination or left in the source; they are not copied.</w:t>
      </w:r>
    </w:p>
    <w:p>
      <w:r>
        <w:rPr>
          <w:i/>
          <w:color w:val="000000"/>
          <w:sz w:val="18"/>
        </w:rPr>
        <w:t>Principle throughout: honesty over overclaiming - every unit carries a status; nothing is silently dropped. "Partial" is an honest boundary with a defined next step, not a 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