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Migration Feasibility — Copilot Studio → Gemini Enterprise</w:t>
      </w:r>
    </w:p>
    <w:p>
      <w:r>
        <w:rPr>
          <w:i/>
          <w:color w:val="666666"/>
          <w:sz w:val="18"/>
        </w:rPr>
        <w:t>Product feasibility of building an automated migration tool  •  Source: Microsoft Copilot Studio  •  Destination: Google Gemini Enterprise</w:t>
      </w:r>
    </w:p>
    <w:p>
      <w:r>
        <w:t>Prepared as a working feasibility reference. Every row is marked Migrated / Not / Partial with an honest note. "Partial" means possible but needs a human step or has fidelity loss.</w:t>
      </w:r>
    </w:p>
    <w:p>
      <w:pPr>
        <w:pStyle w:val="Heading2"/>
      </w:pPr>
      <w:r>
        <w:rPr>
          <w:color w:val="2F5496"/>
        </w:rPr>
        <w:t>Status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Marker</w:t>
            </w:r>
          </w:p>
        </w:tc>
        <w:tc>
          <w:tcPr>
            <w:tcW w:type="dxa" w:w="3168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1440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  <w:tc>
          <w:tcPr>
            <w:tcW w:type="dxa" w:w="3888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How to read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Migratable / already works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Automatable end-to-end (after one-time setup)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Possible, but with a catch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sz w:val="18"/>
              </w:rPr>
              <w:t>Amber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Needs a human step, a rebuild, or has fidelity loss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Not possible / blocked / no equivalent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sz w:val="18"/>
              </w:rPr>
              <w:t>Red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Report honestly or use a different tool</w:t>
            </w:r>
          </w:p>
        </w:tc>
      </w:tr>
    </w:tbl>
    <w:p/>
    <w:p>
      <w:pPr>
        <w:pStyle w:val="Heading1"/>
      </w:pPr>
      <w:r>
        <w:rPr>
          <w:color w:val="2F5496"/>
        </w:rPr>
        <w:t>1. Knowledge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Source (Copilot)</w:t>
            </w:r>
          </w:p>
        </w:tc>
        <w:tc>
          <w:tcPr>
            <w:tcW w:type="dxa" w:w="2736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Destination equivalent (Gemini)</w:t>
            </w:r>
          </w:p>
        </w:tc>
        <w:tc>
          <w:tcPr>
            <w:tcW w:type="dxa" w:w="1944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Migrated / Not</w:t>
            </w:r>
          </w:p>
        </w:tc>
        <w:tc>
          <w:tcPr>
            <w:tcW w:type="dxa" w:w="4320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How we build / do 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Uploaded documents / PDFs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Agent files or Document data store (GCS)</w:t>
            </w:r>
          </w:p>
        </w:tc>
        <w:tc>
          <w:tcPr>
            <w:tcW w:type="dxa" w:w="1944"/>
            <w:shd w:val="clear" w:color="auto" w:fill="E2EFDA"/>
          </w:tcPr>
          <w:p>
            <w:r/>
            <w:r>
              <w:rPr>
                <w:sz w:val="18"/>
              </w:rPr>
              <w:t>Yes — works today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Fetch bytes from Dataverse → upload/attach to agent (or GCS → ImportDocuments). Passes a format+size gate; incompatible/encrypted files skipped &amp; reported.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Public website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Website data store</w:t>
            </w:r>
          </w:p>
        </w:tc>
        <w:tc>
          <w:tcPr>
            <w:tcW w:type="dxa" w:w="1944"/>
            <w:shd w:val="clear" w:color="auto" w:fill="FBE4D5"/>
          </w:tcPr>
          <w:p>
            <w:r/>
            <w:r>
              <w:rPr>
                <w:sz w:val="18"/>
              </w:rPr>
              <w:t>No — blocked (workaround)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Google BLOCKS attaching a website data store to a Gemini app (proven). Fallback: append the URLs into the agent Instructions (a reference, not true search).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SharePoint (full connector)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Microsoft SharePoint Online connector</w:t>
            </w:r>
          </w:p>
        </w:tc>
        <w:tc>
          <w:tcPr>
            <w:tcW w:type="dxa" w:w="1944"/>
            <w:shd w:val="clear" w:color="auto" w:fill="FBE4D5"/>
          </w:tcPr>
          <w:p>
            <w:r/>
            <w:r>
              <w:rPr>
                <w:sz w:val="18"/>
              </w:rPr>
              <w:t>Partial — feasible, not built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Native connector. Federated (no copy, live) or ingestion (copies in). Needs one-time Entra OAuth + identity federation for permission trimming.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SharePoint / OneDrive files &amp; folders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OneDrive/SharePoint connector, or copy → GCS</w:t>
            </w:r>
          </w:p>
        </w:tc>
        <w:tc>
          <w:tcPr>
            <w:tcW w:type="dxa" w:w="1944"/>
            <w:shd w:val="clear" w:color="auto" w:fill="FBE4D5"/>
          </w:tcPr>
          <w:p>
            <w:r/>
            <w:r>
              <w:rPr>
                <w:sz w:val="18"/>
              </w:rPr>
              <w:t>Partial — feasible, not built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Either native connector, or the CloudFuze way: pull files → GCS → document data store. Can scope to specific folders. Needs the one-time OAuth.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Dataverse tables (reference/catalog)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Structured data store (BigQuery / inline JSON)</w:t>
            </w:r>
          </w:p>
        </w:tc>
        <w:tc>
          <w:tcPr>
            <w:tcW w:type="dxa" w:w="1944"/>
            <w:shd w:val="clear" w:color="auto" w:fill="FFF2CC"/>
          </w:tcPr>
          <w:p>
            <w:r/>
            <w:r>
              <w:rPr>
                <w:sz w:val="18"/>
              </w:rPr>
              <w:t>Partial — ETL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Read rows via Dataverse Web API → BigQuery or inline → documents:import. WARNING: per-row permissions are NOT carried — only for non-sensitive tables.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Dataverse tables (sensitive/PII)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Agent tool (live query)</w:t>
            </w:r>
          </w:p>
        </w:tc>
        <w:tc>
          <w:tcPr>
            <w:tcW w:type="dxa" w:w="1944"/>
            <w:shd w:val="clear" w:color="auto" w:fill="FFF2CC"/>
          </w:tcPr>
          <w:p>
            <w:r/>
            <w:r>
              <w:rPr>
                <w:sz w:val="18"/>
              </w:rPr>
              <w:t>Partial — manual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Do NOT snapshot (would expose all rows). Rebuild as a live tool that queries at answer-time so access control stays enforced.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SharePoint Lists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Structured data store</w:t>
            </w:r>
          </w:p>
        </w:tc>
        <w:tc>
          <w:tcPr>
            <w:tcW w:type="dxa" w:w="1944"/>
            <w:shd w:val="clear" w:color="auto" w:fill="FFF2CC"/>
          </w:tcPr>
          <w:p>
            <w:r/>
            <w:r>
              <w:rPr>
                <w:sz w:val="18"/>
              </w:rPr>
              <w:t>Partial — ETL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Export list rows → structured store (tabular, not a file copy).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Confluence / ServiceNow / Salesforce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Matching native connector</w:t>
            </w:r>
          </w:p>
        </w:tc>
        <w:tc>
          <w:tcPr>
            <w:tcW w:type="dxa" w:w="1944"/>
            <w:shd w:val="clear" w:color="auto" w:fill="FBE4D5"/>
          </w:tcPr>
          <w:p>
            <w:r/>
            <w:r>
              <w:rPr>
                <w:sz w:val="18"/>
              </w:rPr>
              <w:t>Partial — feasible, not built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Create the connector + one-time OAuth; auto-syncs afterward.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Zendesk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Connector (unconfirmed)</w:t>
            </w:r>
          </w:p>
        </w:tc>
        <w:tc>
          <w:tcPr>
            <w:tcW w:type="dxa" w:w="1944"/>
            <w:shd w:val="clear" w:color="auto" w:fill="FFF2CC"/>
          </w:tcPr>
          <w:p>
            <w:r/>
            <w:r>
              <w:rPr>
                <w:sz w:val="18"/>
              </w:rPr>
              <w:t>Partial — verify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Copilot supports it; a Gemini-side Zendesk connector is unconfirmed — verify before promising.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Azure Blob storage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GCS import</w:t>
            </w:r>
          </w:p>
        </w:tc>
        <w:tc>
          <w:tcPr>
            <w:tcW w:type="dxa" w:w="1944"/>
            <w:shd w:val="clear" w:color="auto" w:fill="FFF2CC"/>
          </w:tcPr>
          <w:p>
            <w:r/>
            <w:r>
              <w:rPr>
                <w:sz w:val="18"/>
              </w:rPr>
              <w:t>Partial — manual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Transfer objects → GCS → ImportDocuments. Needs the customer blob credentials.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SQL / database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Agent tool</w:t>
            </w:r>
          </w:p>
        </w:tc>
        <w:tc>
          <w:tcPr>
            <w:tcW w:type="dxa" w:w="1944"/>
            <w:shd w:val="clear" w:color="auto" w:fill="FBE4D5"/>
          </w:tcPr>
          <w:p>
            <w:r/>
            <w:r>
              <w:rPr>
                <w:sz w:val="18"/>
              </w:rPr>
              <w:t>No — not as knowledge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database cannot be "indexed" as knowledge. Rebuild the connection as a tool.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Azure AI Search index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(none)</w:t>
            </w:r>
          </w:p>
        </w:tc>
        <w:tc>
          <w:tcPr>
            <w:tcW w:type="dxa" w:w="1944"/>
            <w:shd w:val="clear" w:color="auto" w:fill="FBE4D5"/>
          </w:tcPr>
          <w:p>
            <w:r/>
            <w:r>
              <w:rPr>
                <w:sz w:val="18"/>
              </w:rPr>
              <w:t>No — index cannot move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Prebuilt index cannot be migrated. Re-point at the underlying documents or rebuild as a retrieval tool.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Custom API / Graph / MCP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Agent tool</w:t>
            </w:r>
          </w:p>
        </w:tc>
        <w:tc>
          <w:tcPr>
            <w:tcW w:type="dxa" w:w="1944"/>
            <w:shd w:val="clear" w:color="auto" w:fill="FFF2CC"/>
          </w:tcPr>
          <w:p>
            <w:r/>
            <w:r>
              <w:rPr>
                <w:sz w:val="18"/>
              </w:rPr>
              <w:t>Partial — manual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Recreate the tool definition, auth, and parameters on the Google side.</w:t>
            </w:r>
          </w:p>
        </w:tc>
      </w:tr>
    </w:tbl>
    <w:p/>
    <w:p>
      <w:pPr>
        <w:pStyle w:val="Heading1"/>
      </w:pPr>
      <w:r>
        <w:rPr>
          <w:color w:val="2F5496"/>
        </w:rPr>
        <w:t>2. Agent Metadata (the list columns)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Source (Copilot)</w:t>
            </w:r>
          </w:p>
        </w:tc>
        <w:tc>
          <w:tcPr>
            <w:tcW w:type="dxa" w:w="2736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Destination equivalent (Gemini)</w:t>
            </w:r>
          </w:p>
        </w:tc>
        <w:tc>
          <w:tcPr>
            <w:tcW w:type="dxa" w:w="1944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Migrated / Not</w:t>
            </w:r>
          </w:p>
        </w:tc>
        <w:tc>
          <w:tcPr>
            <w:tcW w:type="dxa" w:w="4320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How we build / do 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Agent name</w:t>
            </w:r>
          </w:p>
        </w:tc>
        <w:tc>
          <w:tcPr>
            <w:tcW w:type="dxa" w:w="1944"/>
            <w:shd w:val="clear" w:color="auto" w:fill="E2EFDA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Copy directly.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Icon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Agent icon</w:t>
            </w:r>
          </w:p>
        </w:tc>
        <w:tc>
          <w:tcPr>
            <w:tcW w:type="dxa" w:w="1944"/>
            <w:shd w:val="clear" w:color="auto" w:fill="FFF2CC"/>
          </w:tcPr>
          <w:p>
            <w:r/>
            <w:r>
              <w:rPr>
                <w:sz w:val="18"/>
              </w:rPr>
              <w:t>Partial — verify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Only if Gemini supports a custom agent picture — confirm first.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Owner (SYSTEM / person)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Creator / IAM identity</w:t>
            </w:r>
          </w:p>
        </w:tc>
        <w:tc>
          <w:tcPr>
            <w:tcW w:type="dxa" w:w="1944"/>
            <w:shd w:val="clear" w:color="auto" w:fill="FBE4D5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Owner becomes whoever/whatever account creates it in Google. Microsoft owner not carried.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Status (Draft / Published)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Re-created state</w:t>
            </w:r>
          </w:p>
        </w:tc>
        <w:tc>
          <w:tcPr>
            <w:tcW w:type="dxa" w:w="1944"/>
            <w:shd w:val="clear" w:color="auto" w:fill="FFF2CC"/>
          </w:tcPr>
          <w:p>
            <w:r/>
            <w:r>
              <w:rPr>
                <w:sz w:val="18"/>
              </w:rPr>
              <w:t>Partial — re-created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Not copied — the tool publishes in Google as its own step.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Channel (e.g. Microsoft Teams)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Google/Gemini surface</w:t>
            </w:r>
          </w:p>
        </w:tc>
        <w:tc>
          <w:tcPr>
            <w:tcW w:type="dxa" w:w="1944"/>
            <w:shd w:val="clear" w:color="auto" w:fill="FBE4D5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Different surface; a Teams channel does not transfer.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Last modified (date)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Auto timestamp</w:t>
            </w:r>
          </w:p>
        </w:tc>
        <w:tc>
          <w:tcPr>
            <w:tcW w:type="dxa" w:w="1944"/>
            <w:shd w:val="clear" w:color="auto" w:fill="FBE4D5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Google stamps its own new date; the old one cannot be forced.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Powered by (Standard)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Gemini model/tier</w:t>
            </w:r>
          </w:p>
        </w:tc>
        <w:tc>
          <w:tcPr>
            <w:tcW w:type="dxa" w:w="1944"/>
            <w:shd w:val="clear" w:color="auto" w:fill="FBE4D5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Microsoft plan label; no matching field.</w:t>
            </w:r>
          </w:p>
        </w:tc>
      </w:tr>
    </w:tbl>
    <w:p/>
    <w:p>
      <w:pPr>
        <w:pStyle w:val="Heading1"/>
      </w:pPr>
      <w:r>
        <w:rPr>
          <w:color w:val="2F5496"/>
        </w:rPr>
        <w:t>3. Agent Core (the brain)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Source (Copilot)</w:t>
            </w:r>
          </w:p>
        </w:tc>
        <w:tc>
          <w:tcPr>
            <w:tcW w:type="dxa" w:w="2736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Destination equivalent (Gemini)</w:t>
            </w:r>
          </w:p>
        </w:tc>
        <w:tc>
          <w:tcPr>
            <w:tcW w:type="dxa" w:w="1944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Migrated / Not</w:t>
            </w:r>
          </w:p>
        </w:tc>
        <w:tc>
          <w:tcPr>
            <w:tcW w:type="dxa" w:w="4320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How we build / do 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Instructions (system prompt)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Instructions field</w:t>
            </w:r>
          </w:p>
        </w:tc>
        <w:tc>
          <w:tcPr>
            <w:tcW w:type="dxa" w:w="1944"/>
            <w:shd w:val="clear" w:color="auto" w:fill="E2EFDA"/>
          </w:tcPr>
          <w:p>
            <w:r/>
            <w:r>
              <w:rPr>
                <w:sz w:val="18"/>
              </w:rPr>
              <w:t>Yes — works today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Synthesized/copied instruction text is inserted. VERIFIED in the DB: full 6,620-char instruction migrated intact for a real agent.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Description field</w:t>
            </w:r>
          </w:p>
        </w:tc>
        <w:tc>
          <w:tcPr>
            <w:tcW w:type="dxa" w:w="1944"/>
            <w:shd w:val="clear" w:color="auto" w:fill="FFF2CC"/>
          </w:tcPr>
          <w:p>
            <w:r/>
            <w:r>
              <w:rPr>
                <w:sz w:val="18"/>
              </w:rPr>
              <w:t>Partial — placeholder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Source often empty → tool writes a generic filler ("This is the X agent"). Improve by generating a real summary from the instruction/topics.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Knowledge (see section 1)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Data stores / connectors</w:t>
            </w:r>
          </w:p>
        </w:tc>
        <w:tc>
          <w:tcPr>
            <w:tcW w:type="dxa" w:w="1944"/>
            <w:shd w:val="clear" w:color="auto" w:fill="FFF2CC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Per source type — see Knowledge table.</w:t>
            </w:r>
          </w:p>
        </w:tc>
      </w:tr>
    </w:tbl>
    <w:p/>
    <w:p>
      <w:pPr>
        <w:pStyle w:val="Heading1"/>
      </w:pPr>
      <w:r>
        <w:rPr>
          <w:color w:val="2F5496"/>
        </w:rPr>
        <w:t>4. Topics  (idea: Topic → Capability → Sub-agent)</w:t>
      </w:r>
    </w:p>
    <w:p>
      <w:r>
        <w:t>Core idea: reproduce what a topic DOES, not its flowchart. Most topics become a capability written as instruction text; group related capabilities into domain sub-agents; the main agent routes. Keep one agent until size/coherence or a tool/permission boundary forces a split.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Source (Copilot topic type)</w:t>
            </w:r>
          </w:p>
        </w:tc>
        <w:tc>
          <w:tcPr>
            <w:tcW w:type="dxa" w:w="2736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Destination equivalent (Gemini)</w:t>
            </w:r>
          </w:p>
        </w:tc>
        <w:tc>
          <w:tcPr>
            <w:tcW w:type="dxa" w:w="1872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Migrated / Not</w:t>
            </w:r>
          </w:p>
        </w:tc>
        <w:tc>
          <w:tcPr>
            <w:tcW w:type="dxa" w:w="4032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How we build / do it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Answering / Q&amp;A topic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Capability = instruction text</w:t>
            </w:r>
          </w:p>
        </w:tc>
        <w:tc>
          <w:tcPr>
            <w:tcW w:type="dxa" w:w="1872"/>
            <w:shd w:val="clear" w:color="auto" w:fill="E2EFDA"/>
          </w:tcPr>
          <w:p>
            <w:r/>
            <w:r>
              <w:rPr>
                <w:sz w:val="18"/>
              </w:rPr>
              <w:t>Yes — feasible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Compile the topic into an instruction paragraph. (Planner is built; the deploy step is NOT wired yet.)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Deciding / branching topic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Capability = instruction rules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Write the if/else as rules. Model usually follows but does not GUARANTEE the exact path — flag for review.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Acting / transactional topic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Capability = tool / Cloud Workflow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sz w:val="18"/>
              </w:rPr>
              <w:t>Partial — rebuild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Cannot copy an action. Rebuild the connector/API as a tool + reconnect auth.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System topic (greeting/fallback)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Main-agent settings</w:t>
            </w:r>
          </w:p>
        </w:tc>
        <w:tc>
          <w:tcPr>
            <w:tcW w:type="dxa" w:w="1872"/>
            <w:shd w:val="clear" w:color="auto" w:fill="E2EFDA"/>
          </w:tcPr>
          <w:p>
            <w:r/>
            <w:r>
              <w:rPr>
                <w:sz w:val="18"/>
              </w:rPr>
              <w:t>Yes — feasible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Fold into the root agent config, not a sub-agent.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Strict must-be-exact flow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Deterministic workflow / Dialogflow CX</w:t>
            </w:r>
          </w:p>
        </w:tc>
        <w:tc>
          <w:tcPr>
            <w:tcW w:type="dxa" w:w="1872"/>
            <w:shd w:val="clear" w:color="auto" w:fill="FBE4D5"/>
          </w:tcPr>
          <w:p>
            <w:r/>
            <w:r>
              <w:rPr>
                <w:sz w:val="18"/>
              </w:rPr>
              <w:t>No — outside this model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Generative agents cannot guarantee order. Rebuild as a Cloud Workflow or Dialogflow CX.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Rich Adaptive Cards / UI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Plain text (usually)</w:t>
            </w:r>
          </w:p>
        </w:tc>
        <w:tc>
          <w:tcPr>
            <w:tcW w:type="dxa" w:w="1872"/>
            <w:shd w:val="clear" w:color="auto" w:fill="FBE4D5"/>
          </w:tcPr>
          <w:p>
            <w:r/>
            <w:r>
              <w:rPr>
                <w:sz w:val="18"/>
              </w:rPr>
              <w:t>No — no clean equivalent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Becomes plain text or a manual rebuild.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Grouping many topics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Domain sub-agents + routing</w:t>
            </w:r>
          </w:p>
        </w:tc>
        <w:tc>
          <w:tcPr>
            <w:tcW w:type="dxa" w:w="1872"/>
            <w:shd w:val="clear" w:color="auto" w:fill="E2EFDA"/>
          </w:tcPr>
          <w:p>
            <w:r/>
            <w:r>
              <w:rPr>
                <w:sz w:val="18"/>
              </w:rPr>
              <w:t>Yes — feasible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Cluster by domain; main agent = router. Start with one agent; split only when forced. Merge duplicates; drop trivial.</w:t>
            </w:r>
          </w:p>
        </w:tc>
      </w:tr>
    </w:tbl>
    <w:p/>
    <w:p>
      <w:pPr>
        <w:pStyle w:val="Heading1"/>
      </w:pPr>
      <w:r>
        <w:rPr>
          <w:color w:val="2F5496"/>
        </w:rPr>
        <w:t>5. Connected Agents (the "Agents" tab — team of agents)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Source (Copilot)</w:t>
            </w:r>
          </w:p>
        </w:tc>
        <w:tc>
          <w:tcPr>
            <w:tcW w:type="dxa" w:w="2736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Destination equivalent (Gemini)</w:t>
            </w:r>
          </w:p>
        </w:tc>
        <w:tc>
          <w:tcPr>
            <w:tcW w:type="dxa" w:w="1872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Migrated / Not</w:t>
            </w:r>
          </w:p>
        </w:tc>
        <w:tc>
          <w:tcPr>
            <w:tcW w:type="dxa" w:w="4032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How we build / do it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Connected / sub-agents (Agents tab)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Gemini sub-agents (subAgentIds)</w:t>
            </w:r>
          </w:p>
        </w:tc>
        <w:tc>
          <w:tcPr>
            <w:tcW w:type="dxa" w:w="1872"/>
            <w:shd w:val="clear" w:color="auto" w:fill="FBE4D5"/>
          </w:tcPr>
          <w:p>
            <w:r/>
            <w:r>
              <w:rPr>
                <w:sz w:val="18"/>
              </w:rPr>
              <w:t>Partial — NOT captured yet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1) Capture the Agents tab in extraction (gap today). 2) Migrate children first (dependency order). 3) Two-pass: create all, then wire parent to children by new IDs. 4) Guard cycles/depth. 5) Report Microsoft built-in agents (no equivalent).</w:t>
            </w:r>
          </w:p>
        </w:tc>
      </w:tr>
    </w:tbl>
    <w:p/>
    <w:p>
      <w:pPr>
        <w:pStyle w:val="Heading1"/>
      </w:pPr>
      <w:r>
        <w:rPr>
          <w:color w:val="2F5496"/>
        </w:rPr>
        <w:t>6. The unavoidable human / impossible edges</w:t>
      </w:r>
    </w:p>
    <w:p>
      <w:r>
        <w:t>These can never be fully automated — front-load them into a one-time pre-flight, then the rest runs hands-off.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Why</w:t>
            </w:r>
          </w:p>
        </w:tc>
        <w:tc>
          <w:tcPr>
            <w:tcW w:type="dxa" w:w="1728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Migrated / Not</w:t>
            </w:r>
          </w:p>
        </w:tc>
        <w:tc>
          <w:tcPr>
            <w:tcW w:type="dxa" w:w="3744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How we handle it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OAuth consent (connectors)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Security handshake needs an admin</w:t>
            </w:r>
          </w:p>
        </w:tc>
        <w:tc>
          <w:tcPr>
            <w:tcW w:type="dxa" w:w="1728"/>
            <w:shd w:val="clear" w:color="auto" w:fill="FFF2CC"/>
          </w:tcPr>
          <w:p>
            <w:r/>
            <w:r>
              <w:rPr>
                <w:sz w:val="18"/>
              </w:rPr>
              <w:t>Partial — one-time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Batch all connector consents up front; pipeline resumes after approval.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GCP project + IAM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Destination must exist first</w:t>
            </w:r>
          </w:p>
        </w:tc>
        <w:tc>
          <w:tcPr>
            <w:tcW w:type="dxa" w:w="1728"/>
            <w:shd w:val="clear" w:color="auto" w:fill="FFF2CC"/>
          </w:tcPr>
          <w:p>
            <w:r/>
            <w:r>
              <w:rPr>
                <w:sz w:val="18"/>
              </w:rPr>
              <w:t>Partial — one-time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Pre-flight setup step.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Identity federation (permission trimming)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Per-user access must be mapped</w:t>
            </w:r>
          </w:p>
        </w:tc>
        <w:tc>
          <w:tcPr>
            <w:tcW w:type="dxa" w:w="1728"/>
            <w:shd w:val="clear" w:color="auto" w:fill="FFF2CC"/>
          </w:tcPr>
          <w:p>
            <w:r/>
            <w:r>
              <w:rPr>
                <w:sz w:val="18"/>
              </w:rPr>
              <w:t>Partial — setup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Configure Entra→Google identity mapping; otherwise flag over-exposure.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Website domain verification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Needed to index an owned site</w:t>
            </w:r>
          </w:p>
        </w:tc>
        <w:tc>
          <w:tcPr>
            <w:tcW w:type="dxa" w:w="1728"/>
            <w:shd w:val="clear" w:color="auto" w:fill="FFF2CC"/>
          </w:tcPr>
          <w:p>
            <w:r/>
            <w:r>
              <w:rPr>
                <w:sz w:val="18"/>
              </w:rPr>
              <w:t>Partial — setup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Verify in Search Console (only for owned domains).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Encrypted / sensitivity-labelled files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Unreadable at source</w:t>
            </w:r>
          </w:p>
        </w:tc>
        <w:tc>
          <w:tcPr>
            <w:tcW w:type="dxa" w:w="1728"/>
            <w:shd w:val="clear" w:color="auto" w:fill="FBE4D5"/>
          </w:tcPr>
          <w:p>
            <w:r/>
            <w:r>
              <w:rPr>
                <w:sz w:val="18"/>
              </w:rPr>
              <w:t>No — impossible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Report; cannot migrate.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Agent behaviours (official-source, web-search toggle, allow-ungrounded)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Gemini field</w:t>
            </w:r>
          </w:p>
        </w:tc>
        <w:tc>
          <w:tcPr>
            <w:tcW w:type="dxa" w:w="1728"/>
            <w:shd w:val="clear" w:color="auto" w:fill="FBE4D5"/>
          </w:tcPr>
          <w:p>
            <w:r/>
            <w:r>
              <w:rPr>
                <w:sz w:val="18"/>
              </w:rPr>
              <w:t>No — no equivalent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Report as manual settings.</w:t>
            </w:r>
          </w:p>
        </w:tc>
      </w:tr>
    </w:tbl>
    <w:p/>
    <w:p>
      <w:pPr>
        <w:pStyle w:val="Heading1"/>
      </w:pPr>
      <w:r>
        <w:rPr>
          <w:color w:val="2F5496"/>
        </w:rPr>
        <w:t>7. Current build state (honest snapshot)</w:t>
      </w:r>
    </w:p>
    <w:p>
      <w:r>
        <w:t>What actually exists today vs. what is designed but not wired: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304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Built?</w:t>
            </w:r>
          </w:p>
        </w:tc>
        <w:tc>
          <w:tcPr>
            <w:tcW w:type="dxa" w:w="1872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Migrated / Not</w:t>
            </w:r>
          </w:p>
        </w:tc>
        <w:tc>
          <w:tcPr>
            <w:tcW w:type="dxa" w:w="4032"/>
            <w:shd w:val="clear" w:color="auto" w:fill="2F549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Agent shell + name + instructions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Yes, wired</w:t>
            </w:r>
          </w:p>
        </w:tc>
        <w:tc>
          <w:tcPr>
            <w:tcW w:type="dxa" w:w="1872"/>
            <w:shd w:val="clear" w:color="auto" w:fill="E2EFDA"/>
          </w:tcPr>
          <w:p>
            <w:r/>
            <w:r>
              <w:rPr>
                <w:sz w:val="18"/>
              </w:rPr>
              <w:t>Yes — works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Real instruction migrated &amp; verified in the destination.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Uploaded files → agent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Yes, wired</w:t>
            </w:r>
          </w:p>
        </w:tc>
        <w:tc>
          <w:tcPr>
            <w:tcW w:type="dxa" w:w="1872"/>
            <w:shd w:val="clear" w:color="auto" w:fill="E2EFDA"/>
          </w:tcPr>
          <w:p>
            <w:r/>
            <w:r>
              <w:rPr>
                <w:sz w:val="18"/>
              </w:rPr>
              <w:t>Yes — works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Attached before publish; idempotent; skips incompatible.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Website / document data-store path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Built, not wired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Functions exist; used only in a diagnostic, not the live run.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Topics (capabilities/sub-agents)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Planner built, deploy NOT wired</w:t>
            </w:r>
          </w:p>
        </w:tc>
        <w:tc>
          <w:tcPr>
            <w:tcW w:type="dxa" w:w="1872"/>
            <w:shd w:val="clear" w:color="auto" w:fill="FBE4D5"/>
          </w:tcPr>
          <w:p>
            <w:r/>
            <w:r>
              <w:rPr>
                <w:sz w:val="18"/>
              </w:rPr>
              <w:t>No — not deployed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Can analyze &amp; plan topics; cannot yet push them into Gemini.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Connected agents (Agents tab)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Not captured</w:t>
            </w:r>
          </w:p>
        </w:tc>
        <w:tc>
          <w:tcPr>
            <w:tcW w:type="dxa" w:w="1872"/>
            <w:shd w:val="clear" w:color="auto" w:fill="FBE4D5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Extraction gap — must be added first.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Overall run result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Of 35 source agents: ~4 reached Google (shell+instructions), most only staged/failed (quota/field errors), ~25 never attempted.</w:t>
            </w:r>
          </w:p>
        </w:tc>
      </w:tr>
    </w:tbl>
    <w:p/>
    <w:p/>
    <w:p>
      <w:r>
        <w:rPr>
          <w:i/>
          <w:color w:val="666666"/>
          <w:sz w:val="18"/>
        </w:rPr>
        <w:t>Principle throughout: honesty over overclaiming — every unit carries a fidelity/status marker; nothing is silently dropped. "Partial" is not a failure; it is an honest boundary with a defined next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