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z w:val="60"/>
          <w:szCs w:val="60"/>
        </w:rPr>
        <w:t xml:space="preserve">SOC Analyst Home Lab</w:t>
      </w:r>
    </w:p>
    <w:p>
      <w:pPr>
        <w:spacing w:after="800"/>
        <w:jc w:val="center"/>
      </w:pPr>
      <w:r>
        <w:rPr>
          <w:color w:val="444444"/>
          <w:sz w:val="30"/>
          <w:szCs w:val="30"/>
        </w:rPr>
        <w:t xml:space="preserve">Detection Engineering Project Report</w:t>
      </w:r>
    </w:p>
    <w:p>
      <w:pPr>
        <w:spacing w:after="80"/>
        <w:jc w:val="center"/>
      </w:pPr>
      <w:r>
        <w:rPr>
          <w:sz w:val="24"/>
          <w:szCs w:val="24"/>
        </w:rPr>
        <w:t xml:space="preserve">Seshagiri (Mallela Sashi)</w:t>
      </w:r>
    </w:p>
    <w:p>
      <w:pPr>
        <w:spacing w:after="80"/>
        <w:jc w:val="center"/>
      </w:pPr>
      <w:r>
        <w:rPr>
          <w:color w:val="555555"/>
          <w:sz w:val="22"/>
          <w:szCs w:val="22"/>
        </w:rPr>
        <w:t xml:space="preserve">github.com/MallelaShashi/SOC-Analyst-Home-Lab</w:t>
      </w:r>
    </w:p>
    <w:p>
      <w:pPr>
        <w:jc w:val="center"/>
      </w:pPr>
      <w:r>
        <w:rPr>
          <w:color w:val="555555"/>
          <w:sz w:val="22"/>
          <w:szCs w:val="22"/>
        </w:rPr>
        <w:t xml:space="preserve">July 2026</w:t>
      </w:r>
    </w:p>
    <w:p>
      <w:r>
        <w:br w:type="page"/>
      </w:r>
    </w:p>
    <w:p>
      <w:pPr>
        <w:pStyle w:val="Heading1"/>
        <w:spacing w:after="170" w:before="3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70" w:before="380"/>
      </w:pPr>
      <w:r>
        <w:t xml:space="preserve">1. Executive Summary</w:t>
      </w:r>
    </w:p>
    <w:p>
      <w:pPr>
        <w:spacing w:after="170"/>
      </w:pPr>
      <w:r>
        <w:rPr>
          <w:sz w:val="22"/>
          <w:szCs w:val="22"/>
        </w:rPr>
        <w:t xml:space="preserve">This report documents the SOC Analyst Home Lab: a self-hosted detection engineering environment built on VMware, pairing a Windows 10 target VM (Splunk Enterprise + Sysmon) with a Kali Linux attacker VM. Three attacker techniques — network scanning (nmap), SMB brute-force (Hydra), and unauthenticated enumeration (enum4linux) — were executed against the Windows host, traced through the resulting event logs, and turned into four working Splunk detections mapped to MITRE ATT&amp;CK.</w:t>
      </w:r>
    </w:p>
    <w:p>
      <w:pPr>
        <w:spacing w:after="170"/>
      </w:pPr>
      <w:r>
        <w:rPr>
          <w:sz w:val="22"/>
          <w:szCs w:val="22"/>
        </w:rPr>
        <w:t xml:space="preserve">An independent technical review scored an early version of the lab 3.5 out of 10, citing shallow detection logic and thin documentation. That feedback was used directly: detection queries were rebuilt against real log data instead of assumed field names, every detection was mapped to MITRE ATT&amp;CK, and the project's GitHub repository was restructured (README, DETECTIONS.md, SETUP_GUIDE.md, and a screenshots folder) so the work can be understood without live access to the lab.</w:t>
      </w:r>
    </w:p>
    <w:p>
      <w:pPr>
        <w:pStyle w:val="Heading1"/>
        <w:spacing w:after="170" w:before="380"/>
      </w:pPr>
      <w:r>
        <w:t xml:space="preserve">2. Lab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2950"/>
      </w:tblGrid>
      <w:tr>
        <w:trPr>
          <w:tblHeader/>
        </w:trPr>
        <w:tc>
          <w:tcPr>
            <w:tcW w:type="dxa" w:w="2400"/>
            <w:shd w:fill="1F4E79" w:val="clear"/>
          </w:tcPr>
          <w:p>
            <w:r>
              <w:rPr>
                <w:b/>
                <w:bCs/>
                <w:i w:val="false"/>
                <w:iCs w:val="false"/>
                <w:color w:val="FFFFFF"/>
                <w:sz w:val="20"/>
                <w:szCs w:val="20"/>
              </w:rPr>
              <w:t xml:space="preserve">Component</w:t>
            </w:r>
          </w:p>
        </w:tc>
        <w:tc>
          <w:tcPr>
            <w:tcW w:type="dxa" w:w="1400"/>
            <w:shd w:fill="1F4E79" w:val="clear"/>
          </w:tcPr>
          <w:p>
            <w:r>
              <w:rPr>
                <w:b/>
                <w:bCs/>
                <w:i w:val="false"/>
                <w:iCs w:val="false"/>
                <w:color w:val="FFFFFF"/>
                <w:sz w:val="20"/>
                <w:szCs w:val="20"/>
              </w:rPr>
              <w:t xml:space="preserve">RAM</w:t>
            </w:r>
          </w:p>
        </w:tc>
        <w:tc>
          <w:tcPr>
            <w:tcW w:type="dxa" w:w="2600"/>
            <w:shd w:fill="1F4E79" w:val="clear"/>
          </w:tcPr>
          <w:p>
            <w:r>
              <w:rPr>
                <w:b/>
                <w:bCs/>
                <w:i w:val="false"/>
                <w:iCs w:val="false"/>
                <w:color w:val="FFFFFF"/>
                <w:sz w:val="20"/>
                <w:szCs w:val="20"/>
              </w:rPr>
              <w:t xml:space="preserve">Role</w:t>
            </w:r>
          </w:p>
        </w:tc>
        <w:tc>
          <w:tcPr>
            <w:tcW w:type="dxa" w:w="2950"/>
            <w:shd w:fill="1F4E79" w:val="clear"/>
          </w:tcPr>
          <w:p>
            <w:r>
              <w:rPr>
                <w:b/>
                <w:bCs/>
                <w:i w:val="false"/>
                <w:iCs w:val="false"/>
                <w:color w:val="FFFFFF"/>
                <w:sz w:val="20"/>
                <w:szCs w:val="20"/>
              </w:rPr>
              <w:t xml:space="preserve">Key Software</w:t>
            </w:r>
          </w:p>
        </w:tc>
      </w:tr>
      <w:tr>
        <w:tc>
          <w:tcPr>
            <w:tcW w:type="dxa" w:w="2400"/>
          </w:tcPr>
          <w:p>
            <w:r>
              <w:rPr>
                <w:b w:val="false"/>
                <w:bCs w:val="false"/>
                <w:i w:val="false"/>
                <w:iCs w:val="false"/>
                <w:sz w:val="20"/>
                <w:szCs w:val="20"/>
              </w:rPr>
              <w:t xml:space="preserve">Windows 10 VM</w:t>
            </w:r>
          </w:p>
        </w:tc>
        <w:tc>
          <w:tcPr>
            <w:tcW w:type="dxa" w:w="1400"/>
          </w:tcPr>
          <w:p>
            <w:r>
              <w:rPr>
                <w:b w:val="false"/>
                <w:bCs w:val="false"/>
                <w:i w:val="false"/>
                <w:iCs w:val="false"/>
                <w:sz w:val="20"/>
                <w:szCs w:val="20"/>
              </w:rPr>
              <w:t xml:space="preserve">6 GB</w:t>
            </w:r>
          </w:p>
        </w:tc>
        <w:tc>
          <w:tcPr>
            <w:tcW w:type="dxa" w:w="2600"/>
          </w:tcPr>
          <w:p>
            <w:r>
              <w:rPr>
                <w:b w:val="false"/>
                <w:bCs w:val="false"/>
                <w:i w:val="false"/>
                <w:iCs w:val="false"/>
                <w:sz w:val="20"/>
                <w:szCs w:val="20"/>
              </w:rPr>
              <w:t xml:space="preserve">Monitored target / SIEM host</w:t>
            </w:r>
          </w:p>
        </w:tc>
        <w:tc>
          <w:tcPr>
            <w:tcW w:type="dxa" w:w="2950"/>
          </w:tcPr>
          <w:p>
            <w:r>
              <w:rPr>
                <w:b w:val="false"/>
                <w:bCs w:val="false"/>
                <w:i w:val="false"/>
                <w:iCs w:val="false"/>
                <w:sz w:val="20"/>
                <w:szCs w:val="20"/>
              </w:rPr>
              <w:t xml:space="preserve">Splunk Enterprise, Sysmon, Universal Forwarder</w:t>
            </w:r>
          </w:p>
        </w:tc>
      </w:tr>
      <w:tr>
        <w:tc>
          <w:tcPr>
            <w:tcW w:type="dxa" w:w="2400"/>
            <w:shd w:fill="F2F2F2" w:val="clear"/>
          </w:tcPr>
          <w:p>
            <w:r>
              <w:rPr>
                <w:b w:val="false"/>
                <w:bCs w:val="false"/>
                <w:i w:val="false"/>
                <w:iCs w:val="false"/>
                <w:sz w:val="20"/>
                <w:szCs w:val="20"/>
              </w:rPr>
              <w:t xml:space="preserve">Kali Linux VM</w:t>
            </w:r>
          </w:p>
        </w:tc>
        <w:tc>
          <w:tcPr>
            <w:tcW w:type="dxa" w:w="1400"/>
            <w:shd w:fill="F2F2F2" w:val="clear"/>
          </w:tcPr>
          <w:p>
            <w:r>
              <w:rPr>
                <w:b w:val="false"/>
                <w:bCs w:val="false"/>
                <w:i w:val="false"/>
                <w:iCs w:val="false"/>
                <w:sz w:val="20"/>
                <w:szCs w:val="20"/>
              </w:rPr>
              <w:t xml:space="preserve">4 GB</w:t>
            </w:r>
          </w:p>
        </w:tc>
        <w:tc>
          <w:tcPr>
            <w:tcW w:type="dxa" w:w="2600"/>
            <w:shd w:fill="F2F2F2" w:val="clear"/>
          </w:tcPr>
          <w:p>
            <w:r>
              <w:rPr>
                <w:b w:val="false"/>
                <w:bCs w:val="false"/>
                <w:i w:val="false"/>
                <w:iCs w:val="false"/>
                <w:sz w:val="20"/>
                <w:szCs w:val="20"/>
              </w:rPr>
              <w:t xml:space="preserve">Attacker machine</w:t>
            </w:r>
          </w:p>
        </w:tc>
        <w:tc>
          <w:tcPr>
            <w:tcW w:type="dxa" w:w="2950"/>
            <w:shd w:fill="F2F2F2" w:val="clear"/>
          </w:tcPr>
          <w:p>
            <w:r>
              <w:rPr>
                <w:b w:val="false"/>
                <w:bCs w:val="false"/>
                <w:i w:val="false"/>
                <w:iCs w:val="false"/>
                <w:sz w:val="20"/>
                <w:szCs w:val="20"/>
              </w:rPr>
              <w:t xml:space="preserve">nmap, Hydra, enum4linux</w:t>
            </w:r>
          </w:p>
        </w:tc>
      </w:tr>
    </w:tbl>
    <w:p>
      <w:pPr>
        <w:spacing w:after="170"/>
      </w:pPr>
      <w:r>
        <w:rPr>
          <w:sz w:val="22"/>
          <w:szCs w:val="22"/>
        </w:rPr>
        <w:t xml:space="preserve"/>
      </w:r>
    </w:p>
    <w:p>
      <w:pPr>
        <w:spacing w:after="170"/>
      </w:pPr>
      <w:r>
        <w:rPr>
          <w:sz w:val="22"/>
          <w:szCs w:val="22"/>
        </w:rPr>
        <w:t xml:space="preserve">Both VMs sit on the same VMware virtual network so the Kali VM can reach the Windows target directly. At least 40 GB of free disk space was allocated across both machines.</w:t>
      </w:r>
    </w:p>
    <w:p>
      <w:pPr>
        <w:pStyle w:val="Heading2"/>
        <w:spacing w:after="130" w:before="280"/>
      </w:pPr>
      <w:r>
        <w:t xml:space="preserve">2.1 Data Flow</w:t>
      </w:r>
    </w:p>
    <w:p>
      <w:pPr>
        <w:spacing w:after="170"/>
      </w:pPr>
      <w:r>
        <w:rPr>
          <w:sz w:val="22"/>
          <w:szCs w:val="22"/>
        </w:rPr>
        <w:t xml:space="preserve">Windows Security and Sysmon events are generated on the Windows VM, forwarded by the Splunk Universal Forwarder over port 9997, and indexed into two Splunk indexes: windows (Security/System logs) and sysmon (Sysmon operational logs).</w:t>
      </w:r>
    </w:p>
    <w:p>
      <w:pPr>
        <w:pStyle w:val="Heading1"/>
        <w:spacing w:after="170" w:before="380"/>
      </w:pPr>
      <w:r>
        <w:t xml:space="preserve">3. Environment Setup</w:t>
      </w:r>
    </w:p>
    <w:p>
      <w:pPr>
        <w:pStyle w:val="Heading2"/>
        <w:spacing w:after="130" w:before="280"/>
      </w:pPr>
      <w:r>
        <w:t xml:space="preserve">3.1 Splunk Enterprise</w:t>
      </w:r>
    </w:p>
    <w:p>
      <w:pPr>
        <w:pStyle w:val="ListParagraph"/>
        <w:numPr>
          <w:ilvl w:val="0"/>
          <w:numId w:val="1"/>
        </w:numPr>
        <w:spacing w:after="90"/>
      </w:pPr>
      <w:r>
        <w:t xml:space="preserve">Installed on the Windows 10 VM, configured to start on boot.</w:t>
      </w:r>
    </w:p>
    <w:p>
      <w:pPr>
        <w:pStyle w:val="ListParagraph"/>
        <w:numPr>
          <w:ilvl w:val="0"/>
          <w:numId w:val="1"/>
        </w:numPr>
        <w:spacing w:after="90"/>
      </w:pPr>
      <w:r>
        <w:t xml:space="preserve">Admin account created with a strong password (no default credentials left in place).</w:t>
      </w:r>
    </w:p>
    <w:p>
      <w:pPr>
        <w:pStyle w:val="ListParagraph"/>
        <w:numPr>
          <w:ilvl w:val="0"/>
          <w:numId w:val="1"/>
        </w:numPr>
        <w:spacing w:after="90"/>
      </w:pPr>
      <w:r>
        <w:t xml:space="preserve">Two indexes created: windows and sysmon.</w:t>
      </w:r>
    </w:p>
    <w:p>
      <w:pPr>
        <w:pStyle w:val="Heading2"/>
        <w:spacing w:after="130" w:before="280"/>
      </w:pPr>
      <w:r>
        <w:t xml:space="preserve">3.2 Sysmon</w:t>
      </w:r>
    </w:p>
    <w:p>
      <w:pPr>
        <w:pStyle w:val="ListParagraph"/>
        <w:numPr>
          <w:ilvl w:val="0"/>
          <w:numId w:val="1"/>
        </w:numPr>
        <w:spacing w:after="90"/>
      </w:pPr>
      <w:r>
        <w:t xml:space="preserve">Installed to C:\Sysmon using the SwiftOnSecurity community configuration as the ruleset.</w:t>
      </w:r>
    </w:p>
    <w:p>
      <w:pPr>
        <w:pStyle w:val="ListParagraph"/>
        <w:numPr>
          <w:ilvl w:val="0"/>
          <w:numId w:val="1"/>
        </w:numPr>
        <w:spacing w:after="90"/>
      </w:pPr>
      <w:r>
        <w:t xml:space="preserve">Installed via: sysmon64.exe -accepteula -i sysmonconfig-export.xml</w:t>
      </w:r>
    </w:p>
    <w:p>
      <w:pPr>
        <w:pStyle w:val="Heading2"/>
        <w:spacing w:after="130" w:before="280"/>
      </w:pPr>
      <w:r>
        <w:t xml:space="preserve">3.3 Splunk Universal Forwarder</w:t>
      </w:r>
    </w:p>
    <w:p>
      <w:pPr>
        <w:pStyle w:val="ListParagraph"/>
        <w:numPr>
          <w:ilvl w:val="0"/>
          <w:numId w:val="1"/>
        </w:numPr>
        <w:spacing w:after="90"/>
      </w:pPr>
      <w:r>
        <w:t xml:space="preserve">Installed on the Windows VM, pointed at the local indexer (127.0.0.1:9997).</w:t>
      </w:r>
    </w:p>
    <w:p>
      <w:pPr>
        <w:pStyle w:val="ListParagraph"/>
        <w:numPr>
          <w:ilvl w:val="0"/>
          <w:numId w:val="1"/>
        </w:numPr>
        <w:spacing w:after="90"/>
      </w:pPr>
      <w:r>
        <w:t xml:space="preserve">Configured with a custom inputs.conf to forward Security, System, and Sysmon channels.</w:t>
      </w:r>
    </w:p>
    <w:p>
      <w:pPr>
        <w:pBdr>
          <w:left w:val="single" w:color="1F4E79" w:sz="12"/>
        </w:pBdr>
        <w:shd w:fill="F2F2F2" w:val="clear"/>
        <w:spacing w:after="170" w:before="90"/>
      </w:pPr>
      <w:r>
        <w:rPr>
          <w:rFonts w:ascii="Consolas" w:cs="Consolas" w:eastAsia="Consolas" w:hAnsi="Consolas"/>
          <w:sz w:val="20"/>
          <w:szCs w:val="20"/>
        </w:rPr>
        <w:t xml:space="preserve">[WinEventLog://Security]
disabled = false
index = windows
sourcetype = WinEventLog:Security
[WinEventLog://System]
disabled = false
index = windows
sourcetype = WinEventLog:System
[WinEventLog://Microsoft-Windows-Sysmon/Operational]
disabled = false
index = sysmon
sourcetype = WinEventLog:Sysmon/Operational</w:t>
      </w:r>
    </w:p>
    <w:p>
      <w:pPr>
        <w:pStyle w:val="Heading2"/>
        <w:spacing w:after="130" w:before="280"/>
      </w:pPr>
      <w:r>
        <w:t xml:space="preserve">3.4 Pipeline Validation</w:t>
      </w:r>
    </w:p>
    <w:p>
      <w:pPr>
        <w:spacing w:after="170"/>
      </w:pPr>
      <w:r>
        <w:rPr>
          <w:sz w:val="22"/>
          <w:szCs w:val="22"/>
        </w:rPr>
        <w:t xml:space="preserve">Before building attack-specific detections, the Audit Policy Change detection (EventCode 4907) was used to confirm the full pipeline — Sysmon/Windows logging → forwarder → indexer → search — was working end to end. Verification consisted of confirming both indexes were receiving events and that the alert showed active in Splunk.</w:t>
      </w:r>
    </w:p>
    <w:p>
      <w:pPr>
        <w:pStyle w:val="Heading1"/>
        <w:spacing w:after="170" w:before="380"/>
      </w:pPr>
      <w:r>
        <w:t xml:space="preserve">4. Attack Simulations</w:t>
      </w:r>
    </w:p>
    <w:p>
      <w:pPr>
        <w:pStyle w:val="Heading2"/>
        <w:spacing w:after="130" w:before="280"/>
      </w:pPr>
      <w:r>
        <w:t xml:space="preserve">4.1 Network Service Discovery — nmap (T1046)</w:t>
      </w:r>
    </w:p>
    <w:p>
      <w:pPr>
        <w:spacing w:after="170"/>
      </w:pPr>
      <w:r>
        <w:rPr>
          <w:sz w:val="22"/>
          <w:szCs w:val="22"/>
        </w:rPr>
        <w:t xml:space="preserve">nmap was run from Kali against the Windows target to simulate reconnaissance. The Windows VM's IP had to be re-verified each session, since it drifted between reboots. Blocked scan traffic was expected to log under EventCode 5156, but was actually found under 5157 — a correction that shaped the detection query.</w:t>
      </w:r>
    </w:p>
    <w:p>
      <w:pPr>
        <w:pStyle w:val="Heading2"/>
        <w:spacing w:after="130" w:before="280"/>
      </w:pPr>
      <w:r>
        <w:t xml:space="preserve">4.2 SMB Brute-Force — Hydra (T1110.001)</w:t>
      </w:r>
    </w:p>
    <w:p>
      <w:pPr>
        <w:spacing w:after="170"/>
      </w:pPr>
      <w:r>
        <w:rPr>
          <w:sz w:val="22"/>
          <w:szCs w:val="22"/>
        </w:rPr>
        <w:t xml:space="preserve">The original plan was to brute-force RDP, but the Windows 10 Home edition used for the target cannot host RDP under any configuration. The scenario was pivoted to SMB instead. Hydra's attempts appeared in the Security log as EventCode 4624 with Logon_Type=3 (network logon).</w:t>
      </w:r>
    </w:p>
    <w:p>
      <w:pPr>
        <w:pStyle w:val="Heading2"/>
        <w:spacing w:after="130" w:before="280"/>
      </w:pPr>
      <w:r>
        <w:t xml:space="preserve">4.3 Unauthenticated Enumeration — enum4linux (T1135, T1087.002)</w:t>
      </w:r>
    </w:p>
    <w:p>
      <w:pPr>
        <w:spacing w:after="170"/>
      </w:pPr>
      <w:r>
        <w:rPr>
          <w:sz w:val="22"/>
          <w:szCs w:val="22"/>
        </w:rPr>
        <w:t xml:space="preserve">enum4linux was run against the Windows target's SMB service without credentials. These sessions also logged as EventCode 4624, Logon_Type=3, but with Account_Name set to "ANONYMOUS LOGON" — the field that distinguishes this from Hydra's authenticated attempts.</w:t>
      </w:r>
    </w:p>
    <w:p>
      <w:pPr>
        <w:pStyle w:val="Heading2"/>
        <w:spacing w:after="130" w:before="280"/>
      </w:pPr>
      <w:r>
        <w:t xml:space="preserve">4.4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900"/>
        <w:gridCol w:w="1400"/>
        <w:gridCol w:w="2450"/>
      </w:tblGrid>
      <w:tr>
        <w:trPr>
          <w:tblHeader/>
        </w:trPr>
        <w:tc>
          <w:tcPr>
            <w:tcW w:type="dxa" w:w="2400"/>
            <w:shd w:fill="1F4E79" w:val="clear"/>
          </w:tcPr>
          <w:p>
            <w:r>
              <w:rPr>
                <w:b/>
                <w:bCs/>
                <w:i w:val="false"/>
                <w:iCs w:val="false"/>
                <w:color w:val="FFFFFF"/>
                <w:sz w:val="20"/>
                <w:szCs w:val="20"/>
              </w:rPr>
              <w:t xml:space="preserve">Technique</w:t>
            </w:r>
          </w:p>
        </w:tc>
        <w:tc>
          <w:tcPr>
            <w:tcW w:type="dxa" w:w="1200"/>
            <w:shd w:fill="1F4E79" w:val="clear"/>
          </w:tcPr>
          <w:p>
            <w:r>
              <w:rPr>
                <w:b/>
                <w:bCs/>
                <w:i w:val="false"/>
                <w:iCs w:val="false"/>
                <w:color w:val="FFFFFF"/>
                <w:sz w:val="20"/>
                <w:szCs w:val="20"/>
              </w:rPr>
              <w:t xml:space="preserve">Tool</w:t>
            </w:r>
          </w:p>
        </w:tc>
        <w:tc>
          <w:tcPr>
            <w:tcW w:type="dxa" w:w="1900"/>
            <w:shd w:fill="1F4E79" w:val="clear"/>
          </w:tcPr>
          <w:p>
            <w:r>
              <w:rPr>
                <w:b/>
                <w:bCs/>
                <w:i w:val="false"/>
                <w:iCs w:val="false"/>
                <w:color w:val="FFFFFF"/>
                <w:sz w:val="20"/>
                <w:szCs w:val="20"/>
              </w:rPr>
              <w:t xml:space="preserve">MITRE ATT&amp;CK</w:t>
            </w:r>
          </w:p>
        </w:tc>
        <w:tc>
          <w:tcPr>
            <w:tcW w:type="dxa" w:w="1400"/>
            <w:shd w:fill="1F4E79" w:val="clear"/>
          </w:tcPr>
          <w:p>
            <w:r>
              <w:rPr>
                <w:b/>
                <w:bCs/>
                <w:i w:val="false"/>
                <w:iCs w:val="false"/>
                <w:color w:val="FFFFFF"/>
                <w:sz w:val="20"/>
                <w:szCs w:val="20"/>
              </w:rPr>
              <w:t xml:space="preserve">EventCode</w:t>
            </w:r>
          </w:p>
        </w:tc>
        <w:tc>
          <w:tcPr>
            <w:tcW w:type="dxa" w:w="2450"/>
            <w:shd w:fill="1F4E79" w:val="clear"/>
          </w:tcPr>
          <w:p>
            <w:r>
              <w:rPr>
                <w:b/>
                <w:bCs/>
                <w:i w:val="false"/>
                <w:iCs w:val="false"/>
                <w:color w:val="FFFFFF"/>
                <w:sz w:val="20"/>
                <w:szCs w:val="20"/>
              </w:rPr>
              <w:t xml:space="preserve">Key Field</w:t>
            </w:r>
          </w:p>
        </w:tc>
      </w:tr>
      <w:tr>
        <w:tc>
          <w:tcPr>
            <w:tcW w:type="dxa" w:w="2400"/>
          </w:tcPr>
          <w:p>
            <w:r>
              <w:rPr>
                <w:b w:val="false"/>
                <w:bCs w:val="false"/>
                <w:i w:val="false"/>
                <w:iCs w:val="false"/>
                <w:sz w:val="20"/>
                <w:szCs w:val="20"/>
              </w:rPr>
              <w:t xml:space="preserve">Network Service Discovery</w:t>
            </w:r>
          </w:p>
        </w:tc>
        <w:tc>
          <w:tcPr>
            <w:tcW w:type="dxa" w:w="1200"/>
          </w:tcPr>
          <w:p>
            <w:r>
              <w:rPr>
                <w:b w:val="false"/>
                <w:bCs w:val="false"/>
                <w:i w:val="false"/>
                <w:iCs w:val="false"/>
                <w:sz w:val="20"/>
                <w:szCs w:val="20"/>
              </w:rPr>
              <w:t xml:space="preserve">nmap</w:t>
            </w:r>
          </w:p>
        </w:tc>
        <w:tc>
          <w:tcPr>
            <w:tcW w:type="dxa" w:w="1900"/>
          </w:tcPr>
          <w:p>
            <w:r>
              <w:rPr>
                <w:b w:val="false"/>
                <w:bCs w:val="false"/>
                <w:i w:val="false"/>
                <w:iCs w:val="false"/>
                <w:sz w:val="20"/>
                <w:szCs w:val="20"/>
              </w:rPr>
              <w:t xml:space="preserve">T1046</w:t>
            </w:r>
          </w:p>
        </w:tc>
        <w:tc>
          <w:tcPr>
            <w:tcW w:type="dxa" w:w="1400"/>
          </w:tcPr>
          <w:p>
            <w:r>
              <w:rPr>
                <w:b w:val="false"/>
                <w:bCs w:val="false"/>
                <w:i w:val="false"/>
                <w:iCs w:val="false"/>
                <w:sz w:val="20"/>
                <w:szCs w:val="20"/>
              </w:rPr>
              <w:t xml:space="preserve">5157</w:t>
            </w:r>
          </w:p>
        </w:tc>
        <w:tc>
          <w:tcPr>
            <w:tcW w:type="dxa" w:w="2450"/>
          </w:tcPr>
          <w:p>
            <w:r>
              <w:rPr>
                <w:b w:val="false"/>
                <w:bCs w:val="false"/>
                <w:i w:val="false"/>
                <w:iCs w:val="false"/>
                <w:sz w:val="20"/>
                <w:szCs w:val="20"/>
              </w:rPr>
              <w:t xml:space="preserve">Source_Address, Destination_Port</w:t>
            </w:r>
          </w:p>
        </w:tc>
      </w:tr>
      <w:tr>
        <w:tc>
          <w:tcPr>
            <w:tcW w:type="dxa" w:w="2400"/>
            <w:shd w:fill="F2F2F2" w:val="clear"/>
          </w:tcPr>
          <w:p>
            <w:r>
              <w:rPr>
                <w:b w:val="false"/>
                <w:bCs w:val="false"/>
                <w:i w:val="false"/>
                <w:iCs w:val="false"/>
                <w:sz w:val="20"/>
                <w:szCs w:val="20"/>
              </w:rPr>
              <w:t xml:space="preserve">SMB Brute-Force</w:t>
            </w:r>
          </w:p>
        </w:tc>
        <w:tc>
          <w:tcPr>
            <w:tcW w:type="dxa" w:w="1200"/>
            <w:shd w:fill="F2F2F2" w:val="clear"/>
          </w:tcPr>
          <w:p>
            <w:r>
              <w:rPr>
                <w:b w:val="false"/>
                <w:bCs w:val="false"/>
                <w:i w:val="false"/>
                <w:iCs w:val="false"/>
                <w:sz w:val="20"/>
                <w:szCs w:val="20"/>
              </w:rPr>
              <w:t xml:space="preserve">Hydra</w:t>
            </w:r>
          </w:p>
        </w:tc>
        <w:tc>
          <w:tcPr>
            <w:tcW w:type="dxa" w:w="1900"/>
            <w:shd w:fill="F2F2F2" w:val="clear"/>
          </w:tcPr>
          <w:p>
            <w:r>
              <w:rPr>
                <w:b w:val="false"/>
                <w:bCs w:val="false"/>
                <w:i w:val="false"/>
                <w:iCs w:val="false"/>
                <w:sz w:val="20"/>
                <w:szCs w:val="20"/>
              </w:rPr>
              <w:t xml:space="preserve">T1110.001</w:t>
            </w:r>
          </w:p>
        </w:tc>
        <w:tc>
          <w:tcPr>
            <w:tcW w:type="dxa" w:w="1400"/>
            <w:shd w:fill="F2F2F2" w:val="clear"/>
          </w:tcPr>
          <w:p>
            <w:r>
              <w:rPr>
                <w:b w:val="false"/>
                <w:bCs w:val="false"/>
                <w:i w:val="false"/>
                <w:iCs w:val="false"/>
                <w:sz w:val="20"/>
                <w:szCs w:val="20"/>
              </w:rPr>
              <w:t xml:space="preserve">4624</w:t>
            </w:r>
          </w:p>
        </w:tc>
        <w:tc>
          <w:tcPr>
            <w:tcW w:type="dxa" w:w="2450"/>
            <w:shd w:fill="F2F2F2" w:val="clear"/>
          </w:tcPr>
          <w:p>
            <w:r>
              <w:rPr>
                <w:b w:val="false"/>
                <w:bCs w:val="false"/>
                <w:i w:val="false"/>
                <w:iCs w:val="false"/>
                <w:sz w:val="20"/>
                <w:szCs w:val="20"/>
              </w:rPr>
              <w:t xml:space="preserve">Logon_Type=3</w:t>
            </w:r>
          </w:p>
        </w:tc>
      </w:tr>
      <w:tr>
        <w:tc>
          <w:tcPr>
            <w:tcW w:type="dxa" w:w="2400"/>
          </w:tcPr>
          <w:p>
            <w:r>
              <w:rPr>
                <w:b w:val="false"/>
                <w:bCs w:val="false"/>
                <w:i w:val="false"/>
                <w:iCs w:val="false"/>
                <w:sz w:val="20"/>
                <w:szCs w:val="20"/>
              </w:rPr>
              <w:t xml:space="preserve">Anonymous Enumeration</w:t>
            </w:r>
          </w:p>
        </w:tc>
        <w:tc>
          <w:tcPr>
            <w:tcW w:type="dxa" w:w="1200"/>
          </w:tcPr>
          <w:p>
            <w:r>
              <w:rPr>
                <w:b w:val="false"/>
                <w:bCs w:val="false"/>
                <w:i w:val="false"/>
                <w:iCs w:val="false"/>
                <w:sz w:val="20"/>
                <w:szCs w:val="20"/>
              </w:rPr>
              <w:t xml:space="preserve">enum4linux</w:t>
            </w:r>
          </w:p>
        </w:tc>
        <w:tc>
          <w:tcPr>
            <w:tcW w:type="dxa" w:w="1900"/>
          </w:tcPr>
          <w:p>
            <w:r>
              <w:rPr>
                <w:b w:val="false"/>
                <w:bCs w:val="false"/>
                <w:i w:val="false"/>
                <w:iCs w:val="false"/>
                <w:sz w:val="20"/>
                <w:szCs w:val="20"/>
              </w:rPr>
              <w:t xml:space="preserve">T1135, T1087.002</w:t>
            </w:r>
          </w:p>
        </w:tc>
        <w:tc>
          <w:tcPr>
            <w:tcW w:type="dxa" w:w="1400"/>
          </w:tcPr>
          <w:p>
            <w:r>
              <w:rPr>
                <w:b w:val="false"/>
                <w:bCs w:val="false"/>
                <w:i w:val="false"/>
                <w:iCs w:val="false"/>
                <w:sz w:val="20"/>
                <w:szCs w:val="20"/>
              </w:rPr>
              <w:t xml:space="preserve">4624</w:t>
            </w:r>
          </w:p>
        </w:tc>
        <w:tc>
          <w:tcPr>
            <w:tcW w:type="dxa" w:w="2450"/>
          </w:tcPr>
          <w:p>
            <w:r>
              <w:rPr>
                <w:b w:val="false"/>
                <w:bCs w:val="false"/>
                <w:i w:val="false"/>
                <w:iCs w:val="false"/>
                <w:sz w:val="20"/>
                <w:szCs w:val="20"/>
              </w:rPr>
              <w:t xml:space="preserve">Account_Name=ANONYMOUS LOGON</w:t>
            </w:r>
          </w:p>
        </w:tc>
      </w:tr>
    </w:tbl>
    <w:p>
      <w:pPr>
        <w:pStyle w:val="Heading1"/>
        <w:spacing w:after="170" w:before="380"/>
      </w:pPr>
      <w:r>
        <w:t xml:space="preserve">5. Detection Engineering</w:t>
      </w:r>
    </w:p>
    <w:p>
      <w:pPr>
        <w:spacing w:after="170"/>
      </w:pPr>
      <w:r>
        <w:rPr>
          <w:sz w:val="22"/>
          <w:szCs w:val="22"/>
        </w:rPr>
        <w:t xml:space="preserve">Four detections are built and saved as scheduled Splunk alerts, each running hourly and triggering when results are greater than zero.</w:t>
      </w:r>
    </w:p>
    <w:p>
      <w:pPr>
        <w:pStyle w:val="Heading2"/>
        <w:spacing w:after="130" w:before="280"/>
      </w:pPr>
      <w:r>
        <w:t xml:space="preserve">5.1 Rule #1 — Audit Policy Changes</w:t>
      </w:r>
    </w:p>
    <w:p>
      <w:pPr>
        <w:spacing w:after="170"/>
      </w:pPr>
      <w:r>
        <w:rPr>
          <w:b/>
          <w:bCs/>
          <w:sz w:val="22"/>
          <w:szCs w:val="22"/>
        </w:rPr>
        <w:t xml:space="preserve">EventCode: 4907</w:t>
      </w:r>
    </w:p>
    <w:p>
      <w:pPr>
        <w:pBdr>
          <w:left w:val="single" w:color="1F4E79" w:sz="12"/>
        </w:pBdr>
        <w:shd w:fill="F2F2F2" w:val="clear"/>
        <w:spacing w:after="170" w:before="90"/>
      </w:pPr>
      <w:r>
        <w:rPr>
          <w:rFonts w:ascii="Consolas" w:cs="Consolas" w:eastAsia="Consolas" w:hAnsi="Consolas"/>
          <w:sz w:val="20"/>
          <w:szCs w:val="20"/>
        </w:rPr>
        <w:t xml:space="preserve">index=windows EventCode=4907 | timechart count by ComputerName</w:t>
      </w:r>
    </w:p>
    <w:p>
      <w:pPr>
        <w:spacing w:after="170"/>
      </w:pPr>
      <w:r>
        <w:rPr>
          <w:sz w:val="22"/>
          <w:szCs w:val="22"/>
        </w:rPr>
        <w:t xml:space="preserve">Detects unauthorized changes to audit logging — a common sign of an attacker disabling logging to cover their tracks.</w:t>
      </w:r>
    </w:p>
    <w:p>
      <w:pPr>
        <w:pStyle w:val="Heading2"/>
        <w:spacing w:after="130" w:before="280"/>
      </w:pPr>
      <w:r>
        <w:t xml:space="preserve">5.2 Rule #2 — Nmap Scan Detection (T1046)</w:t>
      </w:r>
    </w:p>
    <w:p>
      <w:pPr>
        <w:spacing w:after="170"/>
      </w:pPr>
      <w:r>
        <w:rPr>
          <w:b/>
          <w:bCs/>
          <w:sz w:val="22"/>
          <w:szCs w:val="22"/>
        </w:rPr>
        <w:t xml:space="preserve">EventCode: 5157</w:t>
      </w:r>
    </w:p>
    <w:p>
      <w:pPr>
        <w:pBdr>
          <w:left w:val="single" w:color="1F4E79" w:sz="12"/>
        </w:pBdr>
        <w:shd w:fill="F2F2F2" w:val="clear"/>
        <w:spacing w:after="170" w:before="90"/>
      </w:pPr>
      <w:r>
        <w:rPr>
          <w:rFonts w:ascii="Consolas" w:cs="Consolas" w:eastAsia="Consolas" w:hAnsi="Consolas"/>
          <w:sz w:val="20"/>
          <w:szCs w:val="20"/>
        </w:rPr>
        <w:t xml:space="preserve">index=windows EventCode=5157 | stats count by Source_Address, Destination_Port | where count &gt; 10</w:t>
      </w:r>
    </w:p>
    <w:p>
      <w:pPr>
        <w:spacing w:after="170"/>
      </w:pPr>
      <w:r>
        <w:rPr>
          <w:sz w:val="22"/>
          <w:szCs w:val="22"/>
        </w:rPr>
        <w:t xml:space="preserve">Flags a source hitting more than 10 distinct destination ports — a port-scan signature.</w:t>
      </w:r>
    </w:p>
    <w:p>
      <w:pPr>
        <w:spacing w:after="170" w:before="90"/>
      </w:pPr>
      <w:r>
        <w:rPr>
          <w:i/>
          <w:iCs/>
          <w:color w:val="8A6D3B"/>
          <w:sz w:val="20"/>
          <w:szCs w:val="20"/>
        </w:rPr>
        <w:t xml:space="preserve">Threshold (count &gt; 10) is a documented starting value — verify against the live saved alert in Splunk.</w:t>
      </w:r>
    </w:p>
    <w:p>
      <w:pPr>
        <w:pStyle w:val="Heading2"/>
        <w:spacing w:after="130" w:before="280"/>
      </w:pPr>
      <w:r>
        <w:t xml:space="preserve">5.3 Rule #3 — SMB Brute-Force Detection (T1110.001)</w:t>
      </w:r>
    </w:p>
    <w:p>
      <w:pPr>
        <w:spacing w:after="170"/>
      </w:pPr>
      <w:r>
        <w:rPr>
          <w:b/>
          <w:bCs/>
          <w:sz w:val="22"/>
          <w:szCs w:val="22"/>
        </w:rPr>
        <w:t xml:space="preserve">EventCode: 4624</w:t>
      </w:r>
    </w:p>
    <w:p>
      <w:pPr>
        <w:pBdr>
          <w:left w:val="single" w:color="1F4E79" w:sz="12"/>
        </w:pBdr>
        <w:shd w:fill="F2F2F2" w:val="clear"/>
        <w:spacing w:after="170" w:before="90"/>
      </w:pPr>
      <w:r>
        <w:rPr>
          <w:rFonts w:ascii="Consolas" w:cs="Consolas" w:eastAsia="Consolas" w:hAnsi="Consolas"/>
          <w:sz w:val="20"/>
          <w:szCs w:val="20"/>
        </w:rPr>
        <w:t xml:space="preserve">index=windows EventCode=4624 Logon_Type=3 | stats count by Source_Network_Address, Account_Name | where count &gt; 5</w:t>
      </w:r>
    </w:p>
    <w:p>
      <w:pPr>
        <w:spacing w:after="170"/>
      </w:pPr>
      <w:r>
        <w:rPr>
          <w:sz w:val="22"/>
          <w:szCs w:val="22"/>
        </w:rPr>
        <w:t xml:space="preserve">Flags repeated network logons from the same source against the same account — the Hydra signature.</w:t>
      </w:r>
    </w:p>
    <w:p>
      <w:pPr>
        <w:spacing w:after="170" w:before="90"/>
      </w:pPr>
      <w:r>
        <w:rPr>
          <w:i/>
          <w:iCs/>
          <w:color w:val="8A6D3B"/>
          <w:sz w:val="20"/>
          <w:szCs w:val="20"/>
        </w:rPr>
        <w:t xml:space="preserve">Threshold (count &gt; 5) is a documented starting value — verify against the live saved alert in Splunk.</w:t>
      </w:r>
    </w:p>
    <w:p>
      <w:pPr>
        <w:pStyle w:val="Heading2"/>
        <w:spacing w:after="130" w:before="280"/>
      </w:pPr>
      <w:r>
        <w:t xml:space="preserve">5.4 Rule #4 — Enum4linux / Anonymous Logon Detection (T1135, T1087.002)</w:t>
      </w:r>
    </w:p>
    <w:p>
      <w:pPr>
        <w:spacing w:after="170"/>
      </w:pPr>
      <w:r>
        <w:rPr>
          <w:b/>
          <w:bCs/>
          <w:sz w:val="22"/>
          <w:szCs w:val="22"/>
        </w:rPr>
        <w:t xml:space="preserve">EventCode: 4624</w:t>
      </w:r>
    </w:p>
    <w:p>
      <w:pPr>
        <w:pBdr>
          <w:left w:val="single" w:color="1F4E79" w:sz="12"/>
        </w:pBdr>
        <w:shd w:fill="F2F2F2" w:val="clear"/>
        <w:spacing w:after="170" w:before="90"/>
      </w:pPr>
      <w:r>
        <w:rPr>
          <w:rFonts w:ascii="Consolas" w:cs="Consolas" w:eastAsia="Consolas" w:hAnsi="Consolas"/>
          <w:sz w:val="20"/>
          <w:szCs w:val="20"/>
        </w:rPr>
        <w:t xml:space="preserve">index=windows EventCode=4624 Logon_Type=3 Account_Name="ANONYMOUS LOGON" | stats count by Source_Network_Address</w:t>
      </w:r>
    </w:p>
    <w:p>
      <w:pPr>
        <w:spacing w:after="170"/>
      </w:pPr>
      <w:r>
        <w:rPr>
          <w:sz w:val="22"/>
          <w:szCs w:val="22"/>
        </w:rPr>
        <w:t xml:space="preserve">Flags any anonymous SMB session — intentionally sensitive, with no count threshold, since even one such session is unusual.</w:t>
      </w:r>
    </w:p>
    <w:p>
      <w:pPr>
        <w:pStyle w:val="Heading2"/>
        <w:spacing w:after="130" w:before="280"/>
      </w:pPr>
      <w:r>
        <w:t xml:space="preserve">5.5 Iteration Note</w:t>
      </w:r>
    </w:p>
    <w:p>
      <w:pPr>
        <w:spacing w:after="170"/>
      </w:pPr>
      <w:r>
        <w:rPr>
          <w:sz w:val="22"/>
          <w:szCs w:val="22"/>
        </w:rPr>
        <w:t xml:space="preserve">None of the four detections worked correctly on the first attempt. The nmap and enum4linux queries were initially written against assumed EventCodes/field names from general documentation. The correct EventCode (5157, not 5156) and correct underscore-separated field naming were only found by running a broad search and reading raw events directly — an evidence-first approach used throughout.</w:t>
      </w:r>
    </w:p>
    <w:p>
      <w:pPr>
        <w:pStyle w:val="Heading1"/>
        <w:spacing w:after="170" w:before="380"/>
      </w:pPr>
      <w:r>
        <w:t xml:space="preserve">6. Dashboards &amp; Reporting</w:t>
      </w:r>
    </w:p>
    <w:p>
      <w:pPr>
        <w:spacing w:after="170"/>
      </w:pPr>
      <w:r>
        <w:rPr>
          <w:sz w:val="22"/>
          <w:szCs w:val="22"/>
        </w:rPr>
        <w:t xml:space="preserve">A three-panel Dashboard Studio dashboard ("SOC Lab - Attack Detection Overview") summarizes detection activity. Five saved reports support it:</w:t>
      </w:r>
    </w:p>
    <w:p>
      <w:pPr>
        <w:pStyle w:val="ListParagraph"/>
        <w:numPr>
          <w:ilvl w:val="0"/>
          <w:numId w:val="1"/>
        </w:numPr>
        <w:spacing w:after="90"/>
      </w:pPr>
      <w:r>
        <w:t xml:space="preserve">Report for Brute Force</w:t>
      </w:r>
    </w:p>
    <w:p>
      <w:pPr>
        <w:pStyle w:val="ListParagraph"/>
        <w:numPr>
          <w:ilvl w:val="0"/>
          <w:numId w:val="1"/>
        </w:numPr>
        <w:spacing w:after="90"/>
      </w:pPr>
      <w:r>
        <w:t xml:space="preserve">Report for Enum4linux</w:t>
      </w:r>
    </w:p>
    <w:p>
      <w:pPr>
        <w:pStyle w:val="ListParagraph"/>
        <w:numPr>
          <w:ilvl w:val="0"/>
          <w:numId w:val="1"/>
        </w:numPr>
        <w:spacing w:after="90"/>
      </w:pPr>
      <w:r>
        <w:t xml:space="preserve">Report of Nmap Detection</w:t>
      </w:r>
    </w:p>
    <w:p>
      <w:pPr>
        <w:pStyle w:val="ListParagraph"/>
        <w:numPr>
          <w:ilvl w:val="0"/>
          <w:numId w:val="1"/>
        </w:numPr>
        <w:spacing w:after="90"/>
      </w:pPr>
      <w:r>
        <w:t xml:space="preserve">Report of Logon Activity (Midnight–5 AM window)</w:t>
      </w:r>
    </w:p>
    <w:p>
      <w:pPr>
        <w:pStyle w:val="ListParagraph"/>
        <w:numPr>
          <w:ilvl w:val="0"/>
          <w:numId w:val="1"/>
        </w:numPr>
        <w:spacing w:after="90"/>
      </w:pPr>
      <w:r>
        <w:t xml:space="preserve">Hunt query — Authentication Failure</w:t>
      </w:r>
    </w:p>
    <w:p>
      <w:pPr>
        <w:pStyle w:val="Heading1"/>
        <w:spacing w:after="170" w:before="380"/>
      </w:pPr>
      <w:r>
        <w:t xml:space="preserve">7. Technical Challenges &amp; Resolutions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4E79" w:val="clear"/>
          </w:tcPr>
          <w:p>
            <w:r>
              <w:rPr>
                <w:b/>
                <w:bCs/>
                <w:i w:val="false"/>
                <w:iCs w:val="false"/>
                <w:color w:val="FFFFFF"/>
                <w:sz w:val="20"/>
                <w:szCs w:val="20"/>
              </w:rPr>
              <w:t xml:space="preserve">Issue</w:t>
            </w:r>
          </w:p>
        </w:tc>
        <w:tc>
          <w:tcPr>
            <w:tcW w:type="dxa" w:w="5150"/>
            <w:shd w:fill="1F4E79" w:val="clear"/>
          </w:tcPr>
          <w:p>
            <w:r>
              <w:rPr>
                <w:b/>
                <w:bCs/>
                <w:i w:val="false"/>
                <w:iCs w:val="false"/>
                <w:color w:val="FFFFFF"/>
                <w:sz w:val="20"/>
                <w:szCs w:val="20"/>
              </w:rPr>
              <w:t xml:space="preserve">Resolution</w:t>
            </w:r>
          </w:p>
        </w:tc>
      </w:tr>
      <w:tr>
        <w:tc>
          <w:tcPr>
            <w:tcW w:type="dxa" w:w="4200"/>
          </w:tcPr>
          <w:p>
            <w:r>
              <w:rPr>
                <w:b w:val="false"/>
                <w:bCs w:val="false"/>
                <w:i w:val="false"/>
                <w:iCs w:val="false"/>
                <w:sz w:val="20"/>
                <w:szCs w:val="20"/>
              </w:rPr>
              <w:t xml:space="preserve">Kali eth0 losing DHCP lease between sessions</w:t>
            </w:r>
          </w:p>
        </w:tc>
        <w:tc>
          <w:tcPr>
            <w:tcW w:type="dxa" w:w="5150"/>
          </w:tcPr>
          <w:p>
            <w:r>
              <w:rPr>
                <w:b w:val="false"/>
                <w:bCs w:val="false"/>
                <w:i w:val="false"/>
                <w:iCs w:val="false"/>
                <w:sz w:val="20"/>
                <w:szCs w:val="20"/>
              </w:rPr>
              <w:t xml:space="preserve">Re-bound the interface to a specific NetworkManager UUID via nmcli</w:t>
            </w:r>
          </w:p>
        </w:tc>
      </w:tr>
      <w:tr>
        <w:tc>
          <w:tcPr>
            <w:tcW w:type="dxa" w:w="4200"/>
            <w:shd w:fill="F2F2F2" w:val="clear"/>
          </w:tcPr>
          <w:p>
            <w:r>
              <w:rPr>
                <w:b w:val="false"/>
                <w:bCs w:val="false"/>
                <w:i w:val="false"/>
                <w:iCs w:val="false"/>
                <w:sz w:val="20"/>
                <w:szCs w:val="20"/>
              </w:rPr>
              <w:t xml:space="preserve">Windows VM IP drifting between sessions</w:t>
            </w:r>
          </w:p>
        </w:tc>
        <w:tc>
          <w:tcPr>
            <w:tcW w:type="dxa" w:w="5150"/>
            <w:shd w:fill="F2F2F2" w:val="clear"/>
          </w:tcPr>
          <w:p>
            <w:r>
              <w:rPr>
                <w:b w:val="false"/>
                <w:bCs w:val="false"/>
                <w:i w:val="false"/>
                <w:iCs w:val="false"/>
                <w:sz w:val="20"/>
                <w:szCs w:val="20"/>
              </w:rPr>
              <w:t xml:space="preserve">Re-verified target IP at the start of each session</w:t>
            </w:r>
          </w:p>
        </w:tc>
      </w:tr>
      <w:tr>
        <w:tc>
          <w:tcPr>
            <w:tcW w:type="dxa" w:w="4200"/>
          </w:tcPr>
          <w:p>
            <w:r>
              <w:rPr>
                <w:b w:val="false"/>
                <w:bCs w:val="false"/>
                <w:i w:val="false"/>
                <w:iCs w:val="false"/>
                <w:sz w:val="20"/>
                <w:szCs w:val="20"/>
              </w:rPr>
              <w:t xml:space="preserve">Universal Forwarder stopped ingesting after a reboot</w:t>
            </w:r>
          </w:p>
        </w:tc>
        <w:tc>
          <w:tcPr>
            <w:tcW w:type="dxa" w:w="5150"/>
          </w:tcPr>
          <w:p>
            <w:r>
              <w:rPr>
                <w:b w:val="false"/>
                <w:bCs w:val="false"/>
                <w:i w:val="false"/>
                <w:iCs w:val="false"/>
                <w:sz w:val="20"/>
                <w:szCs w:val="20"/>
              </w:rPr>
              <w:t xml:space="preserve">Last indexed event traced to July 1, 2026; root cause unresolved (open item)</w:t>
            </w:r>
          </w:p>
        </w:tc>
      </w:tr>
      <w:tr>
        <w:tc>
          <w:tcPr>
            <w:tcW w:type="dxa" w:w="4200"/>
            <w:shd w:fill="F2F2F2" w:val="clear"/>
          </w:tcPr>
          <w:p>
            <w:r>
              <w:rPr>
                <w:b w:val="false"/>
                <w:bCs w:val="false"/>
                <w:i w:val="false"/>
                <w:iCs w:val="false"/>
                <w:sz w:val="20"/>
                <w:szCs w:val="20"/>
              </w:rPr>
              <w:t xml:space="preserve">Windows 10 Home cannot host RDP</w:t>
            </w:r>
          </w:p>
        </w:tc>
        <w:tc>
          <w:tcPr>
            <w:tcW w:type="dxa" w:w="5150"/>
            <w:shd w:fill="F2F2F2" w:val="clear"/>
          </w:tcPr>
          <w:p>
            <w:r>
              <w:rPr>
                <w:b w:val="false"/>
                <w:bCs w:val="false"/>
                <w:i w:val="false"/>
                <w:iCs w:val="false"/>
                <w:sz w:val="20"/>
                <w:szCs w:val="20"/>
              </w:rPr>
              <w:t xml:space="preserve">Pivoted brute-force scenario from RDP to SMB</w:t>
            </w:r>
          </w:p>
        </w:tc>
      </w:tr>
      <w:tr>
        <w:tc>
          <w:tcPr>
            <w:tcW w:type="dxa" w:w="4200"/>
          </w:tcPr>
          <w:p>
            <w:r>
              <w:rPr>
                <w:b w:val="false"/>
                <w:bCs w:val="false"/>
                <w:i w:val="false"/>
                <w:iCs w:val="false"/>
                <w:sz w:val="20"/>
                <w:szCs w:val="20"/>
              </w:rPr>
              <w:t xml:space="preserve">Wrong assumed field names for Windows Filtering Platform logs</w:t>
            </w:r>
          </w:p>
        </w:tc>
        <w:tc>
          <w:tcPr>
            <w:tcW w:type="dxa" w:w="5150"/>
          </w:tcPr>
          <w:p>
            <w:r>
              <w:rPr>
                <w:b w:val="false"/>
                <w:bCs w:val="false"/>
                <w:i w:val="false"/>
                <w:iCs w:val="false"/>
                <w:sz w:val="20"/>
                <w:szCs w:val="20"/>
              </w:rPr>
              <w:t xml:space="preserve">Inspected raw events directly to find correct underscore-separated field names</w:t>
            </w:r>
          </w:p>
        </w:tc>
      </w:tr>
      <w:tr>
        <w:tc>
          <w:tcPr>
            <w:tcW w:type="dxa" w:w="4200"/>
            <w:shd w:fill="F2F2F2" w:val="clear"/>
          </w:tcPr>
          <w:p>
            <w:r>
              <w:rPr>
                <w:b w:val="false"/>
                <w:bCs w:val="false"/>
                <w:i w:val="false"/>
                <w:iCs w:val="false"/>
                <w:sz w:val="20"/>
                <w:szCs w:val="20"/>
              </w:rPr>
              <w:t xml:space="preserve">Initial lab scored 3.5/10 in independent review</w:t>
            </w:r>
          </w:p>
        </w:tc>
        <w:tc>
          <w:tcPr>
            <w:tcW w:type="dxa" w:w="5150"/>
            <w:shd w:fill="F2F2F2" w:val="clear"/>
          </w:tcPr>
          <w:p>
            <w:r>
              <w:rPr>
                <w:b w:val="false"/>
                <w:bCs w:val="false"/>
                <w:i w:val="false"/>
                <w:iCs w:val="false"/>
                <w:sz w:val="20"/>
                <w:szCs w:val="20"/>
              </w:rPr>
              <w:t xml:space="preserve">Rebuilt detection logic, added MITRE mapping, restructured documentation</w:t>
            </w:r>
          </w:p>
        </w:tc>
      </w:tr>
    </w:tbl>
    <w:p>
      <w:pPr>
        <w:pStyle w:val="Heading1"/>
        <w:spacing w:after="170" w:before="380"/>
      </w:pPr>
      <w:r>
        <w:t xml:space="preserve">8. Key Findings &amp; Lessons Learned</w:t>
      </w:r>
    </w:p>
    <w:p>
      <w:pPr>
        <w:pStyle w:val="ListParagraph"/>
        <w:numPr>
          <w:ilvl w:val="0"/>
          <w:numId w:val="1"/>
        </w:numPr>
        <w:spacing w:after="90"/>
      </w:pPr>
      <w:r>
        <w:t xml:space="preserve">Real EventCodes can differ from commonly cited references — 5157, not 5156, for blocked nmap traffic.</w:t>
      </w:r>
    </w:p>
    <w:p>
      <w:pPr>
        <w:pStyle w:val="ListParagraph"/>
        <w:numPr>
          <w:ilvl w:val="0"/>
          <w:numId w:val="1"/>
        </w:numPr>
        <w:spacing w:after="90"/>
      </w:pPr>
      <w:r>
        <w:t xml:space="preserve">The same base EventCode (4624) represents different scenarios depending on Logon_Type and Account_Name.</w:t>
      </w:r>
    </w:p>
    <w:p>
      <w:pPr>
        <w:pStyle w:val="ListParagraph"/>
        <w:numPr>
          <w:ilvl w:val="0"/>
          <w:numId w:val="1"/>
        </w:numPr>
        <w:spacing w:after="90"/>
      </w:pPr>
      <w:r>
        <w:t xml:space="preserve">Evidence-first detection writing (broad search → read raw events → narrow query) consistently beat starting from an assumed query.</w:t>
      </w:r>
    </w:p>
    <w:p>
      <w:pPr>
        <w:pStyle w:val="ListParagraph"/>
        <w:numPr>
          <w:ilvl w:val="0"/>
          <w:numId w:val="1"/>
        </w:numPr>
        <w:spacing w:after="90"/>
      </w:pPr>
      <w:r>
        <w:t xml:space="preserve">OS edition limitations (no RDP on Windows 10 Home) required re-scoping an attack scenario mid-project.</w:t>
      </w:r>
    </w:p>
    <w:p>
      <w:pPr>
        <w:pStyle w:val="ListParagraph"/>
        <w:numPr>
          <w:ilvl w:val="0"/>
          <w:numId w:val="1"/>
        </w:numPr>
        <w:spacing w:after="90"/>
      </w:pPr>
      <w:r>
        <w:t xml:space="preserve">An honest, critical external review produced a more useful, concrete improvement path than generic encouragement would have.</w:t>
      </w:r>
    </w:p>
    <w:p>
      <w:pPr>
        <w:pStyle w:val="Heading1"/>
        <w:spacing w:after="170" w:before="380"/>
      </w:pPr>
      <w:r>
        <w:t xml:space="preserve">9. Repository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9" w:val="clear"/>
          </w:tcPr>
          <w:p>
            <w:r>
              <w:rPr>
                <w:b/>
                <w:bCs/>
                <w:i w:val="false"/>
                <w:iCs w:val="false"/>
                <w:color w:val="FFFFFF"/>
                <w:sz w:val="20"/>
                <w:szCs w:val="20"/>
              </w:rPr>
              <w:t xml:space="preserve">File / Folder</w:t>
            </w:r>
          </w:p>
        </w:tc>
        <w:tc>
          <w:tcPr>
            <w:tcW w:type="dxa" w:w="6750"/>
            <w:shd w:fill="1F4E79" w:val="clear"/>
          </w:tcPr>
          <w:p>
            <w:r>
              <w:rPr>
                <w:b/>
                <w:bCs/>
                <w:i w:val="false"/>
                <w:iCs w:val="false"/>
                <w:color w:val="FFFFFF"/>
                <w:sz w:val="20"/>
                <w:szCs w:val="20"/>
              </w:rPr>
              <w:t xml:space="preserve">Contents</w:t>
            </w:r>
          </w:p>
        </w:tc>
      </w:tr>
      <w:tr>
        <w:tc>
          <w:tcPr>
            <w:tcW w:type="dxa" w:w="2600"/>
          </w:tcPr>
          <w:p>
            <w:r>
              <w:rPr>
                <w:b w:val="false"/>
                <w:bCs w:val="false"/>
                <w:i w:val="false"/>
                <w:iCs w:val="false"/>
                <w:sz w:val="20"/>
                <w:szCs w:val="20"/>
              </w:rPr>
              <w:t xml:space="preserve">README.md</w:t>
            </w:r>
          </w:p>
        </w:tc>
        <w:tc>
          <w:tcPr>
            <w:tcW w:type="dxa" w:w="6750"/>
          </w:tcPr>
          <w:p>
            <w:r>
              <w:rPr>
                <w:b w:val="false"/>
                <w:bCs w:val="false"/>
                <w:i w:val="false"/>
                <w:iCs w:val="false"/>
                <w:sz w:val="20"/>
                <w:szCs w:val="20"/>
              </w:rPr>
              <w:t xml:space="preserve">Project overview, architecture, MITRE mapping table, links to the rest of the repo</w:t>
            </w:r>
          </w:p>
        </w:tc>
      </w:tr>
      <w:tr>
        <w:tc>
          <w:tcPr>
            <w:tcW w:type="dxa" w:w="2600"/>
            <w:shd w:fill="F2F2F2" w:val="clear"/>
          </w:tcPr>
          <w:p>
            <w:r>
              <w:rPr>
                <w:b w:val="false"/>
                <w:bCs w:val="false"/>
                <w:i w:val="false"/>
                <w:iCs w:val="false"/>
                <w:sz w:val="20"/>
                <w:szCs w:val="20"/>
              </w:rPr>
              <w:t xml:space="preserve">DETECTIONS.md</w:t>
            </w:r>
          </w:p>
        </w:tc>
        <w:tc>
          <w:tcPr>
            <w:tcW w:type="dxa" w:w="6750"/>
            <w:shd w:fill="F2F2F2" w:val="clear"/>
          </w:tcPr>
          <w:p>
            <w:r>
              <w:rPr>
                <w:b w:val="false"/>
                <w:bCs w:val="false"/>
                <w:i w:val="false"/>
                <w:iCs w:val="false"/>
                <w:sz w:val="20"/>
                <w:szCs w:val="20"/>
              </w:rPr>
              <w:t xml:space="preserve">All four detection rules with SPL queries, rationale, and alert configuration</w:t>
            </w:r>
          </w:p>
        </w:tc>
      </w:tr>
      <w:tr>
        <w:tc>
          <w:tcPr>
            <w:tcW w:type="dxa" w:w="2600"/>
          </w:tcPr>
          <w:p>
            <w:r>
              <w:rPr>
                <w:b w:val="false"/>
                <w:bCs w:val="false"/>
                <w:i w:val="false"/>
                <w:iCs w:val="false"/>
                <w:sz w:val="20"/>
                <w:szCs w:val="20"/>
              </w:rPr>
              <w:t xml:space="preserve">SETUP_GUIDE.md</w:t>
            </w:r>
          </w:p>
        </w:tc>
        <w:tc>
          <w:tcPr>
            <w:tcW w:type="dxa" w:w="6750"/>
          </w:tcPr>
          <w:p>
            <w:r>
              <w:rPr>
                <w:b w:val="false"/>
                <w:bCs w:val="false"/>
                <w:i w:val="false"/>
                <w:iCs w:val="false"/>
                <w:sz w:val="20"/>
                <w:szCs w:val="20"/>
              </w:rPr>
              <w:t xml:space="preserve">Step-by-step build instructions: Splunk, Sysmon, Universal Forwarder, inputs.conf, verification</w:t>
            </w:r>
          </w:p>
        </w:tc>
      </w:tr>
      <w:tr>
        <w:tc>
          <w:tcPr>
            <w:tcW w:type="dxa" w:w="2600"/>
            <w:shd w:fill="F2F2F2" w:val="clear"/>
          </w:tcPr>
          <w:p>
            <w:r>
              <w:rPr>
                <w:b w:val="false"/>
                <w:bCs w:val="false"/>
                <w:i w:val="false"/>
                <w:iCs w:val="false"/>
                <w:sz w:val="20"/>
                <w:szCs w:val="20"/>
              </w:rPr>
              <w:t xml:space="preserve">screenshots/</w:t>
            </w:r>
          </w:p>
        </w:tc>
        <w:tc>
          <w:tcPr>
            <w:tcW w:type="dxa" w:w="6750"/>
            <w:shd w:fill="F2F2F2" w:val="clear"/>
          </w:tcPr>
          <w:p>
            <w:r>
              <w:rPr>
                <w:b w:val="false"/>
                <w:bCs w:val="false"/>
                <w:i w:val="false"/>
                <w:iCs w:val="false"/>
                <w:sz w:val="20"/>
                <w:szCs w:val="20"/>
              </w:rPr>
              <w:t xml:space="preserve">35 screenshots of attacks, detections, dashboard panels, and configuration steps</w:t>
            </w:r>
          </w:p>
        </w:tc>
      </w:tr>
    </w:tbl>
    <w:p>
      <w:pPr>
        <w:pStyle w:val="Heading1"/>
        <w:spacing w:after="170" w:before="380"/>
      </w:pPr>
      <w:r>
        <w:t xml:space="preserve">10. Limitations &amp; Open Items</w:t>
      </w:r>
    </w:p>
    <w:p>
      <w:pPr>
        <w:pStyle w:val="ListParagraph"/>
        <w:numPr>
          <w:ilvl w:val="0"/>
          <w:numId w:val="1"/>
        </w:numPr>
        <w:spacing w:after="90"/>
      </w:pPr>
      <w:r>
        <w:t xml:space="preserve">Only three techniques are covered (reconnaissance, credential access, discovery) — no lateral movement, persistence, or exfiltration scenarios yet.</w:t>
      </w:r>
    </w:p>
    <w:p>
      <w:pPr>
        <w:pStyle w:val="ListParagraph"/>
        <w:numPr>
          <w:ilvl w:val="0"/>
          <w:numId w:val="1"/>
        </w:numPr>
        <w:spacing w:after="90"/>
      </w:pPr>
      <w:r>
        <w:t xml:space="preserve">Detections are confirmed to fire on attack traffic but have not been formally tested against a normal-usage baseline for false positives.</w:t>
      </w:r>
    </w:p>
    <w:p>
      <w:pPr>
        <w:pStyle w:val="ListParagraph"/>
        <w:numPr>
          <w:ilvl w:val="0"/>
          <w:numId w:val="1"/>
        </w:numPr>
        <w:spacing w:after="90"/>
      </w:pPr>
      <w:r>
        <w:t xml:space="preserve">The count &gt; 10 / count &gt; 5 thresholds in Rules #2 and #3 are documented values, not yet confirmed against the live Splunk alert configuration.</w:t>
      </w:r>
    </w:p>
    <w:p>
      <w:pPr>
        <w:pStyle w:val="ListParagraph"/>
        <w:numPr>
          <w:ilvl w:val="0"/>
          <w:numId w:val="1"/>
        </w:numPr>
        <w:spacing w:after="90"/>
      </w:pPr>
      <w:r>
        <w:t xml:space="preserve">The Universal Forwarder ingestion gap since July 1, 2026 is unresolved.</w:t>
      </w:r>
    </w:p>
    <w:p>
      <w:pPr>
        <w:pStyle w:val="ListParagraph"/>
        <w:numPr>
          <w:ilvl w:val="0"/>
          <w:numId w:val="1"/>
        </w:numPr>
        <w:spacing w:after="90"/>
      </w:pPr>
      <w:r>
        <w:t xml:space="preserve">The lab is a two-host environment, not domain-joined, so Active Directory-specific techniques are out of scope.</w:t>
      </w:r>
    </w:p>
    <w:p>
      <w:pPr>
        <w:pStyle w:val="Heading1"/>
        <w:spacing w:after="170" w:before="380"/>
      </w:pPr>
      <w:r>
        <w:t xml:space="preserve">11. Conclusion</w:t>
      </w:r>
    </w:p>
    <w:p>
      <w:pPr>
        <w:spacing w:after="170"/>
      </w:pPr>
      <w:r>
        <w:rPr>
          <w:sz w:val="22"/>
          <w:szCs w:val="22"/>
        </w:rPr>
        <w:t xml:space="preserve">The SOC Analyst Home Lab demonstrates a complete, working detection engineering cycle: standing up log sources correctly, executing real attacker techniques, building and tuning detections against real telemetry, mapping them to MITRE ATT&amp;CK, and documenting the environment well enough to be reviewed independently. Where things went wrong — incorrect assumptions, an OS limitation, a harsh external review — is documented alongside what went right, since that is a more accurate and more defensible record of the work actually done.</w:t>
      </w:r>
    </w:p>
    <w:p>
      <w:r>
        <w:br w:type="page"/>
      </w:r>
    </w:p>
    <w:p>
      <w:pPr>
        <w:pStyle w:val="Heading1"/>
        <w:spacing w:after="170" w:before="380"/>
      </w:pPr>
      <w:r>
        <w:t xml:space="preserve">Appendix A — Full Detection Query Reference</w:t>
      </w:r>
    </w:p>
    <w:p>
      <w:pPr>
        <w:pStyle w:val="Heading3"/>
        <w:spacing w:after="100" w:before="200"/>
      </w:pPr>
      <w:r>
        <w:t xml:space="preserve">Rule #1 — Audit Policy Changes</w:t>
      </w:r>
    </w:p>
    <w:p>
      <w:pPr>
        <w:pBdr>
          <w:left w:val="single" w:color="1F4E79" w:sz="12"/>
        </w:pBdr>
        <w:shd w:fill="F2F2F2" w:val="clear"/>
        <w:spacing w:after="170" w:before="90"/>
      </w:pPr>
      <w:r>
        <w:rPr>
          <w:rFonts w:ascii="Consolas" w:cs="Consolas" w:eastAsia="Consolas" w:hAnsi="Consolas"/>
          <w:sz w:val="20"/>
          <w:szCs w:val="20"/>
        </w:rPr>
        <w:t xml:space="preserve">index=windows EventCode=4907 | timechart count by ComputerName</w:t>
      </w:r>
    </w:p>
    <w:p>
      <w:pPr>
        <w:pStyle w:val="Heading3"/>
        <w:spacing w:after="100" w:before="200"/>
      </w:pPr>
      <w:r>
        <w:t xml:space="preserve">Rule #2 — Nmap Scan Detection (T1046)</w:t>
      </w:r>
    </w:p>
    <w:p>
      <w:pPr>
        <w:pBdr>
          <w:left w:val="single" w:color="1F4E79" w:sz="12"/>
        </w:pBdr>
        <w:shd w:fill="F2F2F2" w:val="clear"/>
        <w:spacing w:after="170" w:before="90"/>
      </w:pPr>
      <w:r>
        <w:rPr>
          <w:rFonts w:ascii="Consolas" w:cs="Consolas" w:eastAsia="Consolas" w:hAnsi="Consolas"/>
          <w:sz w:val="20"/>
          <w:szCs w:val="20"/>
        </w:rPr>
        <w:t xml:space="preserve">index=windows EventCode=5157 | stats count by Source_Address, Destination_Port | where count &gt; 10</w:t>
      </w:r>
    </w:p>
    <w:p>
      <w:pPr>
        <w:pStyle w:val="Heading3"/>
        <w:spacing w:after="100" w:before="200"/>
      </w:pPr>
      <w:r>
        <w:t xml:space="preserve">Rule #3 — SMB Brute-Force Detection (T1110.001)</w:t>
      </w:r>
    </w:p>
    <w:p>
      <w:pPr>
        <w:pBdr>
          <w:left w:val="single" w:color="1F4E79" w:sz="12"/>
        </w:pBdr>
        <w:shd w:fill="F2F2F2" w:val="clear"/>
        <w:spacing w:after="170" w:before="90"/>
      </w:pPr>
      <w:r>
        <w:rPr>
          <w:rFonts w:ascii="Consolas" w:cs="Consolas" w:eastAsia="Consolas" w:hAnsi="Consolas"/>
          <w:sz w:val="20"/>
          <w:szCs w:val="20"/>
        </w:rPr>
        <w:t xml:space="preserve">index=windows EventCode=4624 Logon_Type=3 | stats count by Source_Network_Address, Account_Name | where count &gt; 5</w:t>
      </w:r>
    </w:p>
    <w:p>
      <w:pPr>
        <w:pStyle w:val="Heading3"/>
        <w:spacing w:after="100" w:before="200"/>
      </w:pPr>
      <w:r>
        <w:t xml:space="preserve">Rule #4 — Enum4linux / Anonymous Logon Detection (T1135, T1087.002)</w:t>
      </w:r>
    </w:p>
    <w:p>
      <w:pPr>
        <w:pBdr>
          <w:left w:val="single" w:color="1F4E79" w:sz="12"/>
        </w:pBdr>
        <w:shd w:fill="F2F2F2" w:val="clear"/>
        <w:spacing w:after="170" w:before="90"/>
      </w:pPr>
      <w:r>
        <w:rPr>
          <w:rFonts w:ascii="Consolas" w:cs="Consolas" w:eastAsia="Consolas" w:hAnsi="Consolas"/>
          <w:sz w:val="20"/>
          <w:szCs w:val="20"/>
        </w:rPr>
        <w:t xml:space="preserve">index=windows EventCode=4624 Logon_Type=3 Account_Name="ANONYMOUS LOGON" | stats count by Source_Network_Address</w:t>
      </w:r>
    </w:p>
    <w:p>
      <w:pPr>
        <w:pStyle w:val="Heading1"/>
        <w:spacing w:after="170" w:before="380"/>
      </w:pPr>
      <w:r>
        <w:t xml:space="preserve">Appendix B — Screenshot Inventory (35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4E79" w:val="clear"/>
          </w:tcPr>
          <w:p>
            <w:r>
              <w:rPr>
                <w:b/>
                <w:bCs/>
                <w:i w:val="false"/>
                <w:iCs w:val="false"/>
                <w:color w:val="FFFFFF"/>
                <w:sz w:val="20"/>
                <w:szCs w:val="20"/>
              </w:rPr>
              <w:t xml:space="preserve">#</w:t>
            </w:r>
          </w:p>
        </w:tc>
        <w:tc>
          <w:tcPr>
            <w:tcW w:type="dxa" w:w="8650"/>
            <w:shd w:fill="1F4E79" w:val="clear"/>
          </w:tcPr>
          <w:p>
            <w:r>
              <w:rPr>
                <w:b/>
                <w:bCs/>
                <w:i w:val="false"/>
                <w:iCs w:val="false"/>
                <w:color w:val="FFFFFF"/>
                <w:sz w:val="20"/>
                <w:szCs w:val="20"/>
              </w:rPr>
              <w:t xml:space="preserve">Filename</w:t>
            </w:r>
          </w:p>
        </w:tc>
      </w:tr>
      <w:tr>
        <w:tc>
          <w:tcPr>
            <w:tcW w:type="dxa" w:w="700"/>
          </w:tcPr>
          <w:p>
            <w:r>
              <w:rPr>
                <w:b w:val="false"/>
                <w:bCs w:val="false"/>
                <w:i w:val="false"/>
                <w:iCs w:val="false"/>
                <w:sz w:val="20"/>
                <w:szCs w:val="20"/>
              </w:rPr>
              <w:t xml:space="preserve">1</w:t>
            </w:r>
          </w:p>
        </w:tc>
        <w:tc>
          <w:tcPr>
            <w:tcW w:type="dxa" w:w="8650"/>
          </w:tcPr>
          <w:p>
            <w:r>
              <w:rPr>
                <w:b w:val="false"/>
                <w:bCs w:val="false"/>
                <w:i w:val="false"/>
                <w:iCs w:val="false"/>
                <w:sz w:val="20"/>
                <w:szCs w:val="20"/>
              </w:rPr>
              <w:t xml:space="preserve">Hydra RDP brute-force detection (T1110.001).png</w:t>
            </w:r>
          </w:p>
        </w:tc>
      </w:tr>
      <w:tr>
        <w:tc>
          <w:tcPr>
            <w:tcW w:type="dxa" w:w="700"/>
            <w:shd w:fill="F2F2F2" w:val="clear"/>
          </w:tcPr>
          <w:p>
            <w:r>
              <w:rPr>
                <w:b w:val="false"/>
                <w:bCs w:val="false"/>
                <w:i w:val="false"/>
                <w:iCs w:val="false"/>
                <w:sz w:val="20"/>
                <w:szCs w:val="20"/>
              </w:rPr>
              <w:t xml:space="preserve">2</w:t>
            </w:r>
          </w:p>
        </w:tc>
        <w:tc>
          <w:tcPr>
            <w:tcW w:type="dxa" w:w="8650"/>
            <w:shd w:fill="F2F2F2" w:val="clear"/>
          </w:tcPr>
          <w:p>
            <w:r>
              <w:rPr>
                <w:b w:val="false"/>
                <w:bCs w:val="false"/>
                <w:i w:val="false"/>
                <w:iCs w:val="false"/>
                <w:sz w:val="20"/>
                <w:szCs w:val="20"/>
              </w:rPr>
              <w:t xml:space="preserve">Anonymous Logon.png</w:t>
            </w:r>
          </w:p>
        </w:tc>
      </w:tr>
      <w:tr>
        <w:tc>
          <w:tcPr>
            <w:tcW w:type="dxa" w:w="700"/>
          </w:tcPr>
          <w:p>
            <w:r>
              <w:rPr>
                <w:b w:val="false"/>
                <w:bCs w:val="false"/>
                <w:i w:val="false"/>
                <w:iCs w:val="false"/>
                <w:sz w:val="20"/>
                <w:szCs w:val="20"/>
              </w:rPr>
              <w:t xml:space="preserve">3</w:t>
            </w:r>
          </w:p>
        </w:tc>
        <w:tc>
          <w:tcPr>
            <w:tcW w:type="dxa" w:w="8650"/>
          </w:tcPr>
          <w:p>
            <w:r>
              <w:rPr>
                <w:b w:val="false"/>
                <w:bCs w:val="false"/>
                <w:i w:val="false"/>
                <w:iCs w:val="false"/>
                <w:sz w:val="20"/>
                <w:szCs w:val="20"/>
              </w:rPr>
              <w:t xml:space="preserve">Anonymous logon (enum4linux).png</w:t>
            </w:r>
          </w:p>
        </w:tc>
      </w:tr>
      <w:tr>
        <w:tc>
          <w:tcPr>
            <w:tcW w:type="dxa" w:w="700"/>
            <w:shd w:fill="F2F2F2" w:val="clear"/>
          </w:tcPr>
          <w:p>
            <w:r>
              <w:rPr>
                <w:b w:val="false"/>
                <w:bCs w:val="false"/>
                <w:i w:val="false"/>
                <w:iCs w:val="false"/>
                <w:sz w:val="20"/>
                <w:szCs w:val="20"/>
              </w:rPr>
              <w:t xml:space="preserve">4</w:t>
            </w:r>
          </w:p>
        </w:tc>
        <w:tc>
          <w:tcPr>
            <w:tcW w:type="dxa" w:w="8650"/>
            <w:shd w:fill="F2F2F2" w:val="clear"/>
          </w:tcPr>
          <w:p>
            <w:r>
              <w:rPr>
                <w:b w:val="false"/>
                <w:bCs w:val="false"/>
                <w:i w:val="false"/>
                <w:iCs w:val="false"/>
                <w:sz w:val="20"/>
                <w:szCs w:val="20"/>
              </w:rPr>
              <w:t xml:space="preserve">Configuring Port Pipeline.png</w:t>
            </w:r>
          </w:p>
        </w:tc>
      </w:tr>
      <w:tr>
        <w:tc>
          <w:tcPr>
            <w:tcW w:type="dxa" w:w="700"/>
          </w:tcPr>
          <w:p>
            <w:r>
              <w:rPr>
                <w:b w:val="false"/>
                <w:bCs w:val="false"/>
                <w:i w:val="false"/>
                <w:iCs w:val="false"/>
                <w:sz w:val="20"/>
                <w:szCs w:val="20"/>
              </w:rPr>
              <w:t xml:space="preserve">5</w:t>
            </w:r>
          </w:p>
        </w:tc>
        <w:tc>
          <w:tcPr>
            <w:tcW w:type="dxa" w:w="8650"/>
          </w:tcPr>
          <w:p>
            <w:r>
              <w:rPr>
                <w:b w:val="false"/>
                <w:bCs w:val="false"/>
                <w:i w:val="false"/>
                <w:iCs w:val="false"/>
                <w:sz w:val="20"/>
                <w:szCs w:val="20"/>
              </w:rPr>
              <w:t xml:space="preserve">Dashboard Eventcodes.png</w:t>
            </w:r>
          </w:p>
        </w:tc>
      </w:tr>
      <w:tr>
        <w:tc>
          <w:tcPr>
            <w:tcW w:type="dxa" w:w="700"/>
            <w:shd w:fill="F2F2F2" w:val="clear"/>
          </w:tcPr>
          <w:p>
            <w:r>
              <w:rPr>
                <w:b w:val="false"/>
                <w:bCs w:val="false"/>
                <w:i w:val="false"/>
                <w:iCs w:val="false"/>
                <w:sz w:val="20"/>
                <w:szCs w:val="20"/>
              </w:rPr>
              <w:t xml:space="preserve">6</w:t>
            </w:r>
          </w:p>
        </w:tc>
        <w:tc>
          <w:tcPr>
            <w:tcW w:type="dxa" w:w="8650"/>
            <w:shd w:fill="F2F2F2" w:val="clear"/>
          </w:tcPr>
          <w:p>
            <w:r>
              <w:rPr>
                <w:b w:val="false"/>
                <w:bCs w:val="false"/>
                <w:i w:val="false"/>
                <w:iCs w:val="false"/>
                <w:sz w:val="20"/>
                <w:szCs w:val="20"/>
              </w:rPr>
              <w:t xml:space="preserve">Dashboard Source types.png</w:t>
            </w:r>
          </w:p>
        </w:tc>
      </w:tr>
      <w:tr>
        <w:tc>
          <w:tcPr>
            <w:tcW w:type="dxa" w:w="700"/>
          </w:tcPr>
          <w:p>
            <w:r>
              <w:rPr>
                <w:b w:val="false"/>
                <w:bCs w:val="false"/>
                <w:i w:val="false"/>
                <w:iCs w:val="false"/>
                <w:sz w:val="20"/>
                <w:szCs w:val="20"/>
              </w:rPr>
              <w:t xml:space="preserve">7</w:t>
            </w:r>
          </w:p>
        </w:tc>
        <w:tc>
          <w:tcPr>
            <w:tcW w:type="dxa" w:w="8650"/>
          </w:tcPr>
          <w:p>
            <w:r>
              <w:rPr>
                <w:b w:val="false"/>
                <w:bCs w:val="false"/>
                <w:i w:val="false"/>
                <w:iCs w:val="false"/>
                <w:sz w:val="20"/>
                <w:szCs w:val="20"/>
              </w:rPr>
              <w:t xml:space="preserve">Destination Ports of sourceip.png</w:t>
            </w:r>
          </w:p>
        </w:tc>
      </w:tr>
      <w:tr>
        <w:tc>
          <w:tcPr>
            <w:tcW w:type="dxa" w:w="700"/>
            <w:shd w:fill="F2F2F2" w:val="clear"/>
          </w:tcPr>
          <w:p>
            <w:r>
              <w:rPr>
                <w:b w:val="false"/>
                <w:bCs w:val="false"/>
                <w:i w:val="false"/>
                <w:iCs w:val="false"/>
                <w:sz w:val="20"/>
                <w:szCs w:val="20"/>
              </w:rPr>
              <w:t xml:space="preserve">8</w:t>
            </w:r>
          </w:p>
        </w:tc>
        <w:tc>
          <w:tcPr>
            <w:tcW w:type="dxa" w:w="8650"/>
            <w:shd w:fill="F2F2F2" w:val="clear"/>
          </w:tcPr>
          <w:p>
            <w:r>
              <w:rPr>
                <w:b w:val="false"/>
                <w:bCs w:val="false"/>
                <w:i w:val="false"/>
                <w:iCs w:val="false"/>
                <w:sz w:val="20"/>
                <w:szCs w:val="20"/>
              </w:rPr>
              <w:t xml:space="preserve">Detailed Enum4Linux.png</w:t>
            </w:r>
          </w:p>
        </w:tc>
      </w:tr>
      <w:tr>
        <w:tc>
          <w:tcPr>
            <w:tcW w:type="dxa" w:w="700"/>
          </w:tcPr>
          <w:p>
            <w:r>
              <w:rPr>
                <w:b w:val="false"/>
                <w:bCs w:val="false"/>
                <w:i w:val="false"/>
                <w:iCs w:val="false"/>
                <w:sz w:val="20"/>
                <w:szCs w:val="20"/>
              </w:rPr>
              <w:t xml:space="preserve">9</w:t>
            </w:r>
          </w:p>
        </w:tc>
        <w:tc>
          <w:tcPr>
            <w:tcW w:type="dxa" w:w="8650"/>
          </w:tcPr>
          <w:p>
            <w:r>
              <w:rPr>
                <w:b w:val="false"/>
                <w:bCs w:val="false"/>
                <w:i w:val="false"/>
                <w:iCs w:val="false"/>
                <w:sz w:val="20"/>
                <w:szCs w:val="20"/>
              </w:rPr>
              <w:t xml:space="preserve">Directions.png</w:t>
            </w:r>
          </w:p>
        </w:tc>
      </w:tr>
      <w:tr>
        <w:tc>
          <w:tcPr>
            <w:tcW w:type="dxa" w:w="700"/>
            <w:shd w:fill="F2F2F2" w:val="clear"/>
          </w:tcPr>
          <w:p>
            <w:r>
              <w:rPr>
                <w:b w:val="false"/>
                <w:bCs w:val="false"/>
                <w:i w:val="false"/>
                <w:iCs w:val="false"/>
                <w:sz w:val="20"/>
                <w:szCs w:val="20"/>
              </w:rPr>
              <w:t xml:space="preserve">10</w:t>
            </w:r>
          </w:p>
        </w:tc>
        <w:tc>
          <w:tcPr>
            <w:tcW w:type="dxa" w:w="8650"/>
            <w:shd w:fill="F2F2F2" w:val="clear"/>
          </w:tcPr>
          <w:p>
            <w:r>
              <w:rPr>
                <w:b w:val="false"/>
                <w:bCs w:val="false"/>
                <w:i w:val="false"/>
                <w:iCs w:val="false"/>
                <w:sz w:val="20"/>
                <w:szCs w:val="20"/>
              </w:rPr>
              <w:t xml:space="preserve">enum4linux (from Kali).png</w:t>
            </w:r>
          </w:p>
        </w:tc>
      </w:tr>
      <w:tr>
        <w:tc>
          <w:tcPr>
            <w:tcW w:type="dxa" w:w="700"/>
          </w:tcPr>
          <w:p>
            <w:r>
              <w:rPr>
                <w:b w:val="false"/>
                <w:bCs w:val="false"/>
                <w:i w:val="false"/>
                <w:iCs w:val="false"/>
                <w:sz w:val="20"/>
                <w:szCs w:val="20"/>
              </w:rPr>
              <w:t xml:space="preserve">11</w:t>
            </w:r>
          </w:p>
        </w:tc>
        <w:tc>
          <w:tcPr>
            <w:tcW w:type="dxa" w:w="8650"/>
          </w:tcPr>
          <w:p>
            <w:r>
              <w:rPr>
                <w:b w:val="false"/>
                <w:bCs w:val="false"/>
                <w:i w:val="false"/>
                <w:iCs w:val="false"/>
                <w:sz w:val="20"/>
                <w:szCs w:val="20"/>
              </w:rPr>
              <w:t xml:space="preserve">enum4linux detection (T1135, T1087.002).png</w:t>
            </w:r>
          </w:p>
        </w:tc>
      </w:tr>
      <w:tr>
        <w:tc>
          <w:tcPr>
            <w:tcW w:type="dxa" w:w="700"/>
            <w:shd w:fill="F2F2F2" w:val="clear"/>
          </w:tcPr>
          <w:p>
            <w:r>
              <w:rPr>
                <w:b w:val="false"/>
                <w:bCs w:val="false"/>
                <w:i w:val="false"/>
                <w:iCs w:val="false"/>
                <w:sz w:val="20"/>
                <w:szCs w:val="20"/>
              </w:rPr>
              <w:t xml:space="preserve">12</w:t>
            </w:r>
          </w:p>
        </w:tc>
        <w:tc>
          <w:tcPr>
            <w:tcW w:type="dxa" w:w="8650"/>
            <w:shd w:fill="F2F2F2" w:val="clear"/>
          </w:tcPr>
          <w:p>
            <w:r>
              <w:rPr>
                <w:b w:val="false"/>
                <w:bCs w:val="false"/>
                <w:i w:val="false"/>
                <w:iCs w:val="false"/>
                <w:sz w:val="20"/>
                <w:szCs w:val="20"/>
              </w:rPr>
              <w:t xml:space="preserve">Event counts.png</w:t>
            </w:r>
          </w:p>
        </w:tc>
      </w:tr>
      <w:tr>
        <w:tc>
          <w:tcPr>
            <w:tcW w:type="dxa" w:w="700"/>
          </w:tcPr>
          <w:p>
            <w:r>
              <w:rPr>
                <w:b w:val="false"/>
                <w:bCs w:val="false"/>
                <w:i w:val="false"/>
                <w:iCs w:val="false"/>
                <w:sz w:val="20"/>
                <w:szCs w:val="20"/>
              </w:rPr>
              <w:t xml:space="preserve">13</w:t>
            </w:r>
          </w:p>
        </w:tc>
        <w:tc>
          <w:tcPr>
            <w:tcW w:type="dxa" w:w="8650"/>
          </w:tcPr>
          <w:p>
            <w:r>
              <w:rPr>
                <w:b w:val="false"/>
                <w:bCs w:val="false"/>
                <w:i w:val="false"/>
                <w:iCs w:val="false"/>
                <w:sz w:val="20"/>
                <w:szCs w:val="20"/>
              </w:rPr>
              <w:t xml:space="preserve">Event Properties of Malware.png</w:t>
            </w:r>
          </w:p>
        </w:tc>
      </w:tr>
      <w:tr>
        <w:tc>
          <w:tcPr>
            <w:tcW w:type="dxa" w:w="700"/>
            <w:shd w:fill="F2F2F2" w:val="clear"/>
          </w:tcPr>
          <w:p>
            <w:r>
              <w:rPr>
                <w:b w:val="false"/>
                <w:bCs w:val="false"/>
                <w:i w:val="false"/>
                <w:iCs w:val="false"/>
                <w:sz w:val="20"/>
                <w:szCs w:val="20"/>
              </w:rPr>
              <w:t xml:space="preserve">14</w:t>
            </w:r>
          </w:p>
        </w:tc>
        <w:tc>
          <w:tcPr>
            <w:tcW w:type="dxa" w:w="8650"/>
            <w:shd w:fill="F2F2F2" w:val="clear"/>
          </w:tcPr>
          <w:p>
            <w:r>
              <w:rPr>
                <w:b w:val="false"/>
                <w:bCs w:val="false"/>
                <w:i w:val="false"/>
                <w:iCs w:val="false"/>
                <w:sz w:val="20"/>
                <w:szCs w:val="20"/>
              </w:rPr>
              <w:t xml:space="preserve">EventCounts Per Hour.png</w:t>
            </w:r>
          </w:p>
        </w:tc>
      </w:tr>
      <w:tr>
        <w:tc>
          <w:tcPr>
            <w:tcW w:type="dxa" w:w="700"/>
          </w:tcPr>
          <w:p>
            <w:r>
              <w:rPr>
                <w:b w:val="false"/>
                <w:bCs w:val="false"/>
                <w:i w:val="false"/>
                <w:iCs w:val="false"/>
                <w:sz w:val="20"/>
                <w:szCs w:val="20"/>
              </w:rPr>
              <w:t xml:space="preserve">15</w:t>
            </w:r>
          </w:p>
        </w:tc>
        <w:tc>
          <w:tcPr>
            <w:tcW w:type="dxa" w:w="8650"/>
          </w:tcPr>
          <w:p>
            <w:r>
              <w:rPr>
                <w:b w:val="false"/>
                <w:bCs w:val="false"/>
                <w:i w:val="false"/>
                <w:iCs w:val="false"/>
                <w:sz w:val="20"/>
                <w:szCs w:val="20"/>
              </w:rPr>
              <w:t xml:space="preserve">Hunt query Authentication Failure.png</w:t>
            </w:r>
          </w:p>
        </w:tc>
      </w:tr>
      <w:tr>
        <w:tc>
          <w:tcPr>
            <w:tcW w:type="dxa" w:w="700"/>
            <w:shd w:fill="F2F2F2" w:val="clear"/>
          </w:tcPr>
          <w:p>
            <w:r>
              <w:rPr>
                <w:b w:val="false"/>
                <w:bCs w:val="false"/>
                <w:i w:val="false"/>
                <w:iCs w:val="false"/>
                <w:sz w:val="20"/>
                <w:szCs w:val="20"/>
              </w:rPr>
              <w:t xml:space="preserve">16</w:t>
            </w:r>
          </w:p>
        </w:tc>
        <w:tc>
          <w:tcPr>
            <w:tcW w:type="dxa" w:w="8650"/>
            <w:shd w:fill="F2F2F2" w:val="clear"/>
          </w:tcPr>
          <w:p>
            <w:r>
              <w:rPr>
                <w:b w:val="false"/>
                <w:bCs w:val="false"/>
                <w:i w:val="false"/>
                <w:iCs w:val="false"/>
                <w:sz w:val="20"/>
                <w:szCs w:val="20"/>
              </w:rPr>
              <w:t xml:space="preserve">Hydra brute-force (from Kali).png</w:t>
            </w:r>
          </w:p>
        </w:tc>
      </w:tr>
      <w:tr>
        <w:tc>
          <w:tcPr>
            <w:tcW w:type="dxa" w:w="700"/>
          </w:tcPr>
          <w:p>
            <w:r>
              <w:rPr>
                <w:b w:val="false"/>
                <w:bCs w:val="false"/>
                <w:i w:val="false"/>
                <w:iCs w:val="false"/>
                <w:sz w:val="20"/>
                <w:szCs w:val="20"/>
              </w:rPr>
              <w:t xml:space="preserve">17</w:t>
            </w:r>
          </w:p>
        </w:tc>
        <w:tc>
          <w:tcPr>
            <w:tcW w:type="dxa" w:w="8650"/>
          </w:tcPr>
          <w:p>
            <w:r>
              <w:rPr>
                <w:b w:val="false"/>
                <w:bCs w:val="false"/>
                <w:i w:val="false"/>
                <w:iCs w:val="false"/>
                <w:sz w:val="20"/>
                <w:szCs w:val="20"/>
              </w:rPr>
              <w:t xml:space="preserve">Inbound and Outbound Directions.png</w:t>
            </w:r>
          </w:p>
        </w:tc>
      </w:tr>
      <w:tr>
        <w:tc>
          <w:tcPr>
            <w:tcW w:type="dxa" w:w="700"/>
            <w:shd w:fill="F2F2F2" w:val="clear"/>
          </w:tcPr>
          <w:p>
            <w:r>
              <w:rPr>
                <w:b w:val="false"/>
                <w:bCs w:val="false"/>
                <w:i w:val="false"/>
                <w:iCs w:val="false"/>
                <w:sz w:val="20"/>
                <w:szCs w:val="20"/>
              </w:rPr>
              <w:t xml:space="preserve">18</w:t>
            </w:r>
          </w:p>
        </w:tc>
        <w:tc>
          <w:tcPr>
            <w:tcW w:type="dxa" w:w="8650"/>
            <w:shd w:fill="F2F2F2" w:val="clear"/>
          </w:tcPr>
          <w:p>
            <w:r>
              <w:rPr>
                <w:b w:val="false"/>
                <w:bCs w:val="false"/>
                <w:i w:val="false"/>
                <w:iCs w:val="false"/>
                <w:sz w:val="20"/>
                <w:szCs w:val="20"/>
              </w:rPr>
              <w:t xml:space="preserve">Malware in Splunk by sysmon reference.png</w:t>
            </w:r>
          </w:p>
        </w:tc>
      </w:tr>
      <w:tr>
        <w:tc>
          <w:tcPr>
            <w:tcW w:type="dxa" w:w="700"/>
          </w:tcPr>
          <w:p>
            <w:r>
              <w:rPr>
                <w:b w:val="false"/>
                <w:bCs w:val="false"/>
                <w:i w:val="false"/>
                <w:iCs w:val="false"/>
                <w:sz w:val="20"/>
                <w:szCs w:val="20"/>
              </w:rPr>
              <w:t xml:space="preserve">19</w:t>
            </w:r>
          </w:p>
        </w:tc>
        <w:tc>
          <w:tcPr>
            <w:tcW w:type="dxa" w:w="8650"/>
          </w:tcPr>
          <w:p>
            <w:r>
              <w:rPr>
                <w:b w:val="false"/>
                <w:bCs w:val="false"/>
                <w:i w:val="false"/>
                <w:iCs w:val="false"/>
                <w:sz w:val="20"/>
                <w:szCs w:val="20"/>
              </w:rPr>
              <w:t xml:space="preserve">Nmap detection (T1046).png</w:t>
            </w:r>
          </w:p>
        </w:tc>
      </w:tr>
      <w:tr>
        <w:tc>
          <w:tcPr>
            <w:tcW w:type="dxa" w:w="700"/>
            <w:shd w:fill="F2F2F2" w:val="clear"/>
          </w:tcPr>
          <w:p>
            <w:r>
              <w:rPr>
                <w:b w:val="false"/>
                <w:bCs w:val="false"/>
                <w:i w:val="false"/>
                <w:iCs w:val="false"/>
                <w:sz w:val="20"/>
                <w:szCs w:val="20"/>
              </w:rPr>
              <w:t xml:space="preserve">20</w:t>
            </w:r>
          </w:p>
        </w:tc>
        <w:tc>
          <w:tcPr>
            <w:tcW w:type="dxa" w:w="8650"/>
            <w:shd w:fill="F2F2F2" w:val="clear"/>
          </w:tcPr>
          <w:p>
            <w:r>
              <w:rPr>
                <w:b w:val="false"/>
                <w:bCs w:val="false"/>
                <w:i w:val="false"/>
                <w:iCs w:val="false"/>
                <w:sz w:val="20"/>
                <w:szCs w:val="20"/>
              </w:rPr>
              <w:t xml:space="preserve">Nmap scan (from Kali).png</w:t>
            </w:r>
          </w:p>
        </w:tc>
      </w:tr>
      <w:tr>
        <w:tc>
          <w:tcPr>
            <w:tcW w:type="dxa" w:w="700"/>
          </w:tcPr>
          <w:p>
            <w:r>
              <w:rPr>
                <w:b w:val="false"/>
                <w:bCs w:val="false"/>
                <w:i w:val="false"/>
                <w:iCs w:val="false"/>
                <w:sz w:val="20"/>
                <w:szCs w:val="20"/>
              </w:rPr>
              <w:t xml:space="preserve">21</w:t>
            </w:r>
          </w:p>
        </w:tc>
        <w:tc>
          <w:tcPr>
            <w:tcW w:type="dxa" w:w="8650"/>
          </w:tcPr>
          <w:p>
            <w:r>
              <w:rPr>
                <w:b w:val="false"/>
                <w:bCs w:val="false"/>
                <w:i w:val="false"/>
                <w:iCs w:val="false"/>
                <w:sz w:val="20"/>
                <w:szCs w:val="20"/>
              </w:rPr>
              <w:t xml:space="preserve">Nmap scan hits over time.png</w:t>
            </w:r>
          </w:p>
        </w:tc>
      </w:tr>
      <w:tr>
        <w:tc>
          <w:tcPr>
            <w:tcW w:type="dxa" w:w="700"/>
            <w:shd w:fill="F2F2F2" w:val="clear"/>
          </w:tcPr>
          <w:p>
            <w:r>
              <w:rPr>
                <w:b w:val="false"/>
                <w:bCs w:val="false"/>
                <w:i w:val="false"/>
                <w:iCs w:val="false"/>
                <w:sz w:val="20"/>
                <w:szCs w:val="20"/>
              </w:rPr>
              <w:t xml:space="preserve">22</w:t>
            </w:r>
          </w:p>
        </w:tc>
        <w:tc>
          <w:tcPr>
            <w:tcW w:type="dxa" w:w="8650"/>
            <w:shd w:fill="F2F2F2" w:val="clear"/>
          </w:tcPr>
          <w:p>
            <w:r>
              <w:rPr>
                <w:b w:val="false"/>
                <w:bCs w:val="false"/>
                <w:i w:val="false"/>
                <w:iCs w:val="false"/>
                <w:sz w:val="20"/>
                <w:szCs w:val="20"/>
              </w:rPr>
              <w:t xml:space="preserve">No of sourcetypes in Splunk.png</w:t>
            </w:r>
          </w:p>
        </w:tc>
      </w:tr>
      <w:tr>
        <w:tc>
          <w:tcPr>
            <w:tcW w:type="dxa" w:w="700"/>
          </w:tcPr>
          <w:p>
            <w:r>
              <w:rPr>
                <w:b w:val="false"/>
                <w:bCs w:val="false"/>
                <w:i w:val="false"/>
                <w:iCs w:val="false"/>
                <w:sz w:val="20"/>
                <w:szCs w:val="20"/>
              </w:rPr>
              <w:t xml:space="preserve">23</w:t>
            </w:r>
          </w:p>
        </w:tc>
        <w:tc>
          <w:tcPr>
            <w:tcW w:type="dxa" w:w="8650"/>
          </w:tcPr>
          <w:p>
            <w:r>
              <w:rPr>
                <w:b w:val="false"/>
                <w:bCs w:val="false"/>
                <w:i w:val="false"/>
                <w:iCs w:val="false"/>
                <w:sz w:val="20"/>
                <w:szCs w:val="20"/>
              </w:rPr>
              <w:t xml:space="preserve">Query of Failed Logon.png</w:t>
            </w:r>
          </w:p>
        </w:tc>
      </w:tr>
      <w:tr>
        <w:tc>
          <w:tcPr>
            <w:tcW w:type="dxa" w:w="700"/>
            <w:shd w:fill="F2F2F2" w:val="clear"/>
          </w:tcPr>
          <w:p>
            <w:r>
              <w:rPr>
                <w:b w:val="false"/>
                <w:bCs w:val="false"/>
                <w:i w:val="false"/>
                <w:iCs w:val="false"/>
                <w:sz w:val="20"/>
                <w:szCs w:val="20"/>
              </w:rPr>
              <w:t xml:space="preserve">24</w:t>
            </w:r>
          </w:p>
        </w:tc>
        <w:tc>
          <w:tcPr>
            <w:tcW w:type="dxa" w:w="8650"/>
            <w:shd w:fill="F2F2F2" w:val="clear"/>
          </w:tcPr>
          <w:p>
            <w:r>
              <w:rPr>
                <w:b w:val="false"/>
                <w:bCs w:val="false"/>
                <w:i w:val="false"/>
                <w:iCs w:val="false"/>
                <w:sz w:val="20"/>
                <w:szCs w:val="20"/>
              </w:rPr>
              <w:t xml:space="preserve">Reason for Failure in WinEventLog.png</w:t>
            </w:r>
          </w:p>
        </w:tc>
      </w:tr>
      <w:tr>
        <w:tc>
          <w:tcPr>
            <w:tcW w:type="dxa" w:w="700"/>
          </w:tcPr>
          <w:p>
            <w:r>
              <w:rPr>
                <w:b w:val="false"/>
                <w:bCs w:val="false"/>
                <w:i w:val="false"/>
                <w:iCs w:val="false"/>
                <w:sz w:val="20"/>
                <w:szCs w:val="20"/>
              </w:rPr>
              <w:t xml:space="preserve">25</w:t>
            </w:r>
          </w:p>
        </w:tc>
        <w:tc>
          <w:tcPr>
            <w:tcW w:type="dxa" w:w="8650"/>
          </w:tcPr>
          <w:p>
            <w:r>
              <w:rPr>
                <w:b w:val="false"/>
                <w:bCs w:val="false"/>
                <w:i w:val="false"/>
                <w:iCs w:val="false"/>
                <w:sz w:val="20"/>
                <w:szCs w:val="20"/>
              </w:rPr>
              <w:t xml:space="preserve">Report for Brute Force.png</w:t>
            </w:r>
          </w:p>
        </w:tc>
      </w:tr>
      <w:tr>
        <w:tc>
          <w:tcPr>
            <w:tcW w:type="dxa" w:w="700"/>
            <w:shd w:fill="F2F2F2" w:val="clear"/>
          </w:tcPr>
          <w:p>
            <w:r>
              <w:rPr>
                <w:b w:val="false"/>
                <w:bCs w:val="false"/>
                <w:i w:val="false"/>
                <w:iCs w:val="false"/>
                <w:sz w:val="20"/>
                <w:szCs w:val="20"/>
              </w:rPr>
              <w:t xml:space="preserve">26</w:t>
            </w:r>
          </w:p>
        </w:tc>
        <w:tc>
          <w:tcPr>
            <w:tcW w:type="dxa" w:w="8650"/>
            <w:shd w:fill="F2F2F2" w:val="clear"/>
          </w:tcPr>
          <w:p>
            <w:r>
              <w:rPr>
                <w:b w:val="false"/>
                <w:bCs w:val="false"/>
                <w:i w:val="false"/>
                <w:iCs w:val="false"/>
                <w:sz w:val="20"/>
                <w:szCs w:val="20"/>
              </w:rPr>
              <w:t xml:space="preserve">Report for Enum4linux.png</w:t>
            </w:r>
          </w:p>
        </w:tc>
      </w:tr>
      <w:tr>
        <w:tc>
          <w:tcPr>
            <w:tcW w:type="dxa" w:w="700"/>
          </w:tcPr>
          <w:p>
            <w:r>
              <w:rPr>
                <w:b w:val="false"/>
                <w:bCs w:val="false"/>
                <w:i w:val="false"/>
                <w:iCs w:val="false"/>
                <w:sz w:val="20"/>
                <w:szCs w:val="20"/>
              </w:rPr>
              <w:t xml:space="preserve">27</w:t>
            </w:r>
          </w:p>
        </w:tc>
        <w:tc>
          <w:tcPr>
            <w:tcW w:type="dxa" w:w="8650"/>
          </w:tcPr>
          <w:p>
            <w:r>
              <w:rPr>
                <w:b w:val="false"/>
                <w:bCs w:val="false"/>
                <w:i w:val="false"/>
                <w:iCs w:val="false"/>
                <w:sz w:val="20"/>
                <w:szCs w:val="20"/>
              </w:rPr>
              <w:t xml:space="preserve">Report of Logon Activity MIDNIGHT 5AM.png</w:t>
            </w:r>
          </w:p>
        </w:tc>
      </w:tr>
      <w:tr>
        <w:tc>
          <w:tcPr>
            <w:tcW w:type="dxa" w:w="700"/>
            <w:shd w:fill="F2F2F2" w:val="clear"/>
          </w:tcPr>
          <w:p>
            <w:r>
              <w:rPr>
                <w:b w:val="false"/>
                <w:bCs w:val="false"/>
                <w:i w:val="false"/>
                <w:iCs w:val="false"/>
                <w:sz w:val="20"/>
                <w:szCs w:val="20"/>
              </w:rPr>
              <w:t xml:space="preserve">28</w:t>
            </w:r>
          </w:p>
        </w:tc>
        <w:tc>
          <w:tcPr>
            <w:tcW w:type="dxa" w:w="8650"/>
            <w:shd w:fill="F2F2F2" w:val="clear"/>
          </w:tcPr>
          <w:p>
            <w:r>
              <w:rPr>
                <w:b w:val="false"/>
                <w:bCs w:val="false"/>
                <w:i w:val="false"/>
                <w:iCs w:val="false"/>
                <w:sz w:val="20"/>
                <w:szCs w:val="20"/>
              </w:rPr>
              <w:t xml:space="preserve">Report of Nmap Detection.png</w:t>
            </w:r>
          </w:p>
        </w:tc>
      </w:tr>
      <w:tr>
        <w:tc>
          <w:tcPr>
            <w:tcW w:type="dxa" w:w="700"/>
          </w:tcPr>
          <w:p>
            <w:r>
              <w:rPr>
                <w:b w:val="false"/>
                <w:bCs w:val="false"/>
                <w:i w:val="false"/>
                <w:iCs w:val="false"/>
                <w:sz w:val="20"/>
                <w:szCs w:val="20"/>
              </w:rPr>
              <w:t xml:space="preserve">29</w:t>
            </w:r>
          </w:p>
        </w:tc>
        <w:tc>
          <w:tcPr>
            <w:tcW w:type="dxa" w:w="8650"/>
          </w:tcPr>
          <w:p>
            <w:r>
              <w:rPr>
                <w:b w:val="false"/>
                <w:bCs w:val="false"/>
                <w:i w:val="false"/>
                <w:iCs w:val="false"/>
                <w:sz w:val="20"/>
                <w:szCs w:val="20"/>
              </w:rPr>
              <w:t xml:space="preserve">Screenshot 2026-07-03 102643.png</w:t>
            </w:r>
          </w:p>
        </w:tc>
      </w:tr>
      <w:tr>
        <w:tc>
          <w:tcPr>
            <w:tcW w:type="dxa" w:w="700"/>
            <w:shd w:fill="F2F2F2" w:val="clear"/>
          </w:tcPr>
          <w:p>
            <w:r>
              <w:rPr>
                <w:b w:val="false"/>
                <w:bCs w:val="false"/>
                <w:i w:val="false"/>
                <w:iCs w:val="false"/>
                <w:sz w:val="20"/>
                <w:szCs w:val="20"/>
              </w:rPr>
              <w:t xml:space="preserve">30</w:t>
            </w:r>
          </w:p>
        </w:tc>
        <w:tc>
          <w:tcPr>
            <w:tcW w:type="dxa" w:w="8650"/>
            <w:shd w:fill="F2F2F2" w:val="clear"/>
          </w:tcPr>
          <w:p>
            <w:r>
              <w:rPr>
                <w:b w:val="false"/>
                <w:bCs w:val="false"/>
                <w:i w:val="false"/>
                <w:iCs w:val="false"/>
                <w:sz w:val="20"/>
                <w:szCs w:val="20"/>
              </w:rPr>
              <w:t xml:space="preserve">Screenshot 2026-07-04 122559.png</w:t>
            </w:r>
          </w:p>
        </w:tc>
      </w:tr>
      <w:tr>
        <w:tc>
          <w:tcPr>
            <w:tcW w:type="dxa" w:w="700"/>
          </w:tcPr>
          <w:p>
            <w:r>
              <w:rPr>
                <w:b w:val="false"/>
                <w:bCs w:val="false"/>
                <w:i w:val="false"/>
                <w:iCs w:val="false"/>
                <w:sz w:val="20"/>
                <w:szCs w:val="20"/>
              </w:rPr>
              <w:t xml:space="preserve">31</w:t>
            </w:r>
          </w:p>
        </w:tc>
        <w:tc>
          <w:tcPr>
            <w:tcW w:type="dxa" w:w="8650"/>
          </w:tcPr>
          <w:p>
            <w:r>
              <w:rPr>
                <w:b w:val="false"/>
                <w:bCs w:val="false"/>
                <w:i w:val="false"/>
                <w:iCs w:val="false"/>
                <w:sz w:val="20"/>
                <w:szCs w:val="20"/>
              </w:rPr>
              <w:t xml:space="preserve">Splunk Forwarder Service.png</w:t>
            </w:r>
          </w:p>
        </w:tc>
      </w:tr>
      <w:tr>
        <w:tc>
          <w:tcPr>
            <w:tcW w:type="dxa" w:w="700"/>
            <w:shd w:fill="F2F2F2" w:val="clear"/>
          </w:tcPr>
          <w:p>
            <w:r>
              <w:rPr>
                <w:b w:val="false"/>
                <w:bCs w:val="false"/>
                <w:i w:val="false"/>
                <w:iCs w:val="false"/>
                <w:sz w:val="20"/>
                <w:szCs w:val="20"/>
              </w:rPr>
              <w:t xml:space="preserve">32</w:t>
            </w:r>
          </w:p>
        </w:tc>
        <w:tc>
          <w:tcPr>
            <w:tcW w:type="dxa" w:w="8650"/>
            <w:shd w:fill="F2F2F2" w:val="clear"/>
          </w:tcPr>
          <w:p>
            <w:r>
              <w:rPr>
                <w:b w:val="false"/>
                <w:bCs w:val="false"/>
                <w:i w:val="false"/>
                <w:iCs w:val="false"/>
                <w:sz w:val="20"/>
                <w:szCs w:val="20"/>
              </w:rPr>
              <w:t xml:space="preserve">Sysmon Details.png</w:t>
            </w:r>
          </w:p>
        </w:tc>
      </w:tr>
      <w:tr>
        <w:tc>
          <w:tcPr>
            <w:tcW w:type="dxa" w:w="700"/>
          </w:tcPr>
          <w:p>
            <w:r>
              <w:rPr>
                <w:b w:val="false"/>
                <w:bCs w:val="false"/>
                <w:i w:val="false"/>
                <w:iCs w:val="false"/>
                <w:sz w:val="20"/>
                <w:szCs w:val="20"/>
              </w:rPr>
              <w:t xml:space="preserve">33</w:t>
            </w:r>
          </w:p>
        </w:tc>
        <w:tc>
          <w:tcPr>
            <w:tcW w:type="dxa" w:w="8650"/>
          </w:tcPr>
          <w:p>
            <w:r>
              <w:rPr>
                <w:b w:val="false"/>
                <w:bCs w:val="false"/>
                <w:i w:val="false"/>
                <w:iCs w:val="false"/>
                <w:sz w:val="20"/>
                <w:szCs w:val="20"/>
              </w:rPr>
              <w:t xml:space="preserve">Sysmon installed.png</w:t>
            </w:r>
          </w:p>
        </w:tc>
      </w:tr>
      <w:tr>
        <w:tc>
          <w:tcPr>
            <w:tcW w:type="dxa" w:w="700"/>
            <w:shd w:fill="F2F2F2" w:val="clear"/>
          </w:tcPr>
          <w:p>
            <w:r>
              <w:rPr>
                <w:b w:val="false"/>
                <w:bCs w:val="false"/>
                <w:i w:val="false"/>
                <w:iCs w:val="false"/>
                <w:sz w:val="20"/>
                <w:szCs w:val="20"/>
              </w:rPr>
              <w:t xml:space="preserve">34</w:t>
            </w:r>
          </w:p>
        </w:tc>
        <w:tc>
          <w:tcPr>
            <w:tcW w:type="dxa" w:w="8650"/>
            <w:shd w:fill="F2F2F2" w:val="clear"/>
          </w:tcPr>
          <w:p>
            <w:r>
              <w:rPr>
                <w:b w:val="false"/>
                <w:bCs w:val="false"/>
                <w:i w:val="false"/>
                <w:iCs w:val="false"/>
                <w:sz w:val="20"/>
                <w:szCs w:val="20"/>
              </w:rPr>
              <w:t xml:space="preserve">Sysmon Malware Event.png</w:t>
            </w:r>
          </w:p>
        </w:tc>
      </w:tr>
      <w:tr>
        <w:tc>
          <w:tcPr>
            <w:tcW w:type="dxa" w:w="700"/>
          </w:tcPr>
          <w:p>
            <w:r>
              <w:rPr>
                <w:b w:val="false"/>
                <w:bCs w:val="false"/>
                <w:i w:val="false"/>
                <w:iCs w:val="false"/>
                <w:sz w:val="20"/>
                <w:szCs w:val="20"/>
              </w:rPr>
              <w:t xml:space="preserve">35</w:t>
            </w:r>
          </w:p>
        </w:tc>
        <w:tc>
          <w:tcPr>
            <w:tcW w:type="dxa" w:w="8650"/>
          </w:tcPr>
          <w:p>
            <w:r>
              <w:rPr>
                <w:b w:val="false"/>
                <w:bCs w:val="false"/>
                <w:i w:val="false"/>
                <w:iCs w:val="false"/>
                <w:sz w:val="20"/>
                <w:szCs w:val="20"/>
              </w:rPr>
              <w:t xml:space="preserve">Unique Ports.png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SOC Analyst Home Lab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2026-07-04T14:15:54.505Z</dcterms:created>
  <dcterms:modified xsi:type="dcterms:W3CDTF">2026-07-04T14:15:54.518Z</dcterms:modified>
</cp:coreProperties>
</file>

<file path=docProps/custom.xml><?xml version="1.0" encoding="utf-8"?>
<Properties xmlns="http://schemas.openxmlformats.org/officeDocument/2006/custom-properties" xmlns:vt="http://schemas.openxmlformats.org/officeDocument/2006/docPropsVTypes"/>
</file>