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595959"/>
          <w:sz w:val="24"/>
          <w:szCs w:val="24"/>
        </w:rPr>
        <w:t xml:space="preserve">SIH26024</w:t>
      </w:r>
    </w:p>
    <w:p>
      <w:pPr>
        <w:spacing w:after="100" w:before="100"/>
        <w:jc w:val="center"/>
      </w:pPr>
      <w:r>
        <w:rPr>
          <w:i/>
          <w:iCs/>
          <w:color w:val="595959"/>
          <w:sz w:val="22"/>
          <w:szCs w:val="22"/>
        </w:rPr>
        <w:t xml:space="preserve">AI-Based Smart Governance and Compliance Monitoring System for Coal Mines</w:t>
      </w:r>
    </w:p>
    <w:p>
      <w:pPr>
        <w:spacing w:before="400"/>
        <w:jc w:val="center"/>
      </w:pPr>
      <w:r>
        <w:rPr>
          <w:b/>
          <w:bCs/>
          <w:color w:val="1F3864"/>
          <w:sz w:val="56"/>
          <w:szCs w:val="56"/>
        </w:rPr>
        <w:t xml:space="preserve">AI MineGuard</w:t>
      </w:r>
    </w:p>
    <w:p>
      <w:pPr>
        <w:spacing w:after="600" w:before="120"/>
        <w:jc w:val="center"/>
      </w:pPr>
      <w:r>
        <w:rPr>
          <w:b/>
          <w:bCs/>
          <w:color w:val="2E5395"/>
          <w:sz w:val="26"/>
          <w:szCs w:val="26"/>
        </w:rPr>
        <w:t xml:space="preserve">Intelligent Mine Governance, Safety &amp; Compliance Operating System</w:t>
      </w:r>
    </w:p>
    <w:p>
      <w:pPr>
        <w:spacing w:before="800"/>
        <w:jc w:val="center"/>
      </w:pPr>
      <w:r>
        <w:rPr>
          <w:b/>
          <w:bCs/>
          <w:sz w:val="24"/>
          <w:szCs w:val="24"/>
        </w:rPr>
        <w:t xml:space="preserve">Proposed Solution Document</w:t>
      </w:r>
    </w:p>
    <w:p>
      <w:pPr>
        <w:spacing w:before="100"/>
        <w:jc w:val="center"/>
      </w:pPr>
      <w:r>
        <w:rPr>
          <w:color w:val="595959"/>
          <w:sz w:val="21"/>
          <w:szCs w:val="21"/>
        </w:rPr>
        <w:t xml:space="preserve">Smart India Hackathon 2026</w:t>
      </w:r>
    </w:p>
    <w:p>
      <w:pPr>
        <w:spacing w:before="60"/>
        <w:jc w:val="center"/>
      </w:pPr>
      <w:r>
        <w:rPr>
          <w:color w:val="595959"/>
          <w:sz w:val="21"/>
          <w:szCs w:val="21"/>
        </w:rPr>
        <w:t xml:space="preserve">September 2026</w:t>
      </w:r>
    </w:p>
    <w:p>
      <w:r>
        <w:br w:type="page"/>
      </w:r>
    </w:p>
    <w:p>
      <w:pPr>
        <w:pStyle w:val="Heading1"/>
        <w:pBdr>
          <w:bottom w:val="single" w:color="1F3864" w:sz="8" w:space="4"/>
        </w:pBdr>
        <w:spacing w:after="160" w:before="360"/>
      </w:pPr>
      <w:r>
        <w:rPr>
          <w:b/>
          <w:bCs/>
          <w:color w:val="1F3864"/>
          <w:sz w:val="30"/>
          <w:szCs w:val="30"/>
        </w:rPr>
        <w:t xml:space="preserve">1. Problem Statement Snapshot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rPr>
          <w:tblHeader/>
        </w:trPr>
        <w:tc>
          <w:tcPr>
            <w:tcW w:type="dxa" w:w="2400"/>
            <w:shd w:fill="1F3864" w:val="clear"/>
            <w:tcMar>
              <w:top w:type="dxa" w:w="80"/>
              <w:left w:type="dxa" w:w="100"/>
              <w:bottom w:type="dxa" w:w="80"/>
              <w:right w:type="dxa" w:w="100"/>
            </w:tcMar>
          </w:tcPr>
          <w:p>
            <w:pPr>
              <w:jc w:val="left"/>
            </w:pPr>
            <w:r>
              <w:rPr>
                <w:b/>
                <w:bCs/>
                <w:color w:val="FFFFFF"/>
                <w:sz w:val="19"/>
                <w:szCs w:val="19"/>
              </w:rPr>
              <w:t xml:space="preserve">Field</w:t>
            </w:r>
          </w:p>
        </w:tc>
        <w:tc>
          <w:tcPr>
            <w:tcW w:type="dxa" w:w="7200"/>
            <w:shd w:fill="1F3864" w:val="clear"/>
            <w:tcMar>
              <w:top w:type="dxa" w:w="80"/>
              <w:left w:type="dxa" w:w="100"/>
              <w:bottom w:type="dxa" w:w="80"/>
              <w:right w:type="dxa" w:w="100"/>
            </w:tcMar>
          </w:tcPr>
          <w:p>
            <w:pPr>
              <w:jc w:val="left"/>
            </w:pPr>
            <w:r>
              <w:rPr>
                <w:b/>
                <w:bCs/>
                <w:color w:val="FFFFFF"/>
                <w:sz w:val="19"/>
                <w:szCs w:val="19"/>
              </w:rPr>
              <w:t xml:space="preserve">Detail</w:t>
            </w:r>
          </w:p>
        </w:tc>
      </w:tr>
      <w:tr>
        <w:tc>
          <w:tcPr>
            <w:tcW w:type="dxa" w:w="2400"/>
            <w:tcMar>
              <w:top w:type="dxa" w:w="80"/>
              <w:left w:type="dxa" w:w="100"/>
              <w:bottom w:type="dxa" w:w="80"/>
              <w:right w:type="dxa" w:w="100"/>
            </w:tcMar>
          </w:tcPr>
          <w:p>
            <w:pPr>
              <w:jc w:val="left"/>
            </w:pPr>
            <w:r>
              <w:rPr>
                <w:b w:val="false"/>
                <w:bCs w:val="false"/>
                <w:sz w:val="19"/>
                <w:szCs w:val="19"/>
              </w:rPr>
              <w:t xml:space="preserve">PS Number</w:t>
            </w:r>
          </w:p>
        </w:tc>
        <w:tc>
          <w:tcPr>
            <w:tcW w:type="dxa" w:w="7200"/>
            <w:tcMar>
              <w:top w:type="dxa" w:w="80"/>
              <w:left w:type="dxa" w:w="100"/>
              <w:bottom w:type="dxa" w:w="80"/>
              <w:right w:type="dxa" w:w="100"/>
            </w:tcMar>
          </w:tcPr>
          <w:p>
            <w:pPr>
              <w:jc w:val="left"/>
            </w:pPr>
            <w:r>
              <w:rPr>
                <w:b w:val="false"/>
                <w:bCs w:val="false"/>
                <w:sz w:val="19"/>
                <w:szCs w:val="19"/>
              </w:rPr>
              <w:t xml:space="preserve">SIH26024</w:t>
            </w:r>
          </w:p>
        </w:tc>
      </w:tr>
      <w:tr>
        <w:tc>
          <w:tcPr>
            <w:tcW w:type="dxa" w:w="2400"/>
            <w:shd w:fill="F2F2F2" w:val="clear"/>
            <w:tcMar>
              <w:top w:type="dxa" w:w="80"/>
              <w:left w:type="dxa" w:w="100"/>
              <w:bottom w:type="dxa" w:w="80"/>
              <w:right w:type="dxa" w:w="100"/>
            </w:tcMar>
          </w:tcPr>
          <w:p>
            <w:pPr>
              <w:jc w:val="left"/>
            </w:pPr>
            <w:r>
              <w:rPr>
                <w:b w:val="false"/>
                <w:bCs w:val="false"/>
                <w:sz w:val="19"/>
                <w:szCs w:val="19"/>
              </w:rPr>
              <w:t xml:space="preserve">Title</w:t>
            </w:r>
          </w:p>
        </w:tc>
        <w:tc>
          <w:tcPr>
            <w:tcW w:type="dxa" w:w="7200"/>
            <w:shd w:fill="F2F2F2" w:val="clear"/>
            <w:tcMar>
              <w:top w:type="dxa" w:w="80"/>
              <w:left w:type="dxa" w:w="100"/>
              <w:bottom w:type="dxa" w:w="80"/>
              <w:right w:type="dxa" w:w="100"/>
            </w:tcMar>
          </w:tcPr>
          <w:p>
            <w:pPr>
              <w:jc w:val="left"/>
            </w:pPr>
            <w:r>
              <w:rPr>
                <w:b w:val="false"/>
                <w:bCs w:val="false"/>
                <w:sz w:val="19"/>
                <w:szCs w:val="19"/>
              </w:rPr>
              <w:t xml:space="preserve">AI-Based Smart Governance and Compliance Monitoring System for Coal Mines</w:t>
            </w:r>
          </w:p>
        </w:tc>
      </w:tr>
      <w:tr>
        <w:tc>
          <w:tcPr>
            <w:tcW w:type="dxa" w:w="2400"/>
            <w:tcMar>
              <w:top w:type="dxa" w:w="80"/>
              <w:left w:type="dxa" w:w="100"/>
              <w:bottom w:type="dxa" w:w="80"/>
              <w:right w:type="dxa" w:w="100"/>
            </w:tcMar>
          </w:tcPr>
          <w:p>
            <w:pPr>
              <w:jc w:val="left"/>
            </w:pPr>
            <w:r>
              <w:rPr>
                <w:b w:val="false"/>
                <w:bCs w:val="false"/>
                <w:sz w:val="19"/>
                <w:szCs w:val="19"/>
              </w:rPr>
              <w:t xml:space="preserve">Users</w:t>
            </w:r>
          </w:p>
        </w:tc>
        <w:tc>
          <w:tcPr>
            <w:tcW w:type="dxa" w:w="7200"/>
            <w:tcMar>
              <w:top w:type="dxa" w:w="80"/>
              <w:left w:type="dxa" w:w="100"/>
              <w:bottom w:type="dxa" w:w="80"/>
              <w:right w:type="dxa" w:w="100"/>
            </w:tcMar>
          </w:tcPr>
          <w:p>
            <w:pPr>
              <w:jc w:val="left"/>
            </w:pPr>
            <w:r>
              <w:rPr>
                <w:b w:val="false"/>
                <w:bCs w:val="false"/>
                <w:sz w:val="19"/>
                <w:szCs w:val="19"/>
              </w:rPr>
              <w:t xml:space="preserve">Mine officials, corporate management, regulatory authorities, safety/environmental/labour officers, contractors, field inspectors, workers</w:t>
            </w:r>
          </w:p>
        </w:tc>
      </w:tr>
    </w:tbl>
    <w:p>
      <w:pPr>
        <w:pStyle w:val="Heading2"/>
        <w:spacing w:after="120" w:before="280"/>
      </w:pPr>
      <w:r>
        <w:rPr>
          <w:b/>
          <w:bCs/>
          <w:color w:val="2E5395"/>
          <w:sz w:val="24"/>
          <w:szCs w:val="24"/>
        </w:rPr>
        <w:t xml:space="preserve">1.1 Background</w:t>
      </w:r>
    </w:p>
    <w:p>
      <w:pPr>
        <w:spacing w:after="140" w:line="300"/>
      </w:pPr>
      <w:r>
        <w:rPr>
          <w:sz w:val="21"/>
          <w:szCs w:val="21"/>
        </w:rPr>
        <w:t xml:space="preserve">Coal mining operations in India span multiple subsidiaries, mine sites, contractors, regulatory bodies, and field offices. Governance activities — statutory compliance monitoring, inspection tracking, safety observations, production reporting, environmental monitoring, worker attendance, contract management, grievance handling, and regulatory reporting — are largely managed through fragmented systems, manual documentation, spreadsheets, and delayed reporting. This produces data inconsistency, delayed decision-making, limited transparency, compliance gaps, duplicated records, weak field-level monitoring, and poor real-time operational visibility.</w:t>
      </w:r>
    </w:p>
    <w:p>
      <w:pPr>
        <w:pStyle w:val="Heading2"/>
        <w:spacing w:after="120" w:before="280"/>
      </w:pPr>
      <w:r>
        <w:rPr>
          <w:b/>
          <w:bCs/>
          <w:color w:val="2E5395"/>
          <w:sz w:val="24"/>
          <w:szCs w:val="24"/>
        </w:rPr>
        <w:t xml:space="preserve">1.2 Core Requirements (as defined in the PS)</w:t>
      </w:r>
    </w:p>
    <w:p>
      <w:pPr>
        <w:pStyle w:val="ListParagraph"/>
        <w:numPr>
          <w:ilvl w:val="0"/>
          <w:numId w:val="2"/>
        </w:numPr>
        <w:spacing w:after="60" w:line="280"/>
      </w:pPr>
      <w:r>
        <w:rPr>
          <w:sz w:val="21"/>
          <w:szCs w:val="21"/>
        </w:rPr>
        <w:t xml:space="preserve">Digitally track statutory compliance requirements related to safety, environment, production, and labour regulations.</w:t>
      </w:r>
    </w:p>
    <w:p>
      <w:pPr>
        <w:pStyle w:val="ListParagraph"/>
        <w:numPr>
          <w:ilvl w:val="0"/>
          <w:numId w:val="2"/>
        </w:numPr>
        <w:spacing w:after="60" w:line="280"/>
      </w:pPr>
      <w:r>
        <w:rPr>
          <w:sz w:val="21"/>
          <w:szCs w:val="21"/>
        </w:rPr>
        <w:t xml:space="preserve">Enable real-time monitoring of inspections, observations, violations, and corrective actions.</w:t>
      </w:r>
    </w:p>
    <w:p>
      <w:pPr>
        <w:pStyle w:val="ListParagraph"/>
        <w:numPr>
          <w:ilvl w:val="0"/>
          <w:numId w:val="2"/>
        </w:numPr>
        <w:spacing w:after="60" w:line="280"/>
      </w:pPr>
      <w:r>
        <w:rPr>
          <w:sz w:val="21"/>
          <w:szCs w:val="21"/>
        </w:rPr>
        <w:t xml:space="preserve">Use AI/analytics to identify high-risk areas, recurring compliance failures, and operational anomalies.</w:t>
      </w:r>
    </w:p>
    <w:p>
      <w:pPr>
        <w:pStyle w:val="ListParagraph"/>
        <w:numPr>
          <w:ilvl w:val="0"/>
          <w:numId w:val="2"/>
        </w:numPr>
        <w:spacing w:after="60" w:line="280"/>
      </w:pPr>
      <w:r>
        <w:rPr>
          <w:sz w:val="21"/>
          <w:szCs w:val="21"/>
        </w:rPr>
        <w:t xml:space="preserve">Provide geo-tagged and time-stamped field reporting through mobile applications.</w:t>
      </w:r>
    </w:p>
    <w:p>
      <w:pPr>
        <w:pStyle w:val="ListParagraph"/>
        <w:numPr>
          <w:ilvl w:val="0"/>
          <w:numId w:val="2"/>
        </w:numPr>
        <w:spacing w:after="60" w:line="280"/>
      </w:pPr>
      <w:r>
        <w:rPr>
          <w:sz w:val="21"/>
          <w:szCs w:val="21"/>
        </w:rPr>
        <w:t xml:space="preserve">Integrate dashboards for mine officials, corporate management, and regulatory authorities.</w:t>
      </w:r>
    </w:p>
    <w:p>
      <w:pPr>
        <w:pStyle w:val="ListParagraph"/>
        <w:numPr>
          <w:ilvl w:val="0"/>
          <w:numId w:val="2"/>
        </w:numPr>
        <w:spacing w:after="60" w:line="280"/>
      </w:pPr>
      <w:r>
        <w:rPr>
          <w:sz w:val="21"/>
          <w:szCs w:val="21"/>
        </w:rPr>
        <w:t xml:space="preserve">Generate automated alerts, reminders, compliance reports, and escalation mechanisms.</w:t>
      </w:r>
    </w:p>
    <w:p>
      <w:pPr>
        <w:pStyle w:val="ListParagraph"/>
        <w:numPr>
          <w:ilvl w:val="0"/>
          <w:numId w:val="2"/>
        </w:numPr>
        <w:spacing w:after="60" w:line="280"/>
      </w:pPr>
      <w:r>
        <w:rPr>
          <w:sz w:val="21"/>
          <w:szCs w:val="21"/>
        </w:rPr>
        <w:t xml:space="preserve">Minimize manual paperwork and improve transparency, accountability, and decision-making.</w:t>
      </w:r>
    </w:p>
    <w:p>
      <w:pPr>
        <w:pStyle w:val="ListParagraph"/>
        <w:numPr>
          <w:ilvl w:val="0"/>
          <w:numId w:val="2"/>
        </w:numPr>
        <w:spacing w:after="60" w:line="280"/>
      </w:pPr>
      <w:r>
        <w:rPr>
          <w:sz w:val="21"/>
          <w:szCs w:val="21"/>
        </w:rPr>
        <w:t xml:space="preserve">Be scalable for deployment across multiple mines and subsidiaries.</w:t>
      </w:r>
    </w:p>
    <w:p>
      <w:pPr>
        <w:pStyle w:val="ListParagraph"/>
        <w:numPr>
          <w:ilvl w:val="0"/>
          <w:numId w:val="2"/>
        </w:numPr>
        <w:spacing w:after="60" w:line="280"/>
      </w:pPr>
      <w:r>
        <w:rPr>
          <w:sz w:val="21"/>
          <w:szCs w:val="21"/>
        </w:rPr>
        <w:t xml:space="preserve">Optional technology building blocks named in the PS: AI/ML, mobile applications, GIS mapping, OCR/document digitization, workflow automation, blockchain-based audit trails, and multilingual conversational interfaces.</w:t>
      </w:r>
    </w:p>
    <w:p>
      <w:pPr>
        <w:pStyle w:val="Heading2"/>
        <w:spacing w:after="120" w:before="280"/>
      </w:pPr>
      <w:r>
        <w:rPr>
          <w:b/>
          <w:bCs/>
          <w:color w:val="2E5395"/>
          <w:sz w:val="24"/>
          <w:szCs w:val="24"/>
        </w:rPr>
        <w:t xml:space="preserve">1.3 Expected Outcomes (as defined in the PS)</w:t>
      </w:r>
    </w:p>
    <w:p>
      <w:pPr>
        <w:pStyle w:val="ListParagraph"/>
        <w:numPr>
          <w:ilvl w:val="0"/>
          <w:numId w:val="2"/>
        </w:numPr>
        <w:spacing w:after="60" w:line="280"/>
      </w:pPr>
      <w:r>
        <w:rPr>
          <w:sz w:val="21"/>
          <w:szCs w:val="21"/>
        </w:rPr>
        <w:t xml:space="preserve">Improve governance efficiency and transparency in coal mining operations.</w:t>
      </w:r>
    </w:p>
    <w:p>
      <w:pPr>
        <w:pStyle w:val="ListParagraph"/>
        <w:numPr>
          <w:ilvl w:val="0"/>
          <w:numId w:val="2"/>
        </w:numPr>
        <w:spacing w:after="60" w:line="280"/>
      </w:pPr>
      <w:r>
        <w:rPr>
          <w:sz w:val="21"/>
          <w:szCs w:val="21"/>
        </w:rPr>
        <w:t xml:space="preserve">Reduce delays and errors in compliance management and reporting.</w:t>
      </w:r>
    </w:p>
    <w:p>
      <w:pPr>
        <w:pStyle w:val="ListParagraph"/>
        <w:numPr>
          <w:ilvl w:val="0"/>
          <w:numId w:val="2"/>
        </w:numPr>
        <w:spacing w:after="60" w:line="280"/>
      </w:pPr>
      <w:r>
        <w:rPr>
          <w:sz w:val="21"/>
          <w:szCs w:val="21"/>
        </w:rPr>
        <w:t xml:space="preserve">Enable data-driven monitoring and faster administrative decision-making.</w:t>
      </w:r>
    </w:p>
    <w:p>
      <w:pPr>
        <w:pStyle w:val="ListParagraph"/>
        <w:numPr>
          <w:ilvl w:val="0"/>
          <w:numId w:val="2"/>
        </w:numPr>
        <w:spacing w:after="60" w:line="280"/>
      </w:pPr>
      <w:r>
        <w:rPr>
          <w:sz w:val="21"/>
          <w:szCs w:val="21"/>
        </w:rPr>
        <w:t xml:space="preserve">Strengthen accountability and real-time tracking of field activities.</w:t>
      </w:r>
    </w:p>
    <w:p>
      <w:pPr>
        <w:pStyle w:val="ListParagraph"/>
        <w:numPr>
          <w:ilvl w:val="0"/>
          <w:numId w:val="2"/>
        </w:numPr>
        <w:spacing w:after="60" w:line="280"/>
      </w:pPr>
      <w:r>
        <w:rPr>
          <w:sz w:val="21"/>
          <w:szCs w:val="21"/>
        </w:rPr>
        <w:t xml:space="preserve">Support digital transformation and paperless governance in the mining sector.</w:t>
      </w:r>
    </w:p>
    <w:p>
      <w:pPr>
        <w:pStyle w:val="ListParagraph"/>
        <w:numPr>
          <w:ilvl w:val="0"/>
          <w:numId w:val="2"/>
        </w:numPr>
        <w:spacing w:after="60" w:line="280"/>
      </w:pPr>
      <w:r>
        <w:rPr>
          <w:sz w:val="21"/>
          <w:szCs w:val="21"/>
        </w:rPr>
        <w:t xml:space="preserve">Create a scalable indigenous e-governance framework for Indian coal mines.</w:t>
      </w:r>
    </w:p>
    <w:p>
      <w:pPr>
        <w:spacing w:before="160"/>
      </w:pPr>
    </w:p>
    <w:p>
      <w:pPr>
        <w:spacing w:after="100" w:line="280"/>
      </w:pPr>
      <w:r>
        <w:rPr>
          <w:b/>
          <w:bCs/>
          <w:color w:val="1F3864"/>
          <w:sz w:val="21"/>
          <w:szCs w:val="21"/>
        </w:rPr>
        <w:t xml:space="preserve">Key context:   </w:t>
      </w:r>
      <w:r>
        <w:rPr>
          <w:sz w:val="21"/>
          <w:szCs w:val="21"/>
        </w:rPr>
        <w:t xml:space="preserve">Illegal-mining satellite monitoring already exists within India's CMSMS / Khan Prahari ecosystem, which uses satellite scanning to flag activity outside authorized leasehold boundaries plus citizen geo-tagged reporting. Our solution treats GIS/satellite signals as one input into a much larger governance platform rather than pitching detection itself as the innovation.</w:t>
      </w:r>
    </w:p>
    <w:p>
      <w:pPr>
        <w:pStyle w:val="Heading1"/>
        <w:pBdr>
          <w:bottom w:val="single" w:color="1F3864" w:sz="8" w:space="4"/>
        </w:pBdr>
        <w:spacing w:after="160" w:before="360"/>
      </w:pPr>
      <w:r>
        <w:rPr>
          <w:b/>
          <w:bCs/>
          <w:color w:val="1F3864"/>
          <w:sz w:val="30"/>
          <w:szCs w:val="30"/>
        </w:rPr>
        <w:t xml:space="preserve">2. Proposed Solution Overview</w:t>
      </w:r>
    </w:p>
    <w:p>
      <w:pPr>
        <w:spacing w:after="140" w:line="300"/>
      </w:pPr>
      <w:r>
        <w:rPr>
          <w:sz w:val="21"/>
          <w:szCs w:val="21"/>
        </w:rPr>
        <w:t xml:space="preserve">AI MineGuard is a centralized, AI-enabled smart governance platform that digitally integrates mine-level activities across the full governance surface named in the PS: statutory compliance (safety, environment, production, labour), inspections and corrective actions, contractor and contract management, worker attendance, grievance handling, and regulatory reporting. Rather than acting as a passive dashboard, it continuously collects signals from the mine, interprets them, determines whether they violate a rule or create risk, automatically triggers the appropriate response, and maintains a complete evidence-backed audit trail — replacing fragmented spreadsheets and manual documentation with one digital ecosystem.</w:t>
      </w:r>
    </w:p>
    <w:p>
      <w:pPr>
        <w:pStyle w:val="Heading2"/>
        <w:spacing w:after="120" w:before="280"/>
      </w:pPr>
      <w:r>
        <w:rPr>
          <w:b/>
          <w:bCs/>
          <w:color w:val="2E5395"/>
          <w:sz w:val="24"/>
          <w:szCs w:val="24"/>
        </w:rPr>
        <w:t xml:space="preserve">Governance Domains Covered</w:t>
      </w:r>
    </w:p>
    <w:p>
      <w:pPr>
        <w:pStyle w:val="ListParagraph"/>
        <w:numPr>
          <w:ilvl w:val="0"/>
          <w:numId w:val="2"/>
        </w:numPr>
        <w:spacing w:after="60" w:line="280"/>
      </w:pPr>
      <w:r>
        <w:rPr>
          <w:sz w:val="21"/>
          <w:szCs w:val="21"/>
        </w:rPr>
        <w:t xml:space="preserve">Statutory Compliance — safety, environmental, production, and labour regulations</w:t>
      </w:r>
    </w:p>
    <w:p>
      <w:pPr>
        <w:pStyle w:val="ListParagraph"/>
        <w:numPr>
          <w:ilvl w:val="0"/>
          <w:numId w:val="2"/>
        </w:numPr>
        <w:spacing w:after="60" w:line="280"/>
      </w:pPr>
      <w:r>
        <w:rPr>
          <w:sz w:val="21"/>
          <w:szCs w:val="21"/>
        </w:rPr>
        <w:t xml:space="preserve">Inspections &amp; Field Activity — observations, violations, corrective actions, geo-tagged reporting</w:t>
      </w:r>
    </w:p>
    <w:p>
      <w:pPr>
        <w:pStyle w:val="ListParagraph"/>
        <w:numPr>
          <w:ilvl w:val="0"/>
          <w:numId w:val="2"/>
        </w:numPr>
        <w:spacing w:after="60" w:line="280"/>
      </w:pPr>
      <w:r>
        <w:rPr>
          <w:sz w:val="21"/>
          <w:szCs w:val="21"/>
        </w:rPr>
        <w:t xml:space="preserve">Contractor &amp; Contract Management — lifecycle tracking, performance scoring, renewals</w:t>
      </w:r>
    </w:p>
    <w:p>
      <w:pPr>
        <w:pStyle w:val="ListParagraph"/>
        <w:numPr>
          <w:ilvl w:val="0"/>
          <w:numId w:val="2"/>
        </w:numPr>
        <w:spacing w:after="60" w:line="280"/>
      </w:pPr>
      <w:r>
        <w:rPr>
          <w:sz w:val="21"/>
          <w:szCs w:val="21"/>
        </w:rPr>
        <w:t xml:space="preserve">Workforce Governance — attendance, training compliance, grievance handling</w:t>
      </w:r>
    </w:p>
    <w:p>
      <w:pPr>
        <w:pStyle w:val="ListParagraph"/>
        <w:numPr>
          <w:ilvl w:val="0"/>
          <w:numId w:val="2"/>
        </w:numPr>
        <w:spacing w:after="60" w:line="280"/>
      </w:pPr>
      <w:r>
        <w:rPr>
          <w:sz w:val="21"/>
          <w:szCs w:val="21"/>
        </w:rPr>
        <w:t xml:space="preserve">Risk Intelligence — AI/analytics for high-risk areas, recurring failures, operational anomalies</w:t>
      </w:r>
    </w:p>
    <w:p>
      <w:pPr>
        <w:pStyle w:val="ListParagraph"/>
        <w:numPr>
          <w:ilvl w:val="0"/>
          <w:numId w:val="2"/>
        </w:numPr>
        <w:spacing w:after="60" w:line="280"/>
      </w:pPr>
      <w:r>
        <w:rPr>
          <w:sz w:val="21"/>
          <w:szCs w:val="21"/>
        </w:rPr>
        <w:t xml:space="preserve">Regulatory Reporting — automated statutory report generation for authorities and corporate management</w:t>
      </w:r>
    </w:p>
    <w:p>
      <w:pPr>
        <w:pStyle w:val="Heading2"/>
        <w:spacing w:after="120" w:before="280"/>
      </w:pPr>
      <w:r>
        <w:rPr>
          <w:b/>
          <w:bCs/>
          <w:color w:val="2E5395"/>
          <w:sz w:val="24"/>
          <w:szCs w:val="24"/>
        </w:rPr>
        <w:t xml:space="preserve">Core Governance Loop</w:t>
      </w:r>
    </w:p>
    <w:p>
      <w:pPr>
        <w:pStyle w:val="ListParagraph"/>
        <w:numPr>
          <w:ilvl w:val="0"/>
          <w:numId w:val="2"/>
        </w:numPr>
        <w:spacing w:after="60" w:line="280"/>
      </w:pPr>
      <w:r>
        <w:rPr>
          <w:sz w:val="21"/>
          <w:szCs w:val="21"/>
        </w:rPr>
        <w:t xml:space="preserve">Detect — CCTV, field reports, documents, and satellite imagery generate raw signals.</w:t>
      </w:r>
    </w:p>
    <w:p>
      <w:pPr>
        <w:pStyle w:val="ListParagraph"/>
        <w:numPr>
          <w:ilvl w:val="0"/>
          <w:numId w:val="2"/>
        </w:numPr>
        <w:spacing w:after="60" w:line="280"/>
      </w:pPr>
      <w:r>
        <w:rPr>
          <w:sz w:val="21"/>
          <w:szCs w:val="21"/>
        </w:rPr>
        <w:t xml:space="preserve">Understand — AI models (computer vision, OCR/NLP, change detection) convert raw signals into structured observations.</w:t>
      </w:r>
    </w:p>
    <w:p>
      <w:pPr>
        <w:pStyle w:val="ListParagraph"/>
        <w:numPr>
          <w:ilvl w:val="0"/>
          <w:numId w:val="2"/>
        </w:numPr>
        <w:spacing w:after="60" w:line="280"/>
      </w:pPr>
      <w:r>
        <w:rPr>
          <w:sz w:val="21"/>
          <w:szCs w:val="21"/>
        </w:rPr>
        <w:t xml:space="preserve">Verify — Field inspectors confirm high-risk AI flags before formal action, avoiding false legal determinations.</w:t>
      </w:r>
    </w:p>
    <w:p>
      <w:pPr>
        <w:pStyle w:val="ListParagraph"/>
        <w:numPr>
          <w:ilvl w:val="0"/>
          <w:numId w:val="2"/>
        </w:numPr>
        <w:spacing w:after="60" w:line="280"/>
      </w:pPr>
      <w:r>
        <w:rPr>
          <w:sz w:val="21"/>
          <w:szCs w:val="21"/>
        </w:rPr>
        <w:t xml:space="preserve">Assess Risk — A unified Risk Engine scores each zone/contractor using safety, compliance, environmental and historical data.</w:t>
      </w:r>
    </w:p>
    <w:p>
      <w:pPr>
        <w:pStyle w:val="ListParagraph"/>
        <w:numPr>
          <w:ilvl w:val="0"/>
          <w:numId w:val="2"/>
        </w:numPr>
        <w:spacing w:after="60" w:line="280"/>
      </w:pPr>
      <w:r>
        <w:rPr>
          <w:sz w:val="21"/>
          <w:szCs w:val="21"/>
        </w:rPr>
        <w:t xml:space="preserve">Alert &amp; Escalate — Rule-based workflows notify the right role (officer, manager, control room) based on severity.</w:t>
      </w:r>
    </w:p>
    <w:p>
      <w:pPr>
        <w:pStyle w:val="ListParagraph"/>
        <w:numPr>
          <w:ilvl w:val="0"/>
          <w:numId w:val="2"/>
        </w:numPr>
        <w:spacing w:after="60" w:line="280"/>
      </w:pPr>
      <w:r>
        <w:rPr>
          <w:sz w:val="21"/>
          <w:szCs w:val="21"/>
        </w:rPr>
        <w:t xml:space="preserve">Assign &amp; Correct — Violations become tracked corrective actions with owners and deadlines.</w:t>
      </w:r>
    </w:p>
    <w:p>
      <w:pPr>
        <w:pStyle w:val="ListParagraph"/>
        <w:numPr>
          <w:ilvl w:val="0"/>
          <w:numId w:val="2"/>
        </w:numPr>
        <w:spacing w:after="60" w:line="280"/>
      </w:pPr>
      <w:r>
        <w:rPr>
          <w:sz w:val="21"/>
          <w:szCs w:val="21"/>
        </w:rPr>
        <w:t xml:space="preserve">Verify &amp; Close — Inspectors confirm remediation before an incident is closed.</w:t>
      </w:r>
    </w:p>
    <w:p>
      <w:pPr>
        <w:pStyle w:val="ListParagraph"/>
        <w:numPr>
          <w:ilvl w:val="0"/>
          <w:numId w:val="2"/>
        </w:numPr>
        <w:spacing w:after="60" w:line="280"/>
      </w:pPr>
      <w:r>
        <w:rPr>
          <w:sz w:val="21"/>
          <w:szCs w:val="21"/>
        </w:rPr>
        <w:t xml:space="preserve">Audit &amp; Learn — Every step is logged immutably; recurring patterns feed back into predictive risk models.</w:t>
      </w:r>
    </w:p>
    <w:p>
      <w:pPr>
        <w:pStyle w:val="Heading2"/>
        <w:spacing w:after="120" w:before="280"/>
      </w:pPr>
      <w:r>
        <w:rPr>
          <w:b/>
          <w:bCs/>
          <w:color w:val="2E5395"/>
          <w:sz w:val="24"/>
          <w:szCs w:val="24"/>
        </w:rPr>
        <w:t xml:space="preserve">What Makes This Different from a Typical CCTV/Compliance Dashboard</w:t>
      </w:r>
    </w:p>
    <w:p>
      <w:pPr>
        <w:spacing w:after="140" w:line="300"/>
      </w:pPr>
      <w:r>
        <w:rPr>
          <w:sz w:val="21"/>
          <w:szCs w:val="21"/>
        </w:rPr>
        <w:t xml:space="preserve">Most systems in this space stop at detection ("CCTV → Alert"). AI MineGuard treats detection as the first of ten steps in a governance loop that ends in a verified, audited, closed action — which is precisely what the PS requires (violations, corrective actions, escalation, audit trails) beyond raw detection.</w:t>
      </w:r>
    </w:p>
    <w:p>
      <w:pPr>
        <w:pStyle w:val="Heading1"/>
        <w:pBdr>
          <w:bottom w:val="single" w:color="1F3864" w:sz="8" w:space="4"/>
        </w:pBdr>
        <w:spacing w:after="160" w:before="360"/>
      </w:pPr>
      <w:r>
        <w:rPr>
          <w:b/>
          <w:bCs/>
          <w:color w:val="1F3864"/>
          <w:sz w:val="30"/>
          <w:szCs w:val="30"/>
        </w:rPr>
        <w:t xml:space="preserve">3. Proposed Solution — By Module</w:t>
      </w:r>
    </w:p>
    <w:p>
      <w:pPr>
        <w:spacing w:after="80" w:before="200"/>
      </w:pPr>
      <w:r>
        <w:rPr>
          <w:b/>
          <w:bCs/>
          <w:color w:val="595959"/>
          <w:sz w:val="22"/>
          <w:szCs w:val="22"/>
        </w:rPr>
        <w:t xml:space="preserve">3.1 Mine Digital Twin / GIS (Central Interface)</w:t>
      </w:r>
    </w:p>
    <w:p>
      <w:pPr>
        <w:spacing w:after="140" w:line="300"/>
      </w:pPr>
      <w:r>
        <w:rPr>
          <w:sz w:val="21"/>
          <w:szCs w:val="21"/>
        </w:rPr>
        <w:t xml:space="preserve">An interactive mine map (built on PostGIS + Mapbox/Leaflet) acts as the primary interface rather than a data table. Every entity — excavation zones, haul roads, machinery, workers, cameras, inspection points, lease boundaries, stockyards, dumps, restricted zones — is geo-referenced. Zones are colour-coded live by risk level (green/amber/red), directly satisfying the PS's GIS and geo-tagged reporting requirements.</w:t>
      </w:r>
    </w:p>
    <w:p>
      <w:pPr>
        <w:spacing w:after="80" w:before="200"/>
      </w:pPr>
      <w:r>
        <w:rPr>
          <w:b/>
          <w:bCs/>
          <w:color w:val="595959"/>
          <w:sz w:val="22"/>
          <w:szCs w:val="22"/>
        </w:rPr>
        <w:t xml:space="preserve">3.2 AI CCTV Safety Monitoring</w:t>
      </w:r>
    </w:p>
    <w:p>
      <w:pPr>
        <w:spacing w:after="140" w:line="300"/>
      </w:pPr>
      <w:r>
        <w:rPr>
          <w:sz w:val="21"/>
          <w:szCs w:val="21"/>
        </w:rPr>
        <w:t xml:space="preserve">Computer-vision pipelines (YOLO-based, fine-tuned on mine-safety datasets) cover a deliberately narrow, high-value set of scenarios for the MVP: PPE detection (helmet/vest/boots), restricted-zone entry, and person–heavy-vehicle proximity (near-miss detection). Fire/smoke detection is included as a high-impact, visually strong demo module feeding directly into the emergency workflow.</w:t>
      </w:r>
    </w:p>
    <w:p>
      <w:pPr>
        <w:spacing w:after="80" w:before="200"/>
      </w:pPr>
      <w:r>
        <w:rPr>
          <w:b/>
          <w:bCs/>
          <w:color w:val="595959"/>
          <w:sz w:val="22"/>
          <w:szCs w:val="22"/>
        </w:rPr>
        <w:t xml:space="preserve">3.3 Field Inspector Mobile/PWA App</w:t>
      </w:r>
    </w:p>
    <w:p>
      <w:pPr>
        <w:spacing w:after="140" w:line="300"/>
      </w:pPr>
      <w:r>
        <w:rPr>
          <w:sz w:val="21"/>
          <w:szCs w:val="21"/>
        </w:rPr>
        <w:t xml:space="preserve">Offline-capable app for inspectors to log geo-tagged, time-stamped observations with photos and severity ratings. Works without connectivity (common in mine terrain) and syncs when back online — directly addressing the PS's field-reporting requirement.</w:t>
      </w:r>
    </w:p>
    <w:p>
      <w:pPr>
        <w:spacing w:after="80" w:before="200"/>
      </w:pPr>
      <w:r>
        <w:rPr>
          <w:b/>
          <w:bCs/>
          <w:color w:val="595959"/>
          <w:sz w:val="22"/>
          <w:szCs w:val="22"/>
        </w:rPr>
        <w:t xml:space="preserve">3.4 AI-Assisted Incident Structuring</w:t>
      </w:r>
    </w:p>
    <w:p>
      <w:pPr>
        <w:spacing w:after="140" w:line="300"/>
      </w:pPr>
      <w:r>
        <w:rPr>
          <w:sz w:val="21"/>
          <w:szCs w:val="21"/>
        </w:rPr>
        <w:t xml:space="preserve">Free-text inspector notes (e.g. "haul road has excessive dust, no water sprinkling") are converted by an LLM/NLP layer into structured records: category, violation type, severity, responsible department, and recommended deadline — cutting manual paperwork significantly.</w:t>
      </w:r>
    </w:p>
    <w:p>
      <w:pPr>
        <w:spacing w:after="80" w:before="200"/>
      </w:pPr>
      <w:r>
        <w:rPr>
          <w:b/>
          <w:bCs/>
          <w:color w:val="595959"/>
          <w:sz w:val="22"/>
          <w:szCs w:val="22"/>
        </w:rPr>
        <w:t xml:space="preserve">3.5 Compliance Document Intelligence (OCR)</w:t>
      </w:r>
    </w:p>
    <w:p>
      <w:pPr>
        <w:spacing w:after="140" w:line="300"/>
      </w:pPr>
      <w:r>
        <w:rPr>
          <w:sz w:val="21"/>
          <w:szCs w:val="21"/>
        </w:rPr>
        <w:t xml:space="preserve">Uploaded certificates, clearances, and inspection reports are OCR-processed (Tesseract/PaddleOCR), classified, and mined for key fields such as expiry dates. A compliance calendar auto-generates reminders and escalates automatically as deadlines approach — matching the PS's OCR/digitization ask.</w:t>
      </w:r>
    </w:p>
    <w:p>
      <w:pPr>
        <w:spacing w:after="80" w:before="200"/>
      </w:pPr>
      <w:r>
        <w:rPr>
          <w:b/>
          <w:bCs/>
          <w:color w:val="595959"/>
          <w:sz w:val="22"/>
          <w:szCs w:val="22"/>
        </w:rPr>
        <w:t xml:space="preserve">3.6 Satellite / Remote-Sensing Signal Integration</w:t>
      </w:r>
    </w:p>
    <w:p>
      <w:pPr>
        <w:spacing w:after="140" w:line="300"/>
      </w:pPr>
      <w:r>
        <w:rPr>
          <w:sz w:val="21"/>
          <w:szCs w:val="21"/>
        </w:rPr>
        <w:t xml:space="preserve">Satellite imagery (e.g. Sentinel-2, via STAC APIs) is processed with change-detection models and compared against lease-boundary polygons in PostGIS. Detected activity outside the authorized boundary is flagged as "possible unauthorized activity — field verification required" (never as a confirmed legal finding), which then opens an investigation case for an inspector to verify with evidence. This is explicitly the governance-workflow innovation layered on top of an existing detection capability (CMSMS/Khan Prahari), not a claim of novel detection.</w:t>
      </w:r>
    </w:p>
    <w:p>
      <w:pPr>
        <w:spacing w:after="80" w:before="200"/>
      </w:pPr>
      <w:r>
        <w:rPr>
          <w:b/>
          <w:bCs/>
          <w:color w:val="595959"/>
          <w:sz w:val="22"/>
          <w:szCs w:val="22"/>
        </w:rPr>
        <w:t xml:space="preserve">3.7 Environmental Monitoring</w:t>
      </w:r>
    </w:p>
    <w:p>
      <w:pPr>
        <w:spacing w:after="140" w:line="300"/>
      </w:pPr>
      <w:r>
        <w:rPr>
          <w:sz w:val="21"/>
          <w:szCs w:val="21"/>
        </w:rPr>
        <w:t xml:space="preserve">Combines sensor feeds (air quality, dust, water, noise), satellite vegetation/land change signals, and inspection data into a per-zone environmental risk score.</w:t>
      </w:r>
    </w:p>
    <w:p>
      <w:pPr>
        <w:spacing w:after="80" w:before="200"/>
      </w:pPr>
      <w:r>
        <w:rPr>
          <w:b/>
          <w:bCs/>
          <w:color w:val="595959"/>
          <w:sz w:val="22"/>
          <w:szCs w:val="22"/>
        </w:rPr>
        <w:t xml:space="preserve">3.8 Emergency Management</w:t>
      </w:r>
    </w:p>
    <w:p>
      <w:pPr>
        <w:spacing w:after="140" w:line="300"/>
      </w:pPr>
      <w:r>
        <w:rPr>
          <w:sz w:val="21"/>
          <w:szCs w:val="21"/>
        </w:rPr>
        <w:t xml:space="preserve">High-confidence critical detections (e.g. fire) auto-generate a critical incident and trigger simulated multi-channel notification (control room, safety officer, mine manager) with a defined response workflow — demonstrating the PS's alerts/escalation requirement end-to-end.</w:t>
      </w:r>
    </w:p>
    <w:p>
      <w:pPr>
        <w:spacing w:after="80" w:before="200"/>
      </w:pPr>
      <w:r>
        <w:rPr>
          <w:b/>
          <w:bCs/>
          <w:color w:val="595959"/>
          <w:sz w:val="22"/>
          <w:szCs w:val="22"/>
        </w:rPr>
        <w:t xml:space="preserve">3.9 Unified Risk Engine</w:t>
      </w:r>
    </w:p>
    <w:p>
      <w:pPr>
        <w:spacing w:after="140" w:line="300"/>
      </w:pPr>
      <w:r>
        <w:rPr>
          <w:sz w:val="21"/>
          <w:szCs w:val="21"/>
        </w:rPr>
        <w:t xml:space="preserve">A configurable scoring model combines safety violations, open corrective actions, environmental anomalies, expired documents, and historical incidents into a single 0–100 Mine/Zone Risk Score, bucketed into Low/Medium/High/Critical bands. This is the component that ties every module together into one governance signal.</w:t>
      </w:r>
    </w:p>
    <w:p>
      <w:pPr>
        <w:spacing w:after="80" w:before="200"/>
      </w:pPr>
      <w:r>
        <w:rPr>
          <w:b/>
          <w:bCs/>
          <w:color w:val="595959"/>
          <w:sz w:val="22"/>
          <w:szCs w:val="22"/>
        </w:rPr>
        <w:t xml:space="preserve">3.10 Predictive &amp; Recurring-Pattern Detection</w:t>
      </w:r>
    </w:p>
    <w:p>
      <w:pPr>
        <w:spacing w:after="140" w:line="300"/>
      </w:pPr>
      <w:r>
        <w:rPr>
          <w:sz w:val="21"/>
          <w:szCs w:val="21"/>
        </w:rPr>
        <w:t xml:space="preserve">Historical incident, inspection, weather, and production data feed ML models (Isolation Forest / XGBoost / LSTM as appropriate) to (a) forecast elevated-risk zones proactively and (b) detect recurring violations (e.g. repeated PPE breaches in one zone) and surface likely root causes such as a specific contractor's workforce.</w:t>
      </w:r>
    </w:p>
    <w:p>
      <w:pPr>
        <w:spacing w:after="80" w:before="200"/>
      </w:pPr>
      <w:r>
        <w:rPr>
          <w:b/>
          <w:bCs/>
          <w:color w:val="595959"/>
          <w:sz w:val="22"/>
          <w:szCs w:val="22"/>
        </w:rPr>
        <w:t xml:space="preserve">3.11 Contractor &amp; Contract Lifecycle Management</w:t>
      </w:r>
    </w:p>
    <w:p>
      <w:pPr>
        <w:spacing w:after="140" w:line="300"/>
      </w:pPr>
      <w:r>
        <w:rPr>
          <w:sz w:val="21"/>
          <w:szCs w:val="21"/>
        </w:rPr>
        <w:t xml:space="preserve">Tracks the full contract lifecycle — onboarding, terms, renewal dates, performance history — alongside per-contractor compliance scoring (incidents, open violations, training completion). Enables management to compare contractors, trigger renewal alerts, and target interventions at high-risk contractors.</w:t>
      </w:r>
    </w:p>
    <w:p>
      <w:pPr>
        <w:spacing w:after="80" w:before="200"/>
      </w:pPr>
      <w:r>
        <w:rPr>
          <w:b/>
          <w:bCs/>
          <w:color w:val="595959"/>
          <w:sz w:val="22"/>
          <w:szCs w:val="22"/>
        </w:rPr>
        <w:t xml:space="preserve">3.12 Worker Attendance &amp; Workforce Governance</w:t>
      </w:r>
    </w:p>
    <w:p>
      <w:pPr>
        <w:spacing w:after="140" w:line="300"/>
      </w:pPr>
      <w:r>
        <w:rPr>
          <w:sz w:val="21"/>
          <w:szCs w:val="21"/>
        </w:rPr>
        <w:t xml:space="preserve">Geo-tagged check-in/check-out (via the field/mobile app or biometric integration where available) feeds attendance directly into labour-compliance reporting — working hours, shift patterns, and statutory labour-law adherence — closing a gap the PS explicitly calls out (worker attendance, labour regulations).</w:t>
      </w:r>
    </w:p>
    <w:p>
      <w:pPr>
        <w:spacing w:after="80" w:before="200"/>
      </w:pPr>
      <w:r>
        <w:rPr>
          <w:b/>
          <w:bCs/>
          <w:color w:val="595959"/>
          <w:sz w:val="22"/>
          <w:szCs w:val="22"/>
        </w:rPr>
        <w:t xml:space="preserve">3.13 Grievance Handling</w:t>
      </w:r>
    </w:p>
    <w:p>
      <w:pPr>
        <w:spacing w:after="140" w:line="300"/>
      </w:pPr>
      <w:r>
        <w:rPr>
          <w:sz w:val="21"/>
          <w:szCs w:val="21"/>
        </w:rPr>
        <w:t xml:space="preserve">A structured channel for workers and contractors to raise grievances (safety, labour, payment, harassment, etc.), each ticketed, routed to the responsible officer, tracked to resolution with SLAs, and reflected in the audit trail — directly addressing the PS's grievance-handling requirement and reinforcing accountability.</w:t>
      </w:r>
    </w:p>
    <w:p>
      <w:pPr>
        <w:spacing w:after="80" w:before="200"/>
      </w:pPr>
      <w:r>
        <w:rPr>
          <w:b/>
          <w:bCs/>
          <w:color w:val="595959"/>
          <w:sz w:val="22"/>
          <w:szCs w:val="22"/>
        </w:rPr>
        <w:t xml:space="preserve">3.14 Production &amp; Labour Compliance Reporting</w:t>
      </w:r>
    </w:p>
    <w:p>
      <w:pPr>
        <w:spacing w:after="140" w:line="300"/>
      </w:pPr>
      <w:r>
        <w:rPr>
          <w:sz w:val="21"/>
          <w:szCs w:val="21"/>
        </w:rPr>
        <w:t xml:space="preserve">Digitizes production reporting (output volumes, shift logs) and labour compliance (wages, working hours, welfare provisions) so that statutory reports for these categories — alongside safety and environment — are generated automatically rather than compiled manually, matching the PS's explicit "safety, environment, production, and labour" scope.</w:t>
      </w:r>
    </w:p>
    <w:p>
      <w:pPr>
        <w:spacing w:after="80" w:before="200"/>
      </w:pPr>
      <w:r>
        <w:rPr>
          <w:b/>
          <w:bCs/>
          <w:color w:val="595959"/>
          <w:sz w:val="22"/>
          <w:szCs w:val="22"/>
        </w:rPr>
        <w:t xml:space="preserve">3.15 Multilingual Conversational Assistant</w:t>
      </w:r>
    </w:p>
    <w:p>
      <w:pPr>
        <w:spacing w:after="140" w:line="300"/>
      </w:pPr>
      <w:r>
        <w:rPr>
          <w:sz w:val="21"/>
          <w:szCs w:val="21"/>
        </w:rPr>
        <w:t xml:space="preserve">A voice/text chatbot (supporting major regional languages via ASR/NLP, e.g. Bhashini-style pipelines) lets field workers and inspectors log observations, file grievances, or query compliance status in their own language — lowering the literacy/language barrier to adoption and directly implementing the PS's optional "multilingual conversational interfaces" building block.</w:t>
      </w:r>
    </w:p>
    <w:p>
      <w:pPr>
        <w:spacing w:after="80" w:before="200"/>
      </w:pPr>
      <w:r>
        <w:rPr>
          <w:b/>
          <w:bCs/>
          <w:color w:val="595959"/>
          <w:sz w:val="22"/>
          <w:szCs w:val="22"/>
        </w:rPr>
        <w:t xml:space="preserve">3.16 Corrective Action Management &amp; Secure Audit Trail</w:t>
      </w:r>
    </w:p>
    <w:p>
      <w:pPr>
        <w:spacing w:after="140" w:line="300"/>
      </w:pPr>
      <w:r>
        <w:rPr>
          <w:sz w:val="21"/>
          <w:szCs w:val="21"/>
        </w:rPr>
        <w:t xml:space="preserve">Every violation becomes a tracked action (root cause → assignment → deadline → evidence → verification → closure). By default, all state transitions are logged in an append-only, hash-chained audit log. For deployments spanning multiple subsidiaries or where tamper-evidence must be defensible in inter-agency or legal disputes, the same audit events can optionally be anchored to a permissioned blockchain ledger (e.g. Hyperledger Fabric) — implementing the PS's "blockchain-based audit trails" option where it is actually justified, rather than by default.</w:t>
      </w:r>
    </w:p>
    <w:p>
      <w:pPr>
        <w:spacing w:after="80" w:before="200"/>
      </w:pPr>
      <w:r>
        <w:rPr>
          <w:b/>
          <w:bCs/>
          <w:color w:val="595959"/>
          <w:sz w:val="22"/>
          <w:szCs w:val="22"/>
        </w:rPr>
        <w:t xml:space="preserve">3.17 Role-Based Dashboards</w:t>
      </w:r>
    </w:p>
    <w:p>
      <w:pPr>
        <w:spacing w:after="140" w:line="300"/>
      </w:pPr>
      <w:r>
        <w:rPr>
          <w:sz w:val="21"/>
          <w:szCs w:val="21"/>
        </w:rPr>
        <w:t xml:space="preserve">Tailored views for Mine Operator, Safety Officer, Environmental Officer, Labour/Welfare Officer, Contractor, Corporate Management, and Regulator — matching the PS's requirement for dashboards serving mine officials, corporate management, and regulatory authorities.</w:t>
      </w:r>
    </w:p>
    <w:p>
      <w:pPr>
        <w:spacing w:after="80" w:before="200"/>
      </w:pPr>
      <w:r>
        <w:rPr>
          <w:b/>
          <w:bCs/>
          <w:color w:val="595959"/>
          <w:sz w:val="22"/>
          <w:szCs w:val="22"/>
        </w:rPr>
        <w:t xml:space="preserve">3.18 Multi-Mine / Multi-Subsidiary Scalability</w:t>
      </w:r>
    </w:p>
    <w:p>
      <w:pPr>
        <w:spacing w:after="140" w:line="300"/>
      </w:pPr>
      <w:r>
        <w:rPr>
          <w:sz w:val="21"/>
          <w:szCs w:val="21"/>
        </w:rPr>
        <w:t xml:space="preserve">Multi-tenant data model (mine → area → subsidiary → corporate hierarchy) built into the schema from day one, so the same platform can be rolled out across multiple mines and subsidiaries without redesign — directly addressing the PS's scalability requirement.</w:t>
      </w:r>
    </w:p>
    <w:p>
      <w:r>
        <w:br w:type="page"/>
      </w:r>
    </w:p>
    <w:p>
      <w:pPr>
        <w:pStyle w:val="Heading1"/>
        <w:pBdr>
          <w:bottom w:val="single" w:color="1F3864" w:sz="8" w:space="4"/>
        </w:pBdr>
        <w:spacing w:after="160" w:before="360"/>
      </w:pPr>
      <w:r>
        <w:rPr>
          <w:b/>
          <w:bCs/>
          <w:color w:val="1F3864"/>
          <w:sz w:val="30"/>
          <w:szCs w:val="30"/>
        </w:rPr>
        <w:t xml:space="preserve">4. Technical Approach</w:t>
      </w:r>
    </w:p>
    <w:p>
      <w:pPr>
        <w:pStyle w:val="Heading2"/>
        <w:spacing w:after="120" w:before="280"/>
      </w:pPr>
      <w:r>
        <w:rPr>
          <w:b/>
          <w:bCs/>
          <w:color w:val="2E5395"/>
          <w:sz w:val="24"/>
          <w:szCs w:val="24"/>
        </w:rPr>
        <w:t xml:space="preserve">4.1 High-Level Architecture</w:t>
      </w:r>
    </w:p>
    <w:p>
      <w:pPr>
        <w:pStyle w:val="ListParagraph"/>
        <w:numPr>
          <w:ilvl w:val="0"/>
          <w:numId w:val="2"/>
        </w:numPr>
        <w:spacing w:after="60" w:line="280"/>
      </w:pPr>
      <w:r>
        <w:rPr>
          <w:sz w:val="21"/>
          <w:szCs w:val="21"/>
        </w:rPr>
        <w:t xml:space="preserve">Data Sources: CCTV, Field App (geo-tagged), Documents (OCR/LLM), Satellite imagery, Environmental sensors</w:t>
      </w:r>
    </w:p>
    <w:p>
      <w:pPr>
        <w:pStyle w:val="ListParagraph"/>
        <w:numPr>
          <w:ilvl w:val="0"/>
          <w:numId w:val="2"/>
        </w:numPr>
        <w:spacing w:after="60" w:line="280"/>
      </w:pPr>
      <w:r>
        <w:rPr>
          <w:sz w:val="21"/>
          <w:szCs w:val="21"/>
        </w:rPr>
        <w:t xml:space="preserve">Data Ingestion Layer: normalizes real-time events, operational data, and historical data</w:t>
      </w:r>
    </w:p>
    <w:p>
      <w:pPr>
        <w:pStyle w:val="ListParagraph"/>
        <w:numPr>
          <w:ilvl w:val="0"/>
          <w:numId w:val="2"/>
        </w:numPr>
        <w:spacing w:after="60" w:line="280"/>
      </w:pPr>
      <w:r>
        <w:rPr>
          <w:sz w:val="21"/>
          <w:szCs w:val="21"/>
        </w:rPr>
        <w:t xml:space="preserve">AI/ML Engine: computer vision detection, anomaly detection, risk prediction, pattern detection, document AI</w:t>
      </w:r>
    </w:p>
    <w:p>
      <w:pPr>
        <w:pStyle w:val="ListParagraph"/>
        <w:numPr>
          <w:ilvl w:val="0"/>
          <w:numId w:val="2"/>
        </w:numPr>
        <w:spacing w:after="60" w:line="280"/>
      </w:pPr>
      <w:r>
        <w:rPr>
          <w:sz w:val="21"/>
          <w:szCs w:val="21"/>
        </w:rPr>
        <w:t xml:space="preserve">Compliance Engine: deterministic rule engine + AI reasoning + risk model — rules make the compliance decision, AI explains/recommends</w:t>
      </w:r>
    </w:p>
    <w:p>
      <w:pPr>
        <w:pStyle w:val="ListParagraph"/>
        <w:numPr>
          <w:ilvl w:val="0"/>
          <w:numId w:val="2"/>
        </w:numPr>
        <w:spacing w:after="60" w:line="280"/>
      </w:pPr>
      <w:r>
        <w:rPr>
          <w:sz w:val="21"/>
          <w:szCs w:val="21"/>
        </w:rPr>
        <w:t xml:space="preserve">Risk Engine: unified scoring across safety, compliance, environmental, and operational dimensions</w:t>
      </w:r>
    </w:p>
    <w:p>
      <w:pPr>
        <w:pStyle w:val="ListParagraph"/>
        <w:numPr>
          <w:ilvl w:val="0"/>
          <w:numId w:val="2"/>
        </w:numPr>
        <w:spacing w:after="60" w:line="280"/>
      </w:pPr>
      <w:r>
        <w:rPr>
          <w:sz w:val="21"/>
          <w:szCs w:val="21"/>
        </w:rPr>
        <w:t xml:space="preserve">Response/Workflow Layer: alerting, escalation, assignment, approval, verification</w:t>
      </w:r>
    </w:p>
    <w:p>
      <w:pPr>
        <w:pStyle w:val="ListParagraph"/>
        <w:numPr>
          <w:ilvl w:val="0"/>
          <w:numId w:val="2"/>
        </w:numPr>
        <w:spacing w:after="60" w:line="280"/>
      </w:pPr>
      <w:r>
        <w:rPr>
          <w:sz w:val="21"/>
          <w:szCs w:val="21"/>
        </w:rPr>
        <w:t xml:space="preserve">Governance UI: web dashboard, GIS/mine map, mobile app, incident center, compliance center</w:t>
      </w:r>
    </w:p>
    <w:p>
      <w:pPr>
        <w:pStyle w:val="ListParagraph"/>
        <w:numPr>
          <w:ilvl w:val="0"/>
          <w:numId w:val="2"/>
        </w:numPr>
        <w:spacing w:after="60" w:line="280"/>
      </w:pPr>
      <w:r>
        <w:rPr>
          <w:sz w:val="21"/>
          <w:szCs w:val="21"/>
        </w:rPr>
        <w:t xml:space="preserve">Audit &amp; Reporting: immutable, queryable trail across every workflow</w:t>
      </w:r>
    </w:p>
    <w:p>
      <w:pPr>
        <w:pStyle w:val="Heading2"/>
        <w:spacing w:after="120" w:before="280"/>
      </w:pPr>
      <w:r>
        <w:rPr>
          <w:b/>
          <w:bCs/>
          <w:color w:val="2E5395"/>
          <w:sz w:val="24"/>
          <w:szCs w:val="24"/>
        </w:rPr>
        <w:t xml:space="preserve">4.2 Recommended Technology Stack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4000"/>
      </w:tblGrid>
      <w:tr>
        <w:trPr>
          <w:tblHeader/>
        </w:trPr>
        <w:tc>
          <w:tcPr>
            <w:tcW w:type="dxa" w:w="2000"/>
            <w:shd w:fill="1F3864" w:val="clear"/>
            <w:tcMar>
              <w:top w:type="dxa" w:w="80"/>
              <w:left w:type="dxa" w:w="100"/>
              <w:bottom w:type="dxa" w:w="80"/>
              <w:right w:type="dxa" w:w="100"/>
            </w:tcMar>
          </w:tcPr>
          <w:p>
            <w:pPr>
              <w:jc w:val="left"/>
            </w:pPr>
            <w:r>
              <w:rPr>
                <w:b/>
                <w:bCs/>
                <w:color w:val="FFFFFF"/>
                <w:sz w:val="19"/>
                <w:szCs w:val="19"/>
              </w:rPr>
              <w:t xml:space="preserve">Layer</w:t>
            </w:r>
          </w:p>
        </w:tc>
        <w:tc>
          <w:tcPr>
            <w:tcW w:type="dxa" w:w="3600"/>
            <w:shd w:fill="1F3864" w:val="clear"/>
            <w:tcMar>
              <w:top w:type="dxa" w:w="80"/>
              <w:left w:type="dxa" w:w="100"/>
              <w:bottom w:type="dxa" w:w="80"/>
              <w:right w:type="dxa" w:w="100"/>
            </w:tcMar>
          </w:tcPr>
          <w:p>
            <w:pPr>
              <w:jc w:val="left"/>
            </w:pPr>
            <w:r>
              <w:rPr>
                <w:b/>
                <w:bCs/>
                <w:color w:val="FFFFFF"/>
                <w:sz w:val="19"/>
                <w:szCs w:val="19"/>
              </w:rPr>
              <w:t xml:space="preserve">Technology</w:t>
            </w:r>
          </w:p>
        </w:tc>
        <w:tc>
          <w:tcPr>
            <w:tcW w:type="dxa" w:w="4000"/>
            <w:shd w:fill="1F3864" w:val="clear"/>
            <w:tcMar>
              <w:top w:type="dxa" w:w="80"/>
              <w:left w:type="dxa" w:w="100"/>
              <w:bottom w:type="dxa" w:w="80"/>
              <w:right w:type="dxa" w:w="100"/>
            </w:tcMar>
          </w:tcPr>
          <w:p>
            <w:pPr>
              <w:jc w:val="left"/>
            </w:pPr>
            <w:r>
              <w:rPr>
                <w:b/>
                <w:bCs/>
                <w:color w:val="FFFFFF"/>
                <w:sz w:val="19"/>
                <w:szCs w:val="19"/>
              </w:rPr>
              <w:t xml:space="preserve">Rationale</w:t>
            </w:r>
          </w:p>
        </w:tc>
      </w:tr>
      <w:tr>
        <w:tc>
          <w:tcPr>
            <w:tcW w:type="dxa" w:w="2000"/>
            <w:tcMar>
              <w:top w:type="dxa" w:w="80"/>
              <w:left w:type="dxa" w:w="100"/>
              <w:bottom w:type="dxa" w:w="80"/>
              <w:right w:type="dxa" w:w="100"/>
            </w:tcMar>
          </w:tcPr>
          <w:p>
            <w:pPr>
              <w:jc w:val="left"/>
            </w:pPr>
            <w:r>
              <w:rPr>
                <w:b w:val="false"/>
                <w:bCs w:val="false"/>
                <w:sz w:val="19"/>
                <w:szCs w:val="19"/>
              </w:rPr>
              <w:t xml:space="preserve">Frontend</w:t>
            </w:r>
          </w:p>
        </w:tc>
        <w:tc>
          <w:tcPr>
            <w:tcW w:type="dxa" w:w="3600"/>
            <w:tcMar>
              <w:top w:type="dxa" w:w="80"/>
              <w:left w:type="dxa" w:w="100"/>
              <w:bottom w:type="dxa" w:w="80"/>
              <w:right w:type="dxa" w:w="100"/>
            </w:tcMar>
          </w:tcPr>
          <w:p>
            <w:pPr>
              <w:jc w:val="left"/>
            </w:pPr>
            <w:r>
              <w:rPr>
                <w:b w:val="false"/>
                <w:bCs w:val="false"/>
                <w:sz w:val="19"/>
                <w:szCs w:val="19"/>
              </w:rPr>
              <w:t xml:space="preserve">React + TypeScript, Tailwind CSS, Mapbox GL JS / Leaflet, Recharts</w:t>
            </w:r>
          </w:p>
        </w:tc>
        <w:tc>
          <w:tcPr>
            <w:tcW w:type="dxa" w:w="4000"/>
            <w:tcMar>
              <w:top w:type="dxa" w:w="80"/>
              <w:left w:type="dxa" w:w="100"/>
              <w:bottom w:type="dxa" w:w="80"/>
              <w:right w:type="dxa" w:w="100"/>
            </w:tcMar>
          </w:tcPr>
          <w:p>
            <w:pPr>
              <w:jc w:val="left"/>
            </w:pPr>
            <w:r>
              <w:rPr>
                <w:b w:val="false"/>
                <w:bCs w:val="false"/>
                <w:sz w:val="19"/>
                <w:szCs w:val="19"/>
              </w:rPr>
              <w:t xml:space="preserve">Fast to build, strong GIS/mapping support, good charting for risk dashboards</w:t>
            </w:r>
          </w:p>
        </w:tc>
      </w:tr>
      <w:tr>
        <w:tc>
          <w:tcPr>
            <w:tcW w:type="dxa" w:w="2000"/>
            <w:shd w:fill="F2F2F2" w:val="clear"/>
            <w:tcMar>
              <w:top w:type="dxa" w:w="80"/>
              <w:left w:type="dxa" w:w="100"/>
              <w:bottom w:type="dxa" w:w="80"/>
              <w:right w:type="dxa" w:w="100"/>
            </w:tcMar>
          </w:tcPr>
          <w:p>
            <w:pPr>
              <w:jc w:val="left"/>
            </w:pPr>
            <w:r>
              <w:rPr>
                <w:b w:val="false"/>
                <w:bCs w:val="false"/>
                <w:sz w:val="19"/>
                <w:szCs w:val="19"/>
              </w:rPr>
              <w:t xml:space="preserve">Mobile / Field App</w:t>
            </w:r>
          </w:p>
        </w:tc>
        <w:tc>
          <w:tcPr>
            <w:tcW w:type="dxa" w:w="3600"/>
            <w:shd w:fill="F2F2F2" w:val="clear"/>
            <w:tcMar>
              <w:top w:type="dxa" w:w="80"/>
              <w:left w:type="dxa" w:w="100"/>
              <w:bottom w:type="dxa" w:w="80"/>
              <w:right w:type="dxa" w:w="100"/>
            </w:tcMar>
          </w:tcPr>
          <w:p>
            <w:pPr>
              <w:jc w:val="left"/>
            </w:pPr>
            <w:r>
              <w:rPr>
                <w:b w:val="false"/>
                <w:bCs w:val="false"/>
                <w:sz w:val="19"/>
                <w:szCs w:val="19"/>
              </w:rPr>
              <w:t xml:space="preserve">React Native or a responsive offline-capable PWA (GPS, camera, background sync)</w:t>
            </w:r>
          </w:p>
        </w:tc>
        <w:tc>
          <w:tcPr>
            <w:tcW w:type="dxa" w:w="4000"/>
            <w:shd w:fill="F2F2F2" w:val="clear"/>
            <w:tcMar>
              <w:top w:type="dxa" w:w="80"/>
              <w:left w:type="dxa" w:w="100"/>
              <w:bottom w:type="dxa" w:w="80"/>
              <w:right w:type="dxa" w:w="100"/>
            </w:tcMar>
          </w:tcPr>
          <w:p>
            <w:pPr>
              <w:jc w:val="left"/>
            </w:pPr>
            <w:r>
              <w:rPr>
                <w:b w:val="false"/>
                <w:bCs w:val="false"/>
                <w:sz w:val="19"/>
                <w:szCs w:val="19"/>
              </w:rPr>
              <w:t xml:space="preserve">PWA is faster to ship for a hackathon timeline while still meeting offline/geo-tag needs</w:t>
            </w:r>
          </w:p>
        </w:tc>
      </w:tr>
      <w:tr>
        <w:tc>
          <w:tcPr>
            <w:tcW w:type="dxa" w:w="2000"/>
            <w:tcMar>
              <w:top w:type="dxa" w:w="80"/>
              <w:left w:type="dxa" w:w="100"/>
              <w:bottom w:type="dxa" w:w="80"/>
              <w:right w:type="dxa" w:w="100"/>
            </w:tcMar>
          </w:tcPr>
          <w:p>
            <w:pPr>
              <w:jc w:val="left"/>
            </w:pPr>
            <w:r>
              <w:rPr>
                <w:b w:val="false"/>
                <w:bCs w:val="false"/>
                <w:sz w:val="19"/>
                <w:szCs w:val="19"/>
              </w:rPr>
              <w:t xml:space="preserve">Backend</w:t>
            </w:r>
          </w:p>
        </w:tc>
        <w:tc>
          <w:tcPr>
            <w:tcW w:type="dxa" w:w="3600"/>
            <w:tcMar>
              <w:top w:type="dxa" w:w="80"/>
              <w:left w:type="dxa" w:w="100"/>
              <w:bottom w:type="dxa" w:w="80"/>
              <w:right w:type="dxa" w:w="100"/>
            </w:tcMar>
          </w:tcPr>
          <w:p>
            <w:pPr>
              <w:jc w:val="left"/>
            </w:pPr>
            <w:r>
              <w:rPr>
                <w:b w:val="false"/>
                <w:bCs w:val="false"/>
                <w:sz w:val="19"/>
                <w:szCs w:val="19"/>
              </w:rPr>
              <w:t xml:space="preserve">Python + FastAPI (modular monolith, not microservices)</w:t>
            </w:r>
          </w:p>
        </w:tc>
        <w:tc>
          <w:tcPr>
            <w:tcW w:type="dxa" w:w="4000"/>
            <w:tcMar>
              <w:top w:type="dxa" w:w="80"/>
              <w:left w:type="dxa" w:w="100"/>
              <w:bottom w:type="dxa" w:w="80"/>
              <w:right w:type="dxa" w:w="100"/>
            </w:tcMar>
          </w:tcPr>
          <w:p>
            <w:pPr>
              <w:jc w:val="left"/>
            </w:pPr>
            <w:r>
              <w:rPr>
                <w:b w:val="false"/>
                <w:bCs w:val="false"/>
                <w:sz w:val="19"/>
                <w:szCs w:val="19"/>
              </w:rPr>
              <w:t xml:space="preserve">Same language as the AI/ML stack; avoids premature microservice complexity</w:t>
            </w:r>
          </w:p>
        </w:tc>
      </w:tr>
      <w:tr>
        <w:tc>
          <w:tcPr>
            <w:tcW w:type="dxa" w:w="2000"/>
            <w:shd w:fill="F2F2F2" w:val="clear"/>
            <w:tcMar>
              <w:top w:type="dxa" w:w="80"/>
              <w:left w:type="dxa" w:w="100"/>
              <w:bottom w:type="dxa" w:w="80"/>
              <w:right w:type="dxa" w:w="100"/>
            </w:tcMar>
          </w:tcPr>
          <w:p>
            <w:pPr>
              <w:jc w:val="left"/>
            </w:pPr>
            <w:r>
              <w:rPr>
                <w:b w:val="false"/>
                <w:bCs w:val="false"/>
                <w:sz w:val="19"/>
                <w:szCs w:val="19"/>
              </w:rPr>
              <w:t xml:space="preserve">Database</w:t>
            </w:r>
          </w:p>
        </w:tc>
        <w:tc>
          <w:tcPr>
            <w:tcW w:type="dxa" w:w="3600"/>
            <w:shd w:fill="F2F2F2" w:val="clear"/>
            <w:tcMar>
              <w:top w:type="dxa" w:w="80"/>
              <w:left w:type="dxa" w:w="100"/>
              <w:bottom w:type="dxa" w:w="80"/>
              <w:right w:type="dxa" w:w="100"/>
            </w:tcMar>
          </w:tcPr>
          <w:p>
            <w:pPr>
              <w:jc w:val="left"/>
            </w:pPr>
            <w:r>
              <w:rPr>
                <w:b w:val="false"/>
                <w:bCs w:val="false"/>
                <w:sz w:val="19"/>
                <w:szCs w:val="19"/>
              </w:rPr>
              <w:t xml:space="preserve">PostgreSQL + PostGIS</w:t>
            </w:r>
          </w:p>
        </w:tc>
        <w:tc>
          <w:tcPr>
            <w:tcW w:type="dxa" w:w="4000"/>
            <w:shd w:fill="F2F2F2" w:val="clear"/>
            <w:tcMar>
              <w:top w:type="dxa" w:w="80"/>
              <w:left w:type="dxa" w:w="100"/>
              <w:bottom w:type="dxa" w:w="80"/>
              <w:right w:type="dxa" w:w="100"/>
            </w:tcMar>
          </w:tcPr>
          <w:p>
            <w:pPr>
              <w:jc w:val="left"/>
            </w:pPr>
            <w:r>
              <w:rPr>
                <w:b w:val="false"/>
                <w:bCs w:val="false"/>
                <w:sz w:val="19"/>
                <w:szCs w:val="19"/>
              </w:rPr>
              <w:t xml:space="preserve">Relational data (incidents, contractors, documents) plus native geospatial queries (zones, boundaries, satellite polygons)</w:t>
            </w:r>
          </w:p>
        </w:tc>
      </w:tr>
      <w:tr>
        <w:tc>
          <w:tcPr>
            <w:tcW w:type="dxa" w:w="2000"/>
            <w:tcMar>
              <w:top w:type="dxa" w:w="80"/>
              <w:left w:type="dxa" w:w="100"/>
              <w:bottom w:type="dxa" w:w="80"/>
              <w:right w:type="dxa" w:w="100"/>
            </w:tcMar>
          </w:tcPr>
          <w:p>
            <w:pPr>
              <w:jc w:val="left"/>
            </w:pPr>
            <w:r>
              <w:rPr>
                <w:b w:val="false"/>
                <w:bCs w:val="false"/>
                <w:sz w:val="19"/>
                <w:szCs w:val="19"/>
              </w:rPr>
              <w:t xml:space="preserve">Real-time layer</w:t>
            </w:r>
          </w:p>
        </w:tc>
        <w:tc>
          <w:tcPr>
            <w:tcW w:type="dxa" w:w="3600"/>
            <w:tcMar>
              <w:top w:type="dxa" w:w="80"/>
              <w:left w:type="dxa" w:w="100"/>
              <w:bottom w:type="dxa" w:w="80"/>
              <w:right w:type="dxa" w:w="100"/>
            </w:tcMar>
          </w:tcPr>
          <w:p>
            <w:pPr>
              <w:jc w:val="left"/>
            </w:pPr>
            <w:r>
              <w:rPr>
                <w:b w:val="false"/>
                <w:bCs w:val="false"/>
                <w:sz w:val="19"/>
                <w:szCs w:val="19"/>
              </w:rPr>
              <w:t xml:space="preserve">Redis + WebSockets</w:t>
            </w:r>
          </w:p>
        </w:tc>
        <w:tc>
          <w:tcPr>
            <w:tcW w:type="dxa" w:w="4000"/>
            <w:tcMar>
              <w:top w:type="dxa" w:w="80"/>
              <w:left w:type="dxa" w:w="100"/>
              <w:bottom w:type="dxa" w:w="80"/>
              <w:right w:type="dxa" w:w="100"/>
            </w:tcMar>
          </w:tcPr>
          <w:p>
            <w:pPr>
              <w:jc w:val="left"/>
            </w:pPr>
            <w:r>
              <w:rPr>
                <w:b w:val="false"/>
                <w:bCs w:val="false"/>
                <w:sz w:val="19"/>
                <w:szCs w:val="19"/>
              </w:rPr>
              <w:t xml:space="preserve">Sufficient for live incident/dashboard updates at hackathon/pilot scale</w:t>
            </w:r>
          </w:p>
        </w:tc>
      </w:tr>
      <w:tr>
        <w:tc>
          <w:tcPr>
            <w:tcW w:type="dxa" w:w="2000"/>
            <w:shd w:fill="F2F2F2" w:val="clear"/>
            <w:tcMar>
              <w:top w:type="dxa" w:w="80"/>
              <w:left w:type="dxa" w:w="100"/>
              <w:bottom w:type="dxa" w:w="80"/>
              <w:right w:type="dxa" w:w="100"/>
            </w:tcMar>
          </w:tcPr>
          <w:p>
            <w:pPr>
              <w:jc w:val="left"/>
            </w:pPr>
            <w:r>
              <w:rPr>
                <w:b w:val="false"/>
                <w:bCs w:val="false"/>
                <w:sz w:val="19"/>
                <w:szCs w:val="19"/>
              </w:rPr>
              <w:t xml:space="preserve">Computer Vision</w:t>
            </w:r>
          </w:p>
        </w:tc>
        <w:tc>
          <w:tcPr>
            <w:tcW w:type="dxa" w:w="3600"/>
            <w:shd w:fill="F2F2F2" w:val="clear"/>
            <w:tcMar>
              <w:top w:type="dxa" w:w="80"/>
              <w:left w:type="dxa" w:w="100"/>
              <w:bottom w:type="dxa" w:w="80"/>
              <w:right w:type="dxa" w:w="100"/>
            </w:tcMar>
          </w:tcPr>
          <w:p>
            <w:pPr>
              <w:jc w:val="left"/>
            </w:pPr>
            <w:r>
              <w:rPr>
                <w:b w:val="false"/>
                <w:bCs w:val="false"/>
                <w:sz w:val="19"/>
                <w:szCs w:val="19"/>
              </w:rPr>
              <w:t xml:space="preserve">PyTorch, YOLO (pretrained, fine-tuned)</w:t>
            </w:r>
          </w:p>
        </w:tc>
        <w:tc>
          <w:tcPr>
            <w:tcW w:type="dxa" w:w="4000"/>
            <w:shd w:fill="F2F2F2" w:val="clear"/>
            <w:tcMar>
              <w:top w:type="dxa" w:w="80"/>
              <w:left w:type="dxa" w:w="100"/>
              <w:bottom w:type="dxa" w:w="80"/>
              <w:right w:type="dxa" w:w="100"/>
            </w:tcMar>
          </w:tcPr>
          <w:p>
            <w:pPr>
              <w:jc w:val="left"/>
            </w:pPr>
            <w:r>
              <w:rPr>
                <w:b w:val="false"/>
                <w:bCs w:val="false"/>
                <w:sz w:val="19"/>
                <w:szCs w:val="19"/>
              </w:rPr>
              <w:t xml:space="preserve">Reliable, well-documented models for PPE/zone/vehicle/fire detection</w:t>
            </w:r>
          </w:p>
        </w:tc>
      </w:tr>
      <w:tr>
        <w:tc>
          <w:tcPr>
            <w:tcW w:type="dxa" w:w="2000"/>
            <w:tcMar>
              <w:top w:type="dxa" w:w="80"/>
              <w:left w:type="dxa" w:w="100"/>
              <w:bottom w:type="dxa" w:w="80"/>
              <w:right w:type="dxa" w:w="100"/>
            </w:tcMar>
          </w:tcPr>
          <w:p>
            <w:pPr>
              <w:jc w:val="left"/>
            </w:pPr>
            <w:r>
              <w:rPr>
                <w:b w:val="false"/>
                <w:bCs w:val="false"/>
                <w:sz w:val="19"/>
                <w:szCs w:val="19"/>
              </w:rPr>
              <w:t xml:space="preserve">Anomaly &amp; Predictive ML</w:t>
            </w:r>
          </w:p>
        </w:tc>
        <w:tc>
          <w:tcPr>
            <w:tcW w:type="dxa" w:w="3600"/>
            <w:tcMar>
              <w:top w:type="dxa" w:w="80"/>
              <w:left w:type="dxa" w:w="100"/>
              <w:bottom w:type="dxa" w:w="80"/>
              <w:right w:type="dxa" w:w="100"/>
            </w:tcMar>
          </w:tcPr>
          <w:p>
            <w:pPr>
              <w:jc w:val="left"/>
            </w:pPr>
            <w:r>
              <w:rPr>
                <w:b w:val="false"/>
                <w:bCs w:val="false"/>
                <w:sz w:val="19"/>
                <w:szCs w:val="19"/>
              </w:rPr>
              <w:t xml:space="preserve">scikit-learn, XGBoost, Isolation Forest, LSTM (as needed)</w:t>
            </w:r>
          </w:p>
        </w:tc>
        <w:tc>
          <w:tcPr>
            <w:tcW w:type="dxa" w:w="4000"/>
            <w:tcMar>
              <w:top w:type="dxa" w:w="80"/>
              <w:left w:type="dxa" w:w="100"/>
              <w:bottom w:type="dxa" w:w="80"/>
              <w:right w:type="dxa" w:w="100"/>
            </w:tcMar>
          </w:tcPr>
          <w:p>
            <w:pPr>
              <w:jc w:val="left"/>
            </w:pPr>
            <w:r>
              <w:rPr>
                <w:b w:val="false"/>
                <w:bCs w:val="false"/>
                <w:sz w:val="19"/>
                <w:szCs w:val="19"/>
              </w:rPr>
              <w:t xml:space="preserve">Matched to the specific structure of available historical data</w:t>
            </w:r>
          </w:p>
        </w:tc>
      </w:tr>
      <w:tr>
        <w:tc>
          <w:tcPr>
            <w:tcW w:type="dxa" w:w="2000"/>
            <w:shd w:fill="F2F2F2" w:val="clear"/>
            <w:tcMar>
              <w:top w:type="dxa" w:w="80"/>
              <w:left w:type="dxa" w:w="100"/>
              <w:bottom w:type="dxa" w:w="80"/>
              <w:right w:type="dxa" w:w="100"/>
            </w:tcMar>
          </w:tcPr>
          <w:p>
            <w:pPr>
              <w:jc w:val="left"/>
            </w:pPr>
            <w:r>
              <w:rPr>
                <w:b w:val="false"/>
                <w:bCs w:val="false"/>
                <w:sz w:val="19"/>
                <w:szCs w:val="19"/>
              </w:rPr>
              <w:t xml:space="preserve">Satellite Processing</w:t>
            </w:r>
          </w:p>
        </w:tc>
        <w:tc>
          <w:tcPr>
            <w:tcW w:type="dxa" w:w="3600"/>
            <w:shd w:fill="F2F2F2" w:val="clear"/>
            <w:tcMar>
              <w:top w:type="dxa" w:w="80"/>
              <w:left w:type="dxa" w:w="100"/>
              <w:bottom w:type="dxa" w:w="80"/>
              <w:right w:type="dxa" w:w="100"/>
            </w:tcMar>
          </w:tcPr>
          <w:p>
            <w:pPr>
              <w:jc w:val="left"/>
            </w:pPr>
            <w:r>
              <w:rPr>
                <w:b w:val="false"/>
                <w:bCs w:val="false"/>
                <w:sz w:val="19"/>
                <w:szCs w:val="19"/>
              </w:rPr>
              <w:t xml:space="preserve">Sentinel-2 / STAC imagery, Rasterio, GeoPandas, Shapely</w:t>
            </w:r>
          </w:p>
        </w:tc>
        <w:tc>
          <w:tcPr>
            <w:tcW w:type="dxa" w:w="4000"/>
            <w:shd w:fill="F2F2F2" w:val="clear"/>
            <w:tcMar>
              <w:top w:type="dxa" w:w="80"/>
              <w:left w:type="dxa" w:w="100"/>
              <w:bottom w:type="dxa" w:w="80"/>
              <w:right w:type="dxa" w:w="100"/>
            </w:tcMar>
          </w:tcPr>
          <w:p>
            <w:pPr>
              <w:jc w:val="left"/>
            </w:pPr>
            <w:r>
              <w:rPr>
                <w:b w:val="false"/>
                <w:bCs w:val="false"/>
                <w:sz w:val="19"/>
                <w:szCs w:val="19"/>
              </w:rPr>
              <w:t xml:space="preserve">Public imagery avoids dependency on a live paid API during the demo</w:t>
            </w:r>
          </w:p>
        </w:tc>
      </w:tr>
      <w:tr>
        <w:tc>
          <w:tcPr>
            <w:tcW w:type="dxa" w:w="2000"/>
            <w:tcMar>
              <w:top w:type="dxa" w:w="80"/>
              <w:left w:type="dxa" w:w="100"/>
              <w:bottom w:type="dxa" w:w="80"/>
              <w:right w:type="dxa" w:w="100"/>
            </w:tcMar>
          </w:tcPr>
          <w:p>
            <w:pPr>
              <w:jc w:val="left"/>
            </w:pPr>
            <w:r>
              <w:rPr>
                <w:b w:val="false"/>
                <w:bCs w:val="false"/>
                <w:sz w:val="19"/>
                <w:szCs w:val="19"/>
              </w:rPr>
              <w:t xml:space="preserve">Document AI</w:t>
            </w:r>
          </w:p>
        </w:tc>
        <w:tc>
          <w:tcPr>
            <w:tcW w:type="dxa" w:w="3600"/>
            <w:tcMar>
              <w:top w:type="dxa" w:w="80"/>
              <w:left w:type="dxa" w:w="100"/>
              <w:bottom w:type="dxa" w:w="80"/>
              <w:right w:type="dxa" w:w="100"/>
            </w:tcMar>
          </w:tcPr>
          <w:p>
            <w:pPr>
              <w:jc w:val="left"/>
            </w:pPr>
            <w:r>
              <w:rPr>
                <w:b w:val="false"/>
                <w:bCs w:val="false"/>
                <w:sz w:val="19"/>
                <w:szCs w:val="19"/>
              </w:rPr>
              <w:t xml:space="preserve">Tesseract / PaddleOCR, OpenCV, LLM API for structuring</w:t>
            </w:r>
          </w:p>
        </w:tc>
        <w:tc>
          <w:tcPr>
            <w:tcW w:type="dxa" w:w="4000"/>
            <w:tcMar>
              <w:top w:type="dxa" w:w="80"/>
              <w:left w:type="dxa" w:w="100"/>
              <w:bottom w:type="dxa" w:w="80"/>
              <w:right w:type="dxa" w:w="100"/>
            </w:tcMar>
          </w:tcPr>
          <w:p>
            <w:pPr>
              <w:jc w:val="left"/>
            </w:pPr>
            <w:r>
              <w:rPr>
                <w:b w:val="false"/>
                <w:bCs w:val="false"/>
                <w:sz w:val="19"/>
                <w:szCs w:val="19"/>
              </w:rPr>
              <w:t xml:space="preserve">Handles both scanned and digital compliance documents</w:t>
            </w:r>
          </w:p>
        </w:tc>
      </w:tr>
      <w:tr>
        <w:tc>
          <w:tcPr>
            <w:tcW w:type="dxa" w:w="2000"/>
            <w:shd w:fill="F2F2F2" w:val="clear"/>
            <w:tcMar>
              <w:top w:type="dxa" w:w="80"/>
              <w:left w:type="dxa" w:w="100"/>
              <w:bottom w:type="dxa" w:w="80"/>
              <w:right w:type="dxa" w:w="100"/>
            </w:tcMar>
          </w:tcPr>
          <w:p>
            <w:pPr>
              <w:jc w:val="left"/>
            </w:pPr>
            <w:r>
              <w:rPr>
                <w:b w:val="false"/>
                <w:bCs w:val="false"/>
                <w:sz w:val="19"/>
                <w:szCs w:val="19"/>
              </w:rPr>
              <w:t xml:space="preserve">Multilingual Conversational Interface</w:t>
            </w:r>
          </w:p>
        </w:tc>
        <w:tc>
          <w:tcPr>
            <w:tcW w:type="dxa" w:w="3600"/>
            <w:shd w:fill="F2F2F2" w:val="clear"/>
            <w:tcMar>
              <w:top w:type="dxa" w:w="80"/>
              <w:left w:type="dxa" w:w="100"/>
              <w:bottom w:type="dxa" w:w="80"/>
              <w:right w:type="dxa" w:w="100"/>
            </w:tcMar>
          </w:tcPr>
          <w:p>
            <w:pPr>
              <w:jc w:val="left"/>
            </w:pPr>
            <w:r>
              <w:rPr>
                <w:b w:val="false"/>
                <w:bCs w:val="false"/>
                <w:sz w:val="19"/>
                <w:szCs w:val="19"/>
              </w:rPr>
              <w:t xml:space="preserve">ASR (Whisper/Bhashini-style), IndicNLP, LLM for intent/response</w:t>
            </w:r>
          </w:p>
        </w:tc>
        <w:tc>
          <w:tcPr>
            <w:tcW w:type="dxa" w:w="4000"/>
            <w:shd w:fill="F2F2F2" w:val="clear"/>
            <w:tcMar>
              <w:top w:type="dxa" w:w="80"/>
              <w:left w:type="dxa" w:w="100"/>
              <w:bottom w:type="dxa" w:w="80"/>
              <w:right w:type="dxa" w:w="100"/>
            </w:tcMar>
          </w:tcPr>
          <w:p>
            <w:pPr>
              <w:jc w:val="left"/>
            </w:pPr>
            <w:r>
              <w:rPr>
                <w:b w:val="false"/>
                <w:bCs w:val="false"/>
                <w:sz w:val="19"/>
                <w:szCs w:val="19"/>
              </w:rPr>
              <w:t xml:space="preserve">Enables field workers to report, query, and file grievances by voice/text in regional languages</w:t>
            </w:r>
          </w:p>
        </w:tc>
      </w:tr>
      <w:tr>
        <w:tc>
          <w:tcPr>
            <w:tcW w:type="dxa" w:w="2000"/>
            <w:tcMar>
              <w:top w:type="dxa" w:w="80"/>
              <w:left w:type="dxa" w:w="100"/>
              <w:bottom w:type="dxa" w:w="80"/>
              <w:right w:type="dxa" w:w="100"/>
            </w:tcMar>
          </w:tcPr>
          <w:p>
            <w:pPr>
              <w:jc w:val="left"/>
            </w:pPr>
            <w:r>
              <w:rPr>
                <w:b w:val="false"/>
                <w:bCs w:val="false"/>
                <w:sz w:val="19"/>
                <w:szCs w:val="19"/>
              </w:rPr>
              <w:t xml:space="preserve">Audit Trail (default)</w:t>
            </w:r>
          </w:p>
        </w:tc>
        <w:tc>
          <w:tcPr>
            <w:tcW w:type="dxa" w:w="3600"/>
            <w:tcMar>
              <w:top w:type="dxa" w:w="80"/>
              <w:left w:type="dxa" w:w="100"/>
              <w:bottom w:type="dxa" w:w="80"/>
              <w:right w:type="dxa" w:w="100"/>
            </w:tcMar>
          </w:tcPr>
          <w:p>
            <w:pPr>
              <w:jc w:val="left"/>
            </w:pPr>
            <w:r>
              <w:rPr>
                <w:b w:val="false"/>
                <w:bCs w:val="false"/>
                <w:sz w:val="19"/>
                <w:szCs w:val="19"/>
              </w:rPr>
              <w:t xml:space="preserve">Append-only, hash-chained log in PostgreSQL</w:t>
            </w:r>
          </w:p>
        </w:tc>
        <w:tc>
          <w:tcPr>
            <w:tcW w:type="dxa" w:w="4000"/>
            <w:tcMar>
              <w:top w:type="dxa" w:w="80"/>
              <w:left w:type="dxa" w:w="100"/>
              <w:bottom w:type="dxa" w:w="80"/>
              <w:right w:type="dxa" w:w="100"/>
            </w:tcMar>
          </w:tcPr>
          <w:p>
            <w:pPr>
              <w:jc w:val="left"/>
            </w:pPr>
            <w:r>
              <w:rPr>
                <w:b w:val="false"/>
                <w:bCs w:val="false"/>
                <w:sz w:val="19"/>
                <w:szCs w:val="19"/>
              </w:rPr>
              <w:t xml:space="preserve">Defensible integrity for a single-mine MVP without extra infrastructure</w:t>
            </w:r>
          </w:p>
        </w:tc>
      </w:tr>
      <w:tr>
        <w:tc>
          <w:tcPr>
            <w:tcW w:type="dxa" w:w="2000"/>
            <w:shd w:fill="F2F2F2" w:val="clear"/>
            <w:tcMar>
              <w:top w:type="dxa" w:w="80"/>
              <w:left w:type="dxa" w:w="100"/>
              <w:bottom w:type="dxa" w:w="80"/>
              <w:right w:type="dxa" w:w="100"/>
            </w:tcMar>
          </w:tcPr>
          <w:p>
            <w:pPr>
              <w:jc w:val="left"/>
            </w:pPr>
            <w:r>
              <w:rPr>
                <w:b w:val="false"/>
                <w:bCs w:val="false"/>
                <w:sz w:val="19"/>
                <w:szCs w:val="19"/>
              </w:rPr>
              <w:t xml:space="preserve">Audit Trail (optional, multi-subsidiary)</w:t>
            </w:r>
          </w:p>
        </w:tc>
        <w:tc>
          <w:tcPr>
            <w:tcW w:type="dxa" w:w="3600"/>
            <w:shd w:fill="F2F2F2" w:val="clear"/>
            <w:tcMar>
              <w:top w:type="dxa" w:w="80"/>
              <w:left w:type="dxa" w:w="100"/>
              <w:bottom w:type="dxa" w:w="80"/>
              <w:right w:type="dxa" w:w="100"/>
            </w:tcMar>
          </w:tcPr>
          <w:p>
            <w:pPr>
              <w:jc w:val="left"/>
            </w:pPr>
            <w:r>
              <w:rPr>
                <w:b w:val="false"/>
                <w:bCs w:val="false"/>
                <w:sz w:val="19"/>
                <w:szCs w:val="19"/>
              </w:rPr>
              <w:t xml:space="preserve">Permissioned blockchain ledger (Hyperledger Fabric)</w:t>
            </w:r>
          </w:p>
        </w:tc>
        <w:tc>
          <w:tcPr>
            <w:tcW w:type="dxa" w:w="4000"/>
            <w:shd w:fill="F2F2F2" w:val="clear"/>
            <w:tcMar>
              <w:top w:type="dxa" w:w="80"/>
              <w:left w:type="dxa" w:w="100"/>
              <w:bottom w:type="dxa" w:w="80"/>
              <w:right w:type="dxa" w:w="100"/>
            </w:tcMar>
          </w:tcPr>
          <w:p>
            <w:pPr>
              <w:jc w:val="left"/>
            </w:pPr>
            <w:r>
              <w:rPr>
                <w:b w:val="false"/>
                <w:bCs w:val="false"/>
                <w:sz w:val="19"/>
                <w:szCs w:val="19"/>
              </w:rPr>
              <w:t xml:space="preserve">Justified only when tamper-evidence must hold up across independent subsidiaries/regulators — matches the PS's optional blockchain-audit-trail building block</w:t>
            </w:r>
          </w:p>
        </w:tc>
      </w:tr>
    </w:tbl>
    <w:p>
      <w:pPr>
        <w:pStyle w:val="Heading2"/>
        <w:spacing w:after="120" w:before="280"/>
      </w:pPr>
      <w:r>
        <w:rPr>
          <w:b/>
          <w:bCs/>
          <w:color w:val="2E5395"/>
          <w:sz w:val="24"/>
          <w:szCs w:val="24"/>
        </w:rPr>
        <w:t xml:space="preserve">4.3 Backend Module Structure</w:t>
      </w:r>
    </w:p>
    <w:p>
      <w:pPr>
        <w:spacing w:after="140" w:line="300"/>
      </w:pPr>
      <w:r>
        <w:rPr>
          <w:sz w:val="21"/>
          <w:szCs w:val="21"/>
        </w:rPr>
        <w:t xml:space="preserve">Organized as logical modules within a single FastAPI application (not 15 microservices) to keep the system deployable and debuggable within hackathon and pilot timelines: auth, users, mines, gis, inspections, incidents, compliance, contractors, alerts, documents, satellite, ai (vision / anomaly / prediction / document_ai), workflows, audit.</w:t>
      </w:r>
    </w:p>
    <w:p>
      <w:r>
        <w:br w:type="page"/>
      </w:r>
    </w:p>
    <w:p>
      <w:pPr>
        <w:pStyle w:val="Heading1"/>
        <w:pBdr>
          <w:bottom w:val="single" w:color="1F3864" w:sz="8" w:space="4"/>
        </w:pBdr>
        <w:spacing w:after="160" w:before="360"/>
      </w:pPr>
      <w:r>
        <w:rPr>
          <w:b/>
          <w:bCs/>
          <w:color w:val="1F3864"/>
          <w:sz w:val="30"/>
          <w:szCs w:val="30"/>
        </w:rPr>
        <w:t xml:space="preserve">5. Feasibility and Viability</w:t>
      </w:r>
    </w:p>
    <w:p>
      <w:pPr>
        <w:pStyle w:val="Heading2"/>
        <w:spacing w:after="120" w:before="280"/>
      </w:pPr>
      <w:r>
        <w:rPr>
          <w:b/>
          <w:bCs/>
          <w:color w:val="2E5395"/>
          <w:sz w:val="24"/>
          <w:szCs w:val="24"/>
        </w:rPr>
        <w:t xml:space="preserve">5.1 Technical Feasibility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6200"/>
      </w:tblGrid>
      <w:tr>
        <w:trPr>
          <w:tblHeader/>
        </w:trPr>
        <w:tc>
          <w:tcPr>
            <w:tcW w:type="dxa" w:w="3400"/>
            <w:shd w:fill="1F3864" w:val="clear"/>
            <w:tcMar>
              <w:top w:type="dxa" w:w="80"/>
              <w:left w:type="dxa" w:w="100"/>
              <w:bottom w:type="dxa" w:w="80"/>
              <w:right w:type="dxa" w:w="100"/>
            </w:tcMar>
          </w:tcPr>
          <w:p>
            <w:pPr>
              <w:jc w:val="left"/>
            </w:pPr>
            <w:r>
              <w:rPr>
                <w:b/>
                <w:bCs/>
                <w:color w:val="FFFFFF"/>
                <w:sz w:val="19"/>
                <w:szCs w:val="19"/>
              </w:rPr>
              <w:t xml:space="preserve">Dimension</w:t>
            </w:r>
          </w:p>
        </w:tc>
        <w:tc>
          <w:tcPr>
            <w:tcW w:type="dxa" w:w="6200"/>
            <w:shd w:fill="1F3864" w:val="clear"/>
            <w:tcMar>
              <w:top w:type="dxa" w:w="80"/>
              <w:left w:type="dxa" w:w="100"/>
              <w:bottom w:type="dxa" w:w="80"/>
              <w:right w:type="dxa" w:w="100"/>
            </w:tcMar>
          </w:tcPr>
          <w:p>
            <w:pPr>
              <w:jc w:val="left"/>
            </w:pPr>
            <w:r>
              <w:rPr>
                <w:b/>
                <w:bCs/>
                <w:color w:val="FFFFFF"/>
                <w:sz w:val="19"/>
                <w:szCs w:val="19"/>
              </w:rPr>
              <w:t xml:space="preserve">Assessment</w:t>
            </w:r>
          </w:p>
        </w:tc>
      </w:tr>
      <w:tr>
        <w:tc>
          <w:tcPr>
            <w:tcW w:type="dxa" w:w="3400"/>
            <w:tcMar>
              <w:top w:type="dxa" w:w="80"/>
              <w:left w:type="dxa" w:w="100"/>
              <w:bottom w:type="dxa" w:w="80"/>
              <w:right w:type="dxa" w:w="100"/>
            </w:tcMar>
          </w:tcPr>
          <w:p>
            <w:pPr>
              <w:jc w:val="left"/>
            </w:pPr>
            <w:r>
              <w:rPr>
                <w:b w:val="false"/>
                <w:bCs w:val="false"/>
                <w:sz w:val="19"/>
                <w:szCs w:val="19"/>
              </w:rPr>
              <w:t xml:space="preserve">Computer vision (PPE, zone, fire)</w:t>
            </w:r>
          </w:p>
        </w:tc>
        <w:tc>
          <w:tcPr>
            <w:tcW w:type="dxa" w:w="6200"/>
            <w:tcMar>
              <w:top w:type="dxa" w:w="80"/>
              <w:left w:type="dxa" w:w="100"/>
              <w:bottom w:type="dxa" w:w="80"/>
              <w:right w:type="dxa" w:w="100"/>
            </w:tcMar>
          </w:tcPr>
          <w:p>
            <w:pPr>
              <w:jc w:val="left"/>
            </w:pPr>
            <w:r>
              <w:rPr>
                <w:b w:val="false"/>
                <w:bCs w:val="false"/>
                <w:sz w:val="19"/>
                <w:szCs w:val="19"/>
              </w:rPr>
              <w:t xml:space="preserve">High — pretrained YOLO models fine-tuned on public mine/construction safety datasets achieve usable accuracy within hackathon timelines</w:t>
            </w:r>
          </w:p>
        </w:tc>
      </w:tr>
      <w:tr>
        <w:tc>
          <w:tcPr>
            <w:tcW w:type="dxa" w:w="3400"/>
            <w:shd w:fill="F2F2F2" w:val="clear"/>
            <w:tcMar>
              <w:top w:type="dxa" w:w="80"/>
              <w:left w:type="dxa" w:w="100"/>
              <w:bottom w:type="dxa" w:w="80"/>
              <w:right w:type="dxa" w:w="100"/>
            </w:tcMar>
          </w:tcPr>
          <w:p>
            <w:pPr>
              <w:jc w:val="left"/>
            </w:pPr>
            <w:r>
              <w:rPr>
                <w:b w:val="false"/>
                <w:bCs w:val="false"/>
                <w:sz w:val="19"/>
                <w:szCs w:val="19"/>
              </w:rPr>
              <w:t xml:space="preserve">GIS / geo-tagging</w:t>
            </w:r>
          </w:p>
        </w:tc>
        <w:tc>
          <w:tcPr>
            <w:tcW w:type="dxa" w:w="6200"/>
            <w:shd w:fill="F2F2F2" w:val="clear"/>
            <w:tcMar>
              <w:top w:type="dxa" w:w="80"/>
              <w:left w:type="dxa" w:w="100"/>
              <w:bottom w:type="dxa" w:w="80"/>
              <w:right w:type="dxa" w:w="100"/>
            </w:tcMar>
          </w:tcPr>
          <w:p>
            <w:pPr>
              <w:jc w:val="left"/>
            </w:pPr>
            <w:r>
              <w:rPr>
                <w:b w:val="false"/>
                <w:bCs w:val="false"/>
                <w:sz w:val="19"/>
                <w:szCs w:val="19"/>
              </w:rPr>
              <w:t xml:space="preserve">High — PostGIS and Leaflet/Mapbox are mature, well-documented, and handle mine-scale polygons easily</w:t>
            </w:r>
          </w:p>
        </w:tc>
      </w:tr>
      <w:tr>
        <w:tc>
          <w:tcPr>
            <w:tcW w:type="dxa" w:w="3400"/>
            <w:tcMar>
              <w:top w:type="dxa" w:w="80"/>
              <w:left w:type="dxa" w:w="100"/>
              <w:bottom w:type="dxa" w:w="80"/>
              <w:right w:type="dxa" w:w="100"/>
            </w:tcMar>
          </w:tcPr>
          <w:p>
            <w:pPr>
              <w:jc w:val="left"/>
            </w:pPr>
            <w:r>
              <w:rPr>
                <w:b w:val="false"/>
                <w:bCs w:val="false"/>
                <w:sz w:val="19"/>
                <w:szCs w:val="19"/>
              </w:rPr>
              <w:t xml:space="preserve">OCR / document intelligence</w:t>
            </w:r>
          </w:p>
        </w:tc>
        <w:tc>
          <w:tcPr>
            <w:tcW w:type="dxa" w:w="6200"/>
            <w:tcMar>
              <w:top w:type="dxa" w:w="80"/>
              <w:left w:type="dxa" w:w="100"/>
              <w:bottom w:type="dxa" w:w="80"/>
              <w:right w:type="dxa" w:w="100"/>
            </w:tcMar>
          </w:tcPr>
          <w:p>
            <w:pPr>
              <w:jc w:val="left"/>
            </w:pPr>
            <w:r>
              <w:rPr>
                <w:b w:val="false"/>
                <w:bCs w:val="false"/>
                <w:sz w:val="19"/>
                <w:szCs w:val="19"/>
              </w:rPr>
              <w:t xml:space="preserve">Medium-High — Tesseract/PaddleOCR handle structured certificates well; noisy scans need fallback manual review</w:t>
            </w:r>
          </w:p>
        </w:tc>
      </w:tr>
      <w:tr>
        <w:tc>
          <w:tcPr>
            <w:tcW w:type="dxa" w:w="3400"/>
            <w:shd w:fill="F2F2F2" w:val="clear"/>
            <w:tcMar>
              <w:top w:type="dxa" w:w="80"/>
              <w:left w:type="dxa" w:w="100"/>
              <w:bottom w:type="dxa" w:w="80"/>
              <w:right w:type="dxa" w:w="100"/>
            </w:tcMar>
          </w:tcPr>
          <w:p>
            <w:pPr>
              <w:jc w:val="left"/>
            </w:pPr>
            <w:r>
              <w:rPr>
                <w:b w:val="false"/>
                <w:bCs w:val="false"/>
                <w:sz w:val="19"/>
                <w:szCs w:val="19"/>
              </w:rPr>
              <w:t xml:space="preserve">Satellite change detection</w:t>
            </w:r>
          </w:p>
        </w:tc>
        <w:tc>
          <w:tcPr>
            <w:tcW w:type="dxa" w:w="6200"/>
            <w:shd w:fill="F2F2F2" w:val="clear"/>
            <w:tcMar>
              <w:top w:type="dxa" w:w="80"/>
              <w:left w:type="dxa" w:w="100"/>
              <w:bottom w:type="dxa" w:w="80"/>
              <w:right w:type="dxa" w:w="100"/>
            </w:tcMar>
          </w:tcPr>
          <w:p>
            <w:pPr>
              <w:jc w:val="left"/>
            </w:pPr>
            <w:r>
              <w:rPr>
                <w:b w:val="false"/>
                <w:bCs w:val="false"/>
                <w:sz w:val="19"/>
                <w:szCs w:val="19"/>
              </w:rPr>
              <w:t xml:space="preserve">Medium — public Sentinel-2 imagery is free and sufficient for a proof-of-concept; production-grade accuracy needs curated ground-truth data and time</w:t>
            </w:r>
          </w:p>
        </w:tc>
      </w:tr>
      <w:tr>
        <w:tc>
          <w:tcPr>
            <w:tcW w:type="dxa" w:w="3400"/>
            <w:tcMar>
              <w:top w:type="dxa" w:w="80"/>
              <w:left w:type="dxa" w:w="100"/>
              <w:bottom w:type="dxa" w:w="80"/>
              <w:right w:type="dxa" w:w="100"/>
            </w:tcMar>
          </w:tcPr>
          <w:p>
            <w:pPr>
              <w:jc w:val="left"/>
            </w:pPr>
            <w:r>
              <w:rPr>
                <w:b w:val="false"/>
                <w:bCs w:val="false"/>
                <w:sz w:val="19"/>
                <w:szCs w:val="19"/>
              </w:rPr>
              <w:t xml:space="preserve">Risk engine &amp; rule engine</w:t>
            </w:r>
          </w:p>
        </w:tc>
        <w:tc>
          <w:tcPr>
            <w:tcW w:type="dxa" w:w="6200"/>
            <w:tcMar>
              <w:top w:type="dxa" w:w="80"/>
              <w:left w:type="dxa" w:w="100"/>
              <w:bottom w:type="dxa" w:w="80"/>
              <w:right w:type="dxa" w:w="100"/>
            </w:tcMar>
          </w:tcPr>
          <w:p>
            <w:pPr>
              <w:jc w:val="left"/>
            </w:pPr>
            <w:r>
              <w:rPr>
                <w:b w:val="false"/>
                <w:bCs w:val="false"/>
                <w:sz w:val="19"/>
                <w:szCs w:val="19"/>
              </w:rPr>
              <w:t xml:space="preserve">High — deterministic scoring logic is straightforward to implement and defend to judges/regulators</w:t>
            </w:r>
          </w:p>
        </w:tc>
      </w:tr>
      <w:tr>
        <w:tc>
          <w:tcPr>
            <w:tcW w:type="dxa" w:w="3400"/>
            <w:shd w:fill="F2F2F2" w:val="clear"/>
            <w:tcMar>
              <w:top w:type="dxa" w:w="80"/>
              <w:left w:type="dxa" w:w="100"/>
              <w:bottom w:type="dxa" w:w="80"/>
              <w:right w:type="dxa" w:w="100"/>
            </w:tcMar>
          </w:tcPr>
          <w:p>
            <w:pPr>
              <w:jc w:val="left"/>
            </w:pPr>
            <w:r>
              <w:rPr>
                <w:b w:val="false"/>
                <w:bCs w:val="false"/>
                <w:sz w:val="19"/>
                <w:szCs w:val="19"/>
              </w:rPr>
              <w:t xml:space="preserve">Predictive ML (recurring violations, forecasting)</w:t>
            </w:r>
          </w:p>
        </w:tc>
        <w:tc>
          <w:tcPr>
            <w:tcW w:type="dxa" w:w="6200"/>
            <w:shd w:fill="F2F2F2" w:val="clear"/>
            <w:tcMar>
              <w:top w:type="dxa" w:w="80"/>
              <w:left w:type="dxa" w:w="100"/>
              <w:bottom w:type="dxa" w:w="80"/>
              <w:right w:type="dxa" w:w="100"/>
            </w:tcMar>
          </w:tcPr>
          <w:p>
            <w:pPr>
              <w:jc w:val="left"/>
            </w:pPr>
            <w:r>
              <w:rPr>
                <w:b w:val="false"/>
                <w:bCs w:val="false"/>
                <w:sz w:val="19"/>
                <w:szCs w:val="19"/>
              </w:rPr>
              <w:t xml:space="preserve">Medium — depends on volume/quality of historical data; strongest as a Phase 2/3 feature once real data accumulates</w:t>
            </w:r>
          </w:p>
        </w:tc>
      </w:tr>
      <w:tr>
        <w:tc>
          <w:tcPr>
            <w:tcW w:type="dxa" w:w="3400"/>
            <w:tcMar>
              <w:top w:type="dxa" w:w="80"/>
              <w:left w:type="dxa" w:w="100"/>
              <w:bottom w:type="dxa" w:w="80"/>
              <w:right w:type="dxa" w:w="100"/>
            </w:tcMar>
          </w:tcPr>
          <w:p>
            <w:pPr>
              <w:jc w:val="left"/>
            </w:pPr>
            <w:r>
              <w:rPr>
                <w:b w:val="false"/>
                <w:bCs w:val="false"/>
                <w:sz w:val="19"/>
                <w:szCs w:val="19"/>
              </w:rPr>
              <w:t xml:space="preserve">Multilingual conversational interface</w:t>
            </w:r>
          </w:p>
        </w:tc>
        <w:tc>
          <w:tcPr>
            <w:tcW w:type="dxa" w:w="6200"/>
            <w:tcMar>
              <w:top w:type="dxa" w:w="80"/>
              <w:left w:type="dxa" w:w="100"/>
              <w:bottom w:type="dxa" w:w="80"/>
              <w:right w:type="dxa" w:w="100"/>
            </w:tcMar>
          </w:tcPr>
          <w:p>
            <w:pPr>
              <w:jc w:val="left"/>
            </w:pPr>
            <w:r>
              <w:rPr>
                <w:b w:val="false"/>
                <w:bCs w:val="false"/>
                <w:sz w:val="19"/>
                <w:szCs w:val="19"/>
              </w:rPr>
              <w:t xml:space="preserve">Medium-High — mature ASR/NLP options exist for major Indian languages; accuracy for mining-specific vocabulary needs a small fine-tuning/glossary pass</w:t>
            </w:r>
          </w:p>
        </w:tc>
      </w:tr>
      <w:tr>
        <w:tc>
          <w:tcPr>
            <w:tcW w:type="dxa" w:w="3400"/>
            <w:shd w:fill="F2F2F2" w:val="clear"/>
            <w:tcMar>
              <w:top w:type="dxa" w:w="80"/>
              <w:left w:type="dxa" w:w="100"/>
              <w:bottom w:type="dxa" w:w="80"/>
              <w:right w:type="dxa" w:w="100"/>
            </w:tcMar>
          </w:tcPr>
          <w:p>
            <w:pPr>
              <w:jc w:val="left"/>
            </w:pPr>
            <w:r>
              <w:rPr>
                <w:b w:val="false"/>
                <w:bCs w:val="false"/>
                <w:sz w:val="19"/>
                <w:szCs w:val="19"/>
              </w:rPr>
              <w:t xml:space="preserve">Blockchain-based audit trail (optional)</w:t>
            </w:r>
          </w:p>
        </w:tc>
        <w:tc>
          <w:tcPr>
            <w:tcW w:type="dxa" w:w="6200"/>
            <w:shd w:fill="F2F2F2" w:val="clear"/>
            <w:tcMar>
              <w:top w:type="dxa" w:w="80"/>
              <w:left w:type="dxa" w:w="100"/>
              <w:bottom w:type="dxa" w:w="80"/>
              <w:right w:type="dxa" w:w="100"/>
            </w:tcMar>
          </w:tcPr>
          <w:p>
            <w:pPr>
              <w:jc w:val="left"/>
            </w:pPr>
            <w:r>
              <w:rPr>
                <w:b w:val="false"/>
                <w:bCs w:val="false"/>
                <w:sz w:val="19"/>
                <w:szCs w:val="19"/>
              </w:rPr>
              <w:t xml:space="preserve">Medium — technically straightforward with a permissioned ledger, but only worth the added operational overhead once the platform spans multiple subsidiaries/regulators; not recommended as the default for a single-mine MVP</w:t>
            </w:r>
          </w:p>
        </w:tc>
      </w:tr>
    </w:tbl>
    <w:p>
      <w:pPr>
        <w:pStyle w:val="Heading2"/>
        <w:spacing w:after="120" w:before="280"/>
      </w:pPr>
      <w:r>
        <w:rPr>
          <w:b/>
          <w:bCs/>
          <w:color w:val="2E5395"/>
          <w:sz w:val="24"/>
          <w:szCs w:val="24"/>
        </w:rPr>
        <w:t xml:space="preserve">5.2 Data &amp; Operational Feasibility</w:t>
      </w:r>
    </w:p>
    <w:p>
      <w:pPr>
        <w:pStyle w:val="ListParagraph"/>
        <w:numPr>
          <w:ilvl w:val="0"/>
          <w:numId w:val="2"/>
        </w:numPr>
        <w:spacing w:after="60" w:line="280"/>
      </w:pPr>
      <w:r>
        <w:rPr>
          <w:sz w:val="21"/>
          <w:szCs w:val="21"/>
        </w:rPr>
        <w:t xml:space="preserve">Public/synthetic datasets (construction-site PPE datasets, sample Sentinel-2 tiles, mock compliance documents) are sufficient to build and demo a credible MVP without requiring live mine access.</w:t>
      </w:r>
    </w:p>
    <w:p>
      <w:pPr>
        <w:pStyle w:val="ListParagraph"/>
        <w:numPr>
          <w:ilvl w:val="0"/>
          <w:numId w:val="2"/>
        </w:numPr>
        <w:spacing w:after="60" w:line="280"/>
      </w:pPr>
      <w:r>
        <w:rPr>
          <w:sz w:val="21"/>
          <w:szCs w:val="21"/>
        </w:rPr>
        <w:t xml:space="preserve">Offline-first mobile design accounts for the poor connectivity typical of open-cast mine terrain.</w:t>
      </w:r>
    </w:p>
    <w:p>
      <w:pPr>
        <w:pStyle w:val="ListParagraph"/>
        <w:numPr>
          <w:ilvl w:val="0"/>
          <w:numId w:val="2"/>
        </w:numPr>
        <w:spacing w:after="60" w:line="280"/>
      </w:pPr>
      <w:r>
        <w:rPr>
          <w:sz w:val="21"/>
          <w:szCs w:val="21"/>
        </w:rPr>
        <w:t xml:space="preserve">Role-based access design aligns with how mines are actually organized (operator, safety officer, environmental officer, contractor, corporate, regulator), reducing adoption friction.</w:t>
      </w:r>
    </w:p>
    <w:p>
      <w:pPr>
        <w:pStyle w:val="ListParagraph"/>
        <w:numPr>
          <w:ilvl w:val="0"/>
          <w:numId w:val="2"/>
        </w:numPr>
        <w:spacing w:after="60" w:line="280"/>
      </w:pPr>
      <w:r>
        <w:rPr>
          <w:sz w:val="21"/>
          <w:szCs w:val="21"/>
        </w:rPr>
        <w:t xml:space="preserve">Rule engine (not a black-box LLM) making the final compliance decision keeps outputs auditable and defensible to regulators — a real deployment blocker for pure-AI systems.</w:t>
      </w:r>
    </w:p>
    <w:p>
      <w:pPr>
        <w:pStyle w:val="Heading2"/>
        <w:spacing w:after="120" w:before="280"/>
      </w:pPr>
      <w:r>
        <w:rPr>
          <w:b/>
          <w:bCs/>
          <w:color w:val="2E5395"/>
          <w:sz w:val="24"/>
          <w:szCs w:val="24"/>
        </w:rPr>
        <w:t xml:space="preserve">5.3 Economic Viability</w:t>
      </w:r>
    </w:p>
    <w:p>
      <w:pPr>
        <w:spacing w:after="140" w:line="300"/>
      </w:pPr>
      <w:r>
        <w:rPr>
          <w:sz w:val="21"/>
          <w:szCs w:val="21"/>
        </w:rPr>
        <w:t xml:space="preserve">The stack is built almost entirely on open-source components (PyTorch, FastAPI, PostgreSQL/PostGIS, React, Tesseract) and free/public satellite imagery, keeping licensing cost near zero. Primary ongoing costs are compute (GPU inference for CV), storage for CCTV/imagery, and SMS/notification API usage — all of which scale with the number of mines onboarded, making a phased, low-capex rollout realistic for state/central coal authorities.</w:t>
      </w:r>
    </w:p>
    <w:p>
      <w:pPr>
        <w:pStyle w:val="Heading2"/>
        <w:spacing w:after="120" w:before="280"/>
      </w:pPr>
      <w:r>
        <w:rPr>
          <w:b/>
          <w:bCs/>
          <w:color w:val="2E5395"/>
          <w:sz w:val="24"/>
          <w:szCs w:val="24"/>
        </w:rPr>
        <w:t xml:space="preserve">5.4 Potential Challenges and Mitigation Strategies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rPr>
          <w:tblHeader/>
        </w:trPr>
        <w:tc>
          <w:tcPr>
            <w:tcW w:type="dxa" w:w="3600"/>
            <w:shd w:fill="1F3864" w:val="clear"/>
            <w:tcMar>
              <w:top w:type="dxa" w:w="80"/>
              <w:left w:type="dxa" w:w="100"/>
              <w:bottom w:type="dxa" w:w="80"/>
              <w:right w:type="dxa" w:w="100"/>
            </w:tcMar>
          </w:tcPr>
          <w:p>
            <w:pPr>
              <w:jc w:val="left"/>
            </w:pPr>
            <w:r>
              <w:rPr>
                <w:b/>
                <w:bCs/>
                <w:color w:val="FFFFFF"/>
                <w:sz w:val="19"/>
                <w:szCs w:val="19"/>
              </w:rPr>
              <w:t xml:space="preserve">Challenge</w:t>
            </w:r>
          </w:p>
        </w:tc>
        <w:tc>
          <w:tcPr>
            <w:tcW w:type="dxa" w:w="6000"/>
            <w:shd w:fill="1F3864" w:val="clear"/>
            <w:tcMar>
              <w:top w:type="dxa" w:w="80"/>
              <w:left w:type="dxa" w:w="100"/>
              <w:bottom w:type="dxa" w:w="80"/>
              <w:right w:type="dxa" w:w="100"/>
            </w:tcMar>
          </w:tcPr>
          <w:p>
            <w:pPr>
              <w:jc w:val="left"/>
            </w:pPr>
            <w:r>
              <w:rPr>
                <w:b/>
                <w:bCs/>
                <w:color w:val="FFFFFF"/>
                <w:sz w:val="19"/>
                <w:szCs w:val="19"/>
              </w:rPr>
              <w:t xml:space="preserve">Mitigation Strategy</w:t>
            </w:r>
          </w:p>
        </w:tc>
      </w:tr>
      <w:tr>
        <w:tc>
          <w:tcPr>
            <w:tcW w:type="dxa" w:w="3600"/>
            <w:tcMar>
              <w:top w:type="dxa" w:w="80"/>
              <w:left w:type="dxa" w:w="100"/>
              <w:bottom w:type="dxa" w:w="80"/>
              <w:right w:type="dxa" w:w="100"/>
            </w:tcMar>
          </w:tcPr>
          <w:p>
            <w:pPr>
              <w:jc w:val="left"/>
            </w:pPr>
            <w:r>
              <w:rPr>
                <w:b w:val="false"/>
                <w:bCs w:val="false"/>
                <w:sz w:val="19"/>
                <w:szCs w:val="19"/>
              </w:rPr>
              <w:t xml:space="preserve">False positives from CV models (e.g. helmet misdetection) eroding trust</w:t>
            </w:r>
          </w:p>
        </w:tc>
        <w:tc>
          <w:tcPr>
            <w:tcW w:type="dxa" w:w="6000"/>
            <w:tcMar>
              <w:top w:type="dxa" w:w="80"/>
              <w:left w:type="dxa" w:w="100"/>
              <w:bottom w:type="dxa" w:w="80"/>
              <w:right w:type="dxa" w:w="100"/>
            </w:tcMar>
          </w:tcPr>
          <w:p>
            <w:pPr>
              <w:jc w:val="left"/>
            </w:pPr>
            <w:r>
              <w:rPr>
                <w:b w:val="false"/>
                <w:bCs w:val="false"/>
                <w:sz w:val="19"/>
                <w:szCs w:val="19"/>
              </w:rPr>
              <w:t xml:space="preserve">Confidence thresholds + mandatory human verification step before an incident is formally logged as a violation</w:t>
            </w:r>
          </w:p>
        </w:tc>
      </w:tr>
      <w:tr>
        <w:tc>
          <w:tcPr>
            <w:tcW w:type="dxa" w:w="3600"/>
            <w:shd w:fill="F2F2F2" w:val="clear"/>
            <w:tcMar>
              <w:top w:type="dxa" w:w="80"/>
              <w:left w:type="dxa" w:w="100"/>
              <w:bottom w:type="dxa" w:w="80"/>
              <w:right w:type="dxa" w:w="100"/>
            </w:tcMar>
          </w:tcPr>
          <w:p>
            <w:pPr>
              <w:jc w:val="left"/>
            </w:pPr>
            <w:r>
              <w:rPr>
                <w:b w:val="false"/>
                <w:bCs w:val="false"/>
                <w:sz w:val="19"/>
                <w:szCs w:val="19"/>
              </w:rPr>
              <w:t xml:space="preserve">Connectivity gaps in remote mine areas</w:t>
            </w:r>
          </w:p>
        </w:tc>
        <w:tc>
          <w:tcPr>
            <w:tcW w:type="dxa" w:w="6000"/>
            <w:shd w:fill="F2F2F2" w:val="clear"/>
            <w:tcMar>
              <w:top w:type="dxa" w:w="80"/>
              <w:left w:type="dxa" w:w="100"/>
              <w:bottom w:type="dxa" w:w="80"/>
              <w:right w:type="dxa" w:w="100"/>
            </w:tcMar>
          </w:tcPr>
          <w:p>
            <w:pPr>
              <w:jc w:val="left"/>
            </w:pPr>
            <w:r>
              <w:rPr>
                <w:b w:val="false"/>
                <w:bCs w:val="false"/>
                <w:sz w:val="19"/>
                <w:szCs w:val="19"/>
              </w:rPr>
              <w:t xml:space="preserve">Offline-first field app with local storage and background sync</w:t>
            </w:r>
          </w:p>
        </w:tc>
      </w:tr>
      <w:tr>
        <w:tc>
          <w:tcPr>
            <w:tcW w:type="dxa" w:w="3600"/>
            <w:tcMar>
              <w:top w:type="dxa" w:w="80"/>
              <w:left w:type="dxa" w:w="100"/>
              <w:bottom w:type="dxa" w:w="80"/>
              <w:right w:type="dxa" w:w="100"/>
            </w:tcMar>
          </w:tcPr>
          <w:p>
            <w:pPr>
              <w:jc w:val="left"/>
            </w:pPr>
            <w:r>
              <w:rPr>
                <w:b w:val="false"/>
                <w:bCs w:val="false"/>
                <w:sz w:val="19"/>
                <w:szCs w:val="19"/>
              </w:rPr>
              <w:t xml:space="preserve">Legal risk of AI making unsupported claims (e.g. "illegal mining confirmed")</w:t>
            </w:r>
          </w:p>
        </w:tc>
        <w:tc>
          <w:tcPr>
            <w:tcW w:type="dxa" w:w="6000"/>
            <w:tcMar>
              <w:top w:type="dxa" w:w="80"/>
              <w:left w:type="dxa" w:w="100"/>
              <w:bottom w:type="dxa" w:w="80"/>
              <w:right w:type="dxa" w:w="100"/>
            </w:tcMar>
          </w:tcPr>
          <w:p>
            <w:pPr>
              <w:jc w:val="left"/>
            </w:pPr>
            <w:r>
              <w:rPr>
                <w:b w:val="false"/>
                <w:bCs w:val="false"/>
                <w:sz w:val="19"/>
                <w:szCs w:val="19"/>
              </w:rPr>
              <w:t xml:space="preserve">AI outputs are always framed as "possible / requires verification"; only a human-verified record becomes an official finding</w:t>
            </w:r>
          </w:p>
        </w:tc>
      </w:tr>
      <w:tr>
        <w:tc>
          <w:tcPr>
            <w:tcW w:type="dxa" w:w="3600"/>
            <w:shd w:fill="F2F2F2" w:val="clear"/>
            <w:tcMar>
              <w:top w:type="dxa" w:w="80"/>
              <w:left w:type="dxa" w:w="100"/>
              <w:bottom w:type="dxa" w:w="80"/>
              <w:right w:type="dxa" w:w="100"/>
            </w:tcMar>
          </w:tcPr>
          <w:p>
            <w:pPr>
              <w:jc w:val="left"/>
            </w:pPr>
            <w:r>
              <w:rPr>
                <w:b w:val="false"/>
                <w:bCs w:val="false"/>
                <w:sz w:val="19"/>
                <w:szCs w:val="19"/>
              </w:rPr>
              <w:t xml:space="preserve">Overpromising scope ("we monitor every aspect of a mine")</w:t>
            </w:r>
          </w:p>
        </w:tc>
        <w:tc>
          <w:tcPr>
            <w:tcW w:type="dxa" w:w="6000"/>
            <w:shd w:fill="F2F2F2" w:val="clear"/>
            <w:tcMar>
              <w:top w:type="dxa" w:w="80"/>
              <w:left w:type="dxa" w:w="100"/>
              <w:bottom w:type="dxa" w:w="80"/>
              <w:right w:type="dxa" w:w="100"/>
            </w:tcMar>
          </w:tcPr>
          <w:p>
            <w:pPr>
              <w:jc w:val="left"/>
            </w:pPr>
            <w:r>
              <w:rPr>
                <w:b w:val="false"/>
                <w:bCs w:val="false"/>
                <w:sz w:val="19"/>
                <w:szCs w:val="19"/>
              </w:rPr>
              <w:t xml:space="preserve">MVP explicitly scoped to 2–3 CV scenarios plus one strong satellite/GIS workflow, clearly communicated as a governance-layer demonstration rather than total coverage</w:t>
            </w:r>
          </w:p>
        </w:tc>
      </w:tr>
      <w:tr>
        <w:tc>
          <w:tcPr>
            <w:tcW w:type="dxa" w:w="3600"/>
            <w:tcMar>
              <w:top w:type="dxa" w:w="80"/>
              <w:left w:type="dxa" w:w="100"/>
              <w:bottom w:type="dxa" w:w="80"/>
              <w:right w:type="dxa" w:w="100"/>
            </w:tcMar>
          </w:tcPr>
          <w:p>
            <w:pPr>
              <w:jc w:val="left"/>
            </w:pPr>
            <w:r>
              <w:rPr>
                <w:b w:val="false"/>
                <w:bCs w:val="false"/>
                <w:sz w:val="19"/>
                <w:szCs w:val="19"/>
              </w:rPr>
              <w:t xml:space="preserve">Data privacy/security for CCTV and worker data</w:t>
            </w:r>
          </w:p>
        </w:tc>
        <w:tc>
          <w:tcPr>
            <w:tcW w:type="dxa" w:w="6000"/>
            <w:tcMar>
              <w:top w:type="dxa" w:w="80"/>
              <w:left w:type="dxa" w:w="100"/>
              <w:bottom w:type="dxa" w:w="80"/>
              <w:right w:type="dxa" w:w="100"/>
            </w:tcMar>
          </w:tcPr>
          <w:p>
            <w:pPr>
              <w:jc w:val="left"/>
            </w:pPr>
            <w:r>
              <w:rPr>
                <w:b w:val="false"/>
                <w:bCs w:val="false"/>
                <w:sz w:val="19"/>
                <w:szCs w:val="19"/>
              </w:rPr>
              <w:t xml:space="preserve">Role-based access control, encrypted storage, audit logging on data access, and data retention policies</w:t>
            </w:r>
          </w:p>
        </w:tc>
      </w:tr>
      <w:tr>
        <w:tc>
          <w:tcPr>
            <w:tcW w:type="dxa" w:w="3600"/>
            <w:shd w:fill="F2F2F2" w:val="clear"/>
            <w:tcMar>
              <w:top w:type="dxa" w:w="80"/>
              <w:left w:type="dxa" w:w="100"/>
              <w:bottom w:type="dxa" w:w="80"/>
              <w:right w:type="dxa" w:w="100"/>
            </w:tcMar>
          </w:tcPr>
          <w:p>
            <w:pPr>
              <w:jc w:val="left"/>
            </w:pPr>
            <w:r>
              <w:rPr>
                <w:b w:val="false"/>
                <w:bCs w:val="false"/>
                <w:sz w:val="19"/>
                <w:szCs w:val="19"/>
              </w:rPr>
              <w:t xml:space="preserve">Integration with existing systems (CMSMS/Khan Prahari, DGMS reporting)</w:t>
            </w:r>
          </w:p>
        </w:tc>
        <w:tc>
          <w:tcPr>
            <w:tcW w:type="dxa" w:w="6000"/>
            <w:shd w:fill="F2F2F2" w:val="clear"/>
            <w:tcMar>
              <w:top w:type="dxa" w:w="80"/>
              <w:left w:type="dxa" w:w="100"/>
              <w:bottom w:type="dxa" w:w="80"/>
              <w:right w:type="dxa" w:w="100"/>
            </w:tcMar>
          </w:tcPr>
          <w:p>
            <w:pPr>
              <w:jc w:val="left"/>
            </w:pPr>
            <w:r>
              <w:rPr>
                <w:b w:val="false"/>
                <w:bCs w:val="false"/>
                <w:sz w:val="19"/>
                <w:szCs w:val="19"/>
              </w:rPr>
              <w:t xml:space="preserve">Design GIS/satellite module as an integration layer that can ingest external alerts rather than duplicating detection</w:t>
            </w:r>
          </w:p>
        </w:tc>
      </w:tr>
      <w:tr>
        <w:tc>
          <w:tcPr>
            <w:tcW w:type="dxa" w:w="3600"/>
            <w:tcMar>
              <w:top w:type="dxa" w:w="80"/>
              <w:left w:type="dxa" w:w="100"/>
              <w:bottom w:type="dxa" w:w="80"/>
              <w:right w:type="dxa" w:w="100"/>
            </w:tcMar>
          </w:tcPr>
          <w:p>
            <w:pPr>
              <w:jc w:val="left"/>
            </w:pPr>
            <w:r>
              <w:rPr>
                <w:b w:val="false"/>
                <w:bCs w:val="false"/>
                <w:sz w:val="19"/>
                <w:szCs w:val="19"/>
              </w:rPr>
              <w:t xml:space="preserve">Adoption resistance from field staff</w:t>
            </w:r>
          </w:p>
        </w:tc>
        <w:tc>
          <w:tcPr>
            <w:tcW w:type="dxa" w:w="6000"/>
            <w:tcMar>
              <w:top w:type="dxa" w:w="80"/>
              <w:left w:type="dxa" w:w="100"/>
              <w:bottom w:type="dxa" w:w="80"/>
              <w:right w:type="dxa" w:w="100"/>
            </w:tcMar>
          </w:tcPr>
          <w:p>
            <w:pPr>
              <w:jc w:val="left"/>
            </w:pPr>
            <w:r>
              <w:rPr>
                <w:b w:val="false"/>
                <w:bCs w:val="false"/>
                <w:sz w:val="19"/>
                <w:szCs w:val="19"/>
              </w:rPr>
              <w:t xml:space="preserve">Mobile app kept minimal (form + photo + GPS); most structuring work shifted to AI, not the inspector</w:t>
            </w:r>
          </w:p>
        </w:tc>
      </w:tr>
    </w:tbl>
    <w:p>
      <w:r>
        <w:br w:type="page"/>
      </w:r>
    </w:p>
    <w:p>
      <w:pPr>
        <w:pStyle w:val="Heading1"/>
        <w:pBdr>
          <w:bottom w:val="single" w:color="1F3864" w:sz="8" w:space="4"/>
        </w:pBdr>
        <w:spacing w:after="160" w:before="360"/>
      </w:pPr>
      <w:r>
        <w:rPr>
          <w:b/>
          <w:bCs/>
          <w:color w:val="1F3864"/>
          <w:sz w:val="30"/>
          <w:szCs w:val="30"/>
        </w:rPr>
        <w:t xml:space="preserve">6. Impact and Benefits</w:t>
      </w:r>
    </w:p>
    <w:p>
      <w:pPr>
        <w:pStyle w:val="Heading2"/>
        <w:spacing w:after="120" w:before="280"/>
      </w:pPr>
      <w:r>
        <w:rPr>
          <w:b/>
          <w:bCs/>
          <w:color w:val="2E5395"/>
          <w:sz w:val="24"/>
          <w:szCs w:val="24"/>
        </w:rPr>
        <w:t xml:space="preserve">6.1 Social Impact</w:t>
      </w:r>
    </w:p>
    <w:p>
      <w:pPr>
        <w:pStyle w:val="ListParagraph"/>
        <w:numPr>
          <w:ilvl w:val="0"/>
          <w:numId w:val="2"/>
        </w:numPr>
        <w:spacing w:after="60" w:line="280"/>
      </w:pPr>
      <w:r>
        <w:rPr>
          <w:sz w:val="21"/>
          <w:szCs w:val="21"/>
        </w:rPr>
        <w:t xml:space="preserve">Fewer safety incidents through real-time PPE and restricted-zone monitoring, protecting mine workers.</w:t>
      </w:r>
    </w:p>
    <w:p>
      <w:pPr>
        <w:pStyle w:val="ListParagraph"/>
        <w:numPr>
          <w:ilvl w:val="0"/>
          <w:numId w:val="2"/>
        </w:numPr>
        <w:spacing w:after="60" w:line="280"/>
      </w:pPr>
      <w:r>
        <w:rPr>
          <w:sz w:val="21"/>
          <w:szCs w:val="21"/>
        </w:rPr>
        <w:t xml:space="preserve">Faster emergency response (fire/smoke) reduces casualty and damage risk.</w:t>
      </w:r>
    </w:p>
    <w:p>
      <w:pPr>
        <w:pStyle w:val="ListParagraph"/>
        <w:numPr>
          <w:ilvl w:val="0"/>
          <w:numId w:val="2"/>
        </w:numPr>
        <w:spacing w:after="60" w:line="280"/>
      </w:pPr>
      <w:r>
        <w:rPr>
          <w:sz w:val="21"/>
          <w:szCs w:val="21"/>
        </w:rPr>
        <w:t xml:space="preserve">Greater transparency for local communities and regulators via verifiable, audited compliance records.</w:t>
      </w:r>
    </w:p>
    <w:p>
      <w:pPr>
        <w:pStyle w:val="Heading2"/>
        <w:spacing w:after="120" w:before="280"/>
      </w:pPr>
      <w:r>
        <w:rPr>
          <w:b/>
          <w:bCs/>
          <w:color w:val="2E5395"/>
          <w:sz w:val="24"/>
          <w:szCs w:val="24"/>
        </w:rPr>
        <w:t xml:space="preserve">6.2 Economic Impact</w:t>
      </w:r>
    </w:p>
    <w:p>
      <w:pPr>
        <w:pStyle w:val="ListParagraph"/>
        <w:numPr>
          <w:ilvl w:val="0"/>
          <w:numId w:val="2"/>
        </w:numPr>
        <w:spacing w:after="60" w:line="280"/>
      </w:pPr>
      <w:r>
        <w:rPr>
          <w:sz w:val="21"/>
          <w:szCs w:val="21"/>
        </w:rPr>
        <w:t xml:space="preserve">Reduces manual inspection and paperwork overhead through AI-assisted structuring of field reports and documents.</w:t>
      </w:r>
    </w:p>
    <w:p>
      <w:pPr>
        <w:pStyle w:val="ListParagraph"/>
        <w:numPr>
          <w:ilvl w:val="0"/>
          <w:numId w:val="2"/>
        </w:numPr>
        <w:spacing w:after="60" w:line="280"/>
      </w:pPr>
      <w:r>
        <w:rPr>
          <w:sz w:val="21"/>
          <w:szCs w:val="21"/>
        </w:rPr>
        <w:t xml:space="preserve">Lowers regulatory/legal risk exposure for mine operators by maintaining a defensible, timestamped audit trail.</w:t>
      </w:r>
    </w:p>
    <w:p>
      <w:pPr>
        <w:pStyle w:val="ListParagraph"/>
        <w:numPr>
          <w:ilvl w:val="0"/>
          <w:numId w:val="2"/>
        </w:numPr>
        <w:spacing w:after="60" w:line="280"/>
      </w:pPr>
      <w:r>
        <w:rPr>
          <w:sz w:val="21"/>
          <w:szCs w:val="21"/>
        </w:rPr>
        <w:t xml:space="preserve">Improves contractor accountability, reducing repeat-violation costs and downtime from incidents.</w:t>
      </w:r>
    </w:p>
    <w:p>
      <w:pPr>
        <w:pStyle w:val="Heading2"/>
        <w:spacing w:after="120" w:before="280"/>
      </w:pPr>
      <w:r>
        <w:rPr>
          <w:b/>
          <w:bCs/>
          <w:color w:val="2E5395"/>
          <w:sz w:val="24"/>
          <w:szCs w:val="24"/>
        </w:rPr>
        <w:t xml:space="preserve">6.3 Environmental Impact</w:t>
      </w:r>
    </w:p>
    <w:p>
      <w:pPr>
        <w:pStyle w:val="ListParagraph"/>
        <w:numPr>
          <w:ilvl w:val="0"/>
          <w:numId w:val="2"/>
        </w:numPr>
        <w:spacing w:after="60" w:line="280"/>
      </w:pPr>
      <w:r>
        <w:rPr>
          <w:sz w:val="21"/>
          <w:szCs w:val="21"/>
        </w:rPr>
        <w:t xml:space="preserve">Early flagging of activity outside authorized lease boundaries supports faster regulatory response.</w:t>
      </w:r>
    </w:p>
    <w:p>
      <w:pPr>
        <w:pStyle w:val="ListParagraph"/>
        <w:numPr>
          <w:ilvl w:val="0"/>
          <w:numId w:val="2"/>
        </w:numPr>
        <w:spacing w:after="60" w:line="280"/>
      </w:pPr>
      <w:r>
        <w:rPr>
          <w:sz w:val="21"/>
          <w:szCs w:val="21"/>
        </w:rPr>
        <w:t xml:space="preserve">Continuous dust/water/noise/vegetation signals support proactive environmental management rather than reactive reporting.</w:t>
      </w:r>
    </w:p>
    <w:p>
      <w:pPr>
        <w:pStyle w:val="Heading2"/>
        <w:spacing w:after="120" w:before="280"/>
      </w:pPr>
      <w:r>
        <w:rPr>
          <w:b/>
          <w:bCs/>
          <w:color w:val="2E5395"/>
          <w:sz w:val="24"/>
          <w:szCs w:val="24"/>
        </w:rPr>
        <w:t xml:space="preserve">6.4 Alignment with PS Requirements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rPr>
          <w:tblHeader/>
        </w:trPr>
        <w:tc>
          <w:tcPr>
            <w:tcW w:type="dxa" w:w="3600"/>
            <w:shd w:fill="1F3864" w:val="clear"/>
            <w:tcMar>
              <w:top w:type="dxa" w:w="80"/>
              <w:left w:type="dxa" w:w="100"/>
              <w:bottom w:type="dxa" w:w="80"/>
              <w:right w:type="dxa" w:w="100"/>
            </w:tcMar>
          </w:tcPr>
          <w:p>
            <w:pPr>
              <w:jc w:val="left"/>
            </w:pPr>
            <w:r>
              <w:rPr>
                <w:b/>
                <w:bCs/>
                <w:color w:val="FFFFFF"/>
                <w:sz w:val="19"/>
                <w:szCs w:val="19"/>
              </w:rPr>
              <w:t xml:space="preserve">PS Requirement</w:t>
            </w:r>
          </w:p>
        </w:tc>
        <w:tc>
          <w:tcPr>
            <w:tcW w:type="dxa" w:w="6000"/>
            <w:shd w:fill="1F3864" w:val="clear"/>
            <w:tcMar>
              <w:top w:type="dxa" w:w="80"/>
              <w:left w:type="dxa" w:w="100"/>
              <w:bottom w:type="dxa" w:w="80"/>
              <w:right w:type="dxa" w:w="100"/>
            </w:tcMar>
          </w:tcPr>
          <w:p>
            <w:pPr>
              <w:jc w:val="left"/>
            </w:pPr>
            <w:r>
              <w:rPr>
                <w:b/>
                <w:bCs/>
                <w:color w:val="FFFFFF"/>
                <w:sz w:val="19"/>
                <w:szCs w:val="19"/>
              </w:rPr>
              <w:t xml:space="preserve">How AI MineGuard Addresses It</w:t>
            </w:r>
          </w:p>
        </w:tc>
      </w:tr>
      <w:tr>
        <w:tc>
          <w:tcPr>
            <w:tcW w:type="dxa" w:w="3600"/>
            <w:tcMar>
              <w:top w:type="dxa" w:w="80"/>
              <w:left w:type="dxa" w:w="100"/>
              <w:bottom w:type="dxa" w:w="80"/>
              <w:right w:type="dxa" w:w="100"/>
            </w:tcMar>
          </w:tcPr>
          <w:p>
            <w:pPr>
              <w:jc w:val="left"/>
            </w:pPr>
            <w:r>
              <w:rPr>
                <w:b w:val="false"/>
                <w:bCs w:val="false"/>
                <w:sz w:val="19"/>
                <w:szCs w:val="19"/>
              </w:rPr>
              <w:t xml:space="preserve">Statutory compliance — safety, environment, production, labour</w:t>
            </w:r>
          </w:p>
        </w:tc>
        <w:tc>
          <w:tcPr>
            <w:tcW w:type="dxa" w:w="6000"/>
            <w:tcMar>
              <w:top w:type="dxa" w:w="80"/>
              <w:left w:type="dxa" w:w="100"/>
              <w:bottom w:type="dxa" w:w="80"/>
              <w:right w:type="dxa" w:w="100"/>
            </w:tcMar>
          </w:tcPr>
          <w:p>
            <w:pPr>
              <w:jc w:val="left"/>
            </w:pPr>
            <w:r>
              <w:rPr>
                <w:b w:val="false"/>
                <w:bCs w:val="false"/>
                <w:sz w:val="19"/>
                <w:szCs w:val="19"/>
              </w:rPr>
              <w:t xml:space="preserve">Compliance Engine + document intelligence + compliance calendar, spanning all four regulation categories, not safety alone</w:t>
            </w:r>
          </w:p>
        </w:tc>
      </w:tr>
      <w:tr>
        <w:tc>
          <w:tcPr>
            <w:tcW w:type="dxa" w:w="3600"/>
            <w:shd w:fill="F2F2F2" w:val="clear"/>
            <w:tcMar>
              <w:top w:type="dxa" w:w="80"/>
              <w:left w:type="dxa" w:w="100"/>
              <w:bottom w:type="dxa" w:w="80"/>
              <w:right w:type="dxa" w:w="100"/>
            </w:tcMar>
          </w:tcPr>
          <w:p>
            <w:pPr>
              <w:jc w:val="left"/>
            </w:pPr>
            <w:r>
              <w:rPr>
                <w:b w:val="false"/>
                <w:bCs w:val="false"/>
                <w:sz w:val="19"/>
                <w:szCs w:val="19"/>
              </w:rPr>
              <w:t xml:space="preserve">Real-time inspections, observations, violations, corrective actions</w:t>
            </w:r>
          </w:p>
        </w:tc>
        <w:tc>
          <w:tcPr>
            <w:tcW w:type="dxa" w:w="6000"/>
            <w:shd w:fill="F2F2F2" w:val="clear"/>
            <w:tcMar>
              <w:top w:type="dxa" w:w="80"/>
              <w:left w:type="dxa" w:w="100"/>
              <w:bottom w:type="dxa" w:w="80"/>
              <w:right w:type="dxa" w:w="100"/>
            </w:tcMar>
          </w:tcPr>
          <w:p>
            <w:pPr>
              <w:jc w:val="left"/>
            </w:pPr>
            <w:r>
              <w:rPr>
                <w:b w:val="false"/>
                <w:bCs w:val="false"/>
                <w:sz w:val="19"/>
                <w:szCs w:val="19"/>
              </w:rPr>
              <w:t xml:space="preserve">Field Inspector App + Corrective Action Management with assignment, deadlines, and verification</w:t>
            </w:r>
          </w:p>
        </w:tc>
      </w:tr>
      <w:tr>
        <w:tc>
          <w:tcPr>
            <w:tcW w:type="dxa" w:w="3600"/>
            <w:tcMar>
              <w:top w:type="dxa" w:w="80"/>
              <w:left w:type="dxa" w:w="100"/>
              <w:bottom w:type="dxa" w:w="80"/>
              <w:right w:type="dxa" w:w="100"/>
            </w:tcMar>
          </w:tcPr>
          <w:p>
            <w:pPr>
              <w:jc w:val="left"/>
            </w:pPr>
            <w:r>
              <w:rPr>
                <w:b w:val="false"/>
                <w:bCs w:val="false"/>
                <w:sz w:val="19"/>
                <w:szCs w:val="19"/>
              </w:rPr>
              <w:t xml:space="preserve">AI/analytics for high-risk areas, recurring failures, operational anomalies</w:t>
            </w:r>
          </w:p>
        </w:tc>
        <w:tc>
          <w:tcPr>
            <w:tcW w:type="dxa" w:w="6000"/>
            <w:tcMar>
              <w:top w:type="dxa" w:w="80"/>
              <w:left w:type="dxa" w:w="100"/>
              <w:bottom w:type="dxa" w:w="80"/>
              <w:right w:type="dxa" w:w="100"/>
            </w:tcMar>
          </w:tcPr>
          <w:p>
            <w:pPr>
              <w:jc w:val="left"/>
            </w:pPr>
            <w:r>
              <w:rPr>
                <w:b w:val="false"/>
                <w:bCs w:val="false"/>
                <w:sz w:val="19"/>
                <w:szCs w:val="19"/>
              </w:rPr>
              <w:t xml:space="preserve">Risk Engine + predictive ML + recurring-violation pattern detection</w:t>
            </w:r>
          </w:p>
        </w:tc>
      </w:tr>
      <w:tr>
        <w:tc>
          <w:tcPr>
            <w:tcW w:type="dxa" w:w="3600"/>
            <w:shd w:fill="F2F2F2" w:val="clear"/>
            <w:tcMar>
              <w:top w:type="dxa" w:w="80"/>
              <w:left w:type="dxa" w:w="100"/>
              <w:bottom w:type="dxa" w:w="80"/>
              <w:right w:type="dxa" w:w="100"/>
            </w:tcMar>
          </w:tcPr>
          <w:p>
            <w:pPr>
              <w:jc w:val="left"/>
            </w:pPr>
            <w:r>
              <w:rPr>
                <w:b w:val="false"/>
                <w:bCs w:val="false"/>
                <w:sz w:val="19"/>
                <w:szCs w:val="19"/>
              </w:rPr>
              <w:t xml:space="preserve">Geo-tagged, time-stamped field reporting via mobile, with offline support</w:t>
            </w:r>
          </w:p>
        </w:tc>
        <w:tc>
          <w:tcPr>
            <w:tcW w:type="dxa" w:w="6000"/>
            <w:shd w:fill="F2F2F2" w:val="clear"/>
            <w:tcMar>
              <w:top w:type="dxa" w:w="80"/>
              <w:left w:type="dxa" w:w="100"/>
              <w:bottom w:type="dxa" w:w="80"/>
              <w:right w:type="dxa" w:w="100"/>
            </w:tcMar>
          </w:tcPr>
          <w:p>
            <w:pPr>
              <w:jc w:val="left"/>
            </w:pPr>
            <w:r>
              <w:rPr>
                <w:b w:val="false"/>
                <w:bCs w:val="false"/>
                <w:sz w:val="19"/>
                <w:szCs w:val="19"/>
              </w:rPr>
              <w:t xml:space="preserve">Offline-first mobile/PWA app syncing GPS- and time-stamped submissions</w:t>
            </w:r>
          </w:p>
        </w:tc>
      </w:tr>
      <w:tr>
        <w:tc>
          <w:tcPr>
            <w:tcW w:type="dxa" w:w="3600"/>
            <w:tcMar>
              <w:top w:type="dxa" w:w="80"/>
              <w:left w:type="dxa" w:w="100"/>
              <w:bottom w:type="dxa" w:w="80"/>
              <w:right w:type="dxa" w:w="100"/>
            </w:tcMar>
          </w:tcPr>
          <w:p>
            <w:pPr>
              <w:jc w:val="left"/>
            </w:pPr>
            <w:r>
              <w:rPr>
                <w:b w:val="false"/>
                <w:bCs w:val="false"/>
                <w:sz w:val="19"/>
                <w:szCs w:val="19"/>
              </w:rPr>
              <w:t xml:space="preserve">Dashboards for mine officials, corporate management, regulatory authorities</w:t>
            </w:r>
          </w:p>
        </w:tc>
        <w:tc>
          <w:tcPr>
            <w:tcW w:type="dxa" w:w="6000"/>
            <w:tcMar>
              <w:top w:type="dxa" w:w="80"/>
              <w:left w:type="dxa" w:w="100"/>
              <w:bottom w:type="dxa" w:w="80"/>
              <w:right w:type="dxa" w:w="100"/>
            </w:tcMar>
          </w:tcPr>
          <w:p>
            <w:pPr>
              <w:jc w:val="left"/>
            </w:pPr>
            <w:r>
              <w:rPr>
                <w:b w:val="false"/>
                <w:bCs w:val="false"/>
                <w:sz w:val="19"/>
                <w:szCs w:val="19"/>
              </w:rPr>
              <w:t xml:space="preserve">Role-based dashboards, including Corporate Management and Regulator views</w:t>
            </w:r>
          </w:p>
        </w:tc>
      </w:tr>
      <w:tr>
        <w:tc>
          <w:tcPr>
            <w:tcW w:type="dxa" w:w="3600"/>
            <w:shd w:fill="F2F2F2" w:val="clear"/>
            <w:tcMar>
              <w:top w:type="dxa" w:w="80"/>
              <w:left w:type="dxa" w:w="100"/>
              <w:bottom w:type="dxa" w:w="80"/>
              <w:right w:type="dxa" w:w="100"/>
            </w:tcMar>
          </w:tcPr>
          <w:p>
            <w:pPr>
              <w:jc w:val="left"/>
            </w:pPr>
            <w:r>
              <w:rPr>
                <w:b w:val="false"/>
                <w:bCs w:val="false"/>
                <w:sz w:val="19"/>
                <w:szCs w:val="19"/>
              </w:rPr>
              <w:t xml:space="preserve">Automated alerts, reminders, compliance reports, escalation</w:t>
            </w:r>
          </w:p>
        </w:tc>
        <w:tc>
          <w:tcPr>
            <w:tcW w:type="dxa" w:w="6000"/>
            <w:shd w:fill="F2F2F2" w:val="clear"/>
            <w:tcMar>
              <w:top w:type="dxa" w:w="80"/>
              <w:left w:type="dxa" w:w="100"/>
              <w:bottom w:type="dxa" w:w="80"/>
              <w:right w:type="dxa" w:w="100"/>
            </w:tcMar>
          </w:tcPr>
          <w:p>
            <w:pPr>
              <w:jc w:val="left"/>
            </w:pPr>
            <w:r>
              <w:rPr>
                <w:b w:val="false"/>
                <w:bCs w:val="false"/>
                <w:sz w:val="19"/>
                <w:szCs w:val="19"/>
              </w:rPr>
              <w:t xml:space="preserve">Rule-based escalation workflow + compliance calendar reminders + auto-generated statutory reports</w:t>
            </w:r>
          </w:p>
        </w:tc>
      </w:tr>
      <w:tr>
        <w:tc>
          <w:tcPr>
            <w:tcW w:type="dxa" w:w="3600"/>
            <w:tcMar>
              <w:top w:type="dxa" w:w="80"/>
              <w:left w:type="dxa" w:w="100"/>
              <w:bottom w:type="dxa" w:w="80"/>
              <w:right w:type="dxa" w:w="100"/>
            </w:tcMar>
          </w:tcPr>
          <w:p>
            <w:pPr>
              <w:jc w:val="left"/>
            </w:pPr>
            <w:r>
              <w:rPr>
                <w:b w:val="false"/>
                <w:bCs w:val="false"/>
                <w:sz w:val="19"/>
                <w:szCs w:val="19"/>
              </w:rPr>
              <w:t xml:space="preserve">Minimize manual paperwork; improve transparency and accountability</w:t>
            </w:r>
          </w:p>
        </w:tc>
        <w:tc>
          <w:tcPr>
            <w:tcW w:type="dxa" w:w="6000"/>
            <w:tcMar>
              <w:top w:type="dxa" w:w="80"/>
              <w:left w:type="dxa" w:w="100"/>
              <w:bottom w:type="dxa" w:w="80"/>
              <w:right w:type="dxa" w:w="100"/>
            </w:tcMar>
          </w:tcPr>
          <w:p>
            <w:pPr>
              <w:jc w:val="left"/>
            </w:pPr>
            <w:r>
              <w:rPr>
                <w:b w:val="false"/>
                <w:bCs w:val="false"/>
                <w:sz w:val="19"/>
                <w:szCs w:val="19"/>
              </w:rPr>
              <w:t xml:space="preserve">AI-assisted structuring of field notes and documents; single digital system of record</w:t>
            </w:r>
          </w:p>
        </w:tc>
      </w:tr>
      <w:tr>
        <w:tc>
          <w:tcPr>
            <w:tcW w:type="dxa" w:w="3600"/>
            <w:shd w:fill="F2F2F2" w:val="clear"/>
            <w:tcMar>
              <w:top w:type="dxa" w:w="80"/>
              <w:left w:type="dxa" w:w="100"/>
              <w:bottom w:type="dxa" w:w="80"/>
              <w:right w:type="dxa" w:w="100"/>
            </w:tcMar>
          </w:tcPr>
          <w:p>
            <w:pPr>
              <w:jc w:val="left"/>
            </w:pPr>
            <w:r>
              <w:rPr>
                <w:b w:val="false"/>
                <w:bCs w:val="false"/>
                <w:sz w:val="19"/>
                <w:szCs w:val="19"/>
              </w:rPr>
              <w:t xml:space="preserve">Scalable across multiple mines and subsidiaries</w:t>
            </w:r>
          </w:p>
        </w:tc>
        <w:tc>
          <w:tcPr>
            <w:tcW w:type="dxa" w:w="6000"/>
            <w:shd w:fill="F2F2F2" w:val="clear"/>
            <w:tcMar>
              <w:top w:type="dxa" w:w="80"/>
              <w:left w:type="dxa" w:w="100"/>
              <w:bottom w:type="dxa" w:w="80"/>
              <w:right w:type="dxa" w:w="100"/>
            </w:tcMar>
          </w:tcPr>
          <w:p>
            <w:pPr>
              <w:jc w:val="left"/>
            </w:pPr>
            <w:r>
              <w:rPr>
                <w:b w:val="false"/>
                <w:bCs w:val="false"/>
                <w:sz w:val="19"/>
                <w:szCs w:val="19"/>
              </w:rPr>
              <w:t xml:space="preserve">Multi-tenant mine → area → subsidiary → corporate data model</w:t>
            </w:r>
          </w:p>
        </w:tc>
      </w:tr>
      <w:tr>
        <w:tc>
          <w:tcPr>
            <w:tcW w:type="dxa" w:w="3600"/>
            <w:tcMar>
              <w:top w:type="dxa" w:w="80"/>
              <w:left w:type="dxa" w:w="100"/>
              <w:bottom w:type="dxa" w:w="80"/>
              <w:right w:type="dxa" w:w="100"/>
            </w:tcMar>
          </w:tcPr>
          <w:p>
            <w:pPr>
              <w:jc w:val="left"/>
            </w:pPr>
            <w:r>
              <w:rPr>
                <w:b w:val="false"/>
                <w:bCs w:val="false"/>
                <w:sz w:val="19"/>
                <w:szCs w:val="19"/>
              </w:rPr>
              <w:t xml:space="preserve">Optional: AI/ML, mobile apps, GIS, OCR, workflow automation</w:t>
            </w:r>
          </w:p>
        </w:tc>
        <w:tc>
          <w:tcPr>
            <w:tcW w:type="dxa" w:w="6000"/>
            <w:tcMar>
              <w:top w:type="dxa" w:w="80"/>
              <w:left w:type="dxa" w:w="100"/>
              <w:bottom w:type="dxa" w:w="80"/>
              <w:right w:type="dxa" w:w="100"/>
            </w:tcMar>
          </w:tcPr>
          <w:p>
            <w:pPr>
              <w:jc w:val="left"/>
            </w:pPr>
            <w:r>
              <w:rPr>
                <w:b w:val="false"/>
                <w:bCs w:val="false"/>
                <w:sz w:val="19"/>
                <w:szCs w:val="19"/>
              </w:rPr>
              <w:t xml:space="preserve">Core of the platform — CV/anomaly models, field app, PostGIS mine map, document OCR, rule-driven workflows</w:t>
            </w:r>
          </w:p>
        </w:tc>
      </w:tr>
      <w:tr>
        <w:tc>
          <w:tcPr>
            <w:tcW w:type="dxa" w:w="3600"/>
            <w:shd w:fill="F2F2F2" w:val="clear"/>
            <w:tcMar>
              <w:top w:type="dxa" w:w="80"/>
              <w:left w:type="dxa" w:w="100"/>
              <w:bottom w:type="dxa" w:w="80"/>
              <w:right w:type="dxa" w:w="100"/>
            </w:tcMar>
          </w:tcPr>
          <w:p>
            <w:pPr>
              <w:jc w:val="left"/>
            </w:pPr>
            <w:r>
              <w:rPr>
                <w:b w:val="false"/>
                <w:bCs w:val="false"/>
                <w:sz w:val="19"/>
                <w:szCs w:val="19"/>
              </w:rPr>
              <w:t xml:space="preserve">Optional: blockchain-based audit trails</w:t>
            </w:r>
          </w:p>
        </w:tc>
        <w:tc>
          <w:tcPr>
            <w:tcW w:type="dxa" w:w="6000"/>
            <w:shd w:fill="F2F2F2" w:val="clear"/>
            <w:tcMar>
              <w:top w:type="dxa" w:w="80"/>
              <w:left w:type="dxa" w:w="100"/>
              <w:bottom w:type="dxa" w:w="80"/>
              <w:right w:type="dxa" w:w="100"/>
            </w:tcMar>
          </w:tcPr>
          <w:p>
            <w:pPr>
              <w:jc w:val="left"/>
            </w:pPr>
            <w:r>
              <w:rPr>
                <w:b w:val="false"/>
                <w:bCs w:val="false"/>
                <w:sz w:val="19"/>
                <w:szCs w:val="19"/>
              </w:rPr>
              <w:t xml:space="preserve">Default hash-chained audit log, with an optional permissioned-blockchain anchor for multi-subsidiary deployments</w:t>
            </w:r>
          </w:p>
        </w:tc>
      </w:tr>
      <w:tr>
        <w:tc>
          <w:tcPr>
            <w:tcW w:type="dxa" w:w="3600"/>
            <w:tcMar>
              <w:top w:type="dxa" w:w="80"/>
              <w:left w:type="dxa" w:w="100"/>
              <w:bottom w:type="dxa" w:w="80"/>
              <w:right w:type="dxa" w:w="100"/>
            </w:tcMar>
          </w:tcPr>
          <w:p>
            <w:pPr>
              <w:jc w:val="left"/>
            </w:pPr>
            <w:r>
              <w:rPr>
                <w:b w:val="false"/>
                <w:bCs w:val="false"/>
                <w:sz w:val="19"/>
                <w:szCs w:val="19"/>
              </w:rPr>
              <w:t xml:space="preserve">Optional: multilingual conversational interfaces</w:t>
            </w:r>
          </w:p>
        </w:tc>
        <w:tc>
          <w:tcPr>
            <w:tcW w:type="dxa" w:w="6000"/>
            <w:tcMar>
              <w:top w:type="dxa" w:w="80"/>
              <w:left w:type="dxa" w:w="100"/>
              <w:bottom w:type="dxa" w:w="80"/>
              <w:right w:type="dxa" w:w="100"/>
            </w:tcMar>
          </w:tcPr>
          <w:p>
            <w:pPr>
              <w:jc w:val="left"/>
            </w:pPr>
            <w:r>
              <w:rPr>
                <w:b w:val="false"/>
                <w:bCs w:val="false"/>
                <w:sz w:val="19"/>
                <w:szCs w:val="19"/>
              </w:rPr>
              <w:t xml:space="preserve">Multilingual voice/text assistant for field reporting, grievance filing, and compliance queries</w:t>
            </w:r>
          </w:p>
        </w:tc>
      </w:tr>
      <w:tr>
        <w:tc>
          <w:tcPr>
            <w:tcW w:type="dxa" w:w="3600"/>
            <w:shd w:fill="F2F2F2" w:val="clear"/>
            <w:tcMar>
              <w:top w:type="dxa" w:w="80"/>
              <w:left w:type="dxa" w:w="100"/>
              <w:bottom w:type="dxa" w:w="80"/>
              <w:right w:type="dxa" w:w="100"/>
            </w:tcMar>
          </w:tcPr>
          <w:p>
            <w:pPr>
              <w:jc w:val="left"/>
            </w:pPr>
            <w:r>
              <w:rPr>
                <w:b w:val="false"/>
                <w:bCs w:val="false"/>
                <w:sz w:val="19"/>
                <w:szCs w:val="19"/>
              </w:rPr>
              <w:t xml:space="preserve">Contractor management, worker attendance, grievance handling (Background)</w:t>
            </w:r>
          </w:p>
        </w:tc>
        <w:tc>
          <w:tcPr>
            <w:tcW w:type="dxa" w:w="6000"/>
            <w:shd w:fill="F2F2F2" w:val="clear"/>
            <w:tcMar>
              <w:top w:type="dxa" w:w="80"/>
              <w:left w:type="dxa" w:w="100"/>
              <w:bottom w:type="dxa" w:w="80"/>
              <w:right w:type="dxa" w:w="100"/>
            </w:tcMar>
          </w:tcPr>
          <w:p>
            <w:pPr>
              <w:jc w:val="left"/>
            </w:pPr>
            <w:r>
              <w:rPr>
                <w:b w:val="false"/>
                <w:bCs w:val="false"/>
                <w:sz w:val="19"/>
                <w:szCs w:val="19"/>
              </w:rPr>
              <w:t xml:space="preserve">Contract Lifecycle Management, geo-tagged Worker Attendance, and a structured Grievance Handling module with SLA tracking</w:t>
            </w:r>
          </w:p>
        </w:tc>
      </w:tr>
    </w:tbl>
    <w:p>
      <w:r>
        <w:br w:type="page"/>
      </w:r>
    </w:p>
    <w:p>
      <w:pPr>
        <w:pStyle w:val="Heading1"/>
        <w:pBdr>
          <w:bottom w:val="single" w:color="1F3864" w:sz="8" w:space="4"/>
        </w:pBdr>
        <w:spacing w:after="160" w:before="360"/>
      </w:pPr>
      <w:r>
        <w:rPr>
          <w:b/>
          <w:bCs/>
          <w:color w:val="1F3864"/>
          <w:sz w:val="30"/>
          <w:szCs w:val="30"/>
        </w:rPr>
        <w:t xml:space="preserve">7. MVP Demo Scope</w:t>
      </w:r>
    </w:p>
    <w:p>
      <w:pPr>
        <w:spacing w:after="140" w:line="300"/>
      </w:pPr>
      <w:r>
        <w:rPr>
          <w:sz w:val="21"/>
          <w:szCs w:val="21"/>
        </w:rPr>
        <w:t xml:space="preserve">To avoid the trap of building fifteen shallow modules, the hackathon demo is deliberately built around two tightly integrated, end-to-end stories rather than attempting full coverage.</w:t>
      </w:r>
    </w:p>
    <w:p>
      <w:pPr>
        <w:pStyle w:val="Heading2"/>
        <w:spacing w:after="120" w:before="280"/>
      </w:pPr>
      <w:r>
        <w:rPr>
          <w:b/>
          <w:bCs/>
          <w:color w:val="2E5395"/>
          <w:sz w:val="24"/>
          <w:szCs w:val="24"/>
        </w:rPr>
        <w:t xml:space="preserve">7.1 Story 1 — Safety Incident Governance Loop</w:t>
      </w:r>
    </w:p>
    <w:p>
      <w:pPr>
        <w:pStyle w:val="ListParagraph"/>
        <w:numPr>
          <w:ilvl w:val="0"/>
          <w:numId w:val="2"/>
        </w:numPr>
        <w:spacing w:after="60" w:line="280"/>
      </w:pPr>
      <w:r>
        <w:rPr>
          <w:sz w:val="21"/>
          <w:szCs w:val="21"/>
        </w:rPr>
        <w:t xml:space="preserve">CCTV detects a worker without a helmet inside a restricted zone.</w:t>
      </w:r>
    </w:p>
    <w:p>
      <w:pPr>
        <w:pStyle w:val="ListParagraph"/>
        <w:numPr>
          <w:ilvl w:val="0"/>
          <w:numId w:val="2"/>
        </w:numPr>
        <w:spacing w:after="60" w:line="280"/>
      </w:pPr>
      <w:r>
        <w:rPr>
          <w:sz w:val="21"/>
          <w:szCs w:val="21"/>
        </w:rPr>
        <w:t xml:space="preserve">GIS map highlights the zone red in real time.</w:t>
      </w:r>
    </w:p>
    <w:p>
      <w:pPr>
        <w:pStyle w:val="ListParagraph"/>
        <w:numPr>
          <w:ilvl w:val="0"/>
          <w:numId w:val="2"/>
        </w:numPr>
        <w:spacing w:after="60" w:line="280"/>
      </w:pPr>
      <w:r>
        <w:rPr>
          <w:sz w:val="21"/>
          <w:szCs w:val="21"/>
        </w:rPr>
        <w:t xml:space="preserve">Risk Engine combines this with prior violations and an open corrective action to compute a Critical (92/100) score.</w:t>
      </w:r>
    </w:p>
    <w:p>
      <w:pPr>
        <w:pStyle w:val="ListParagraph"/>
        <w:numPr>
          <w:ilvl w:val="0"/>
          <w:numId w:val="2"/>
        </w:numPr>
        <w:spacing w:after="60" w:line="280"/>
      </w:pPr>
      <w:r>
        <w:rPr>
          <w:sz w:val="21"/>
          <w:szCs w:val="21"/>
        </w:rPr>
        <w:t xml:space="preserve">System auto-escalates: Safety Officer → Mine Manager → Corporate Control Room.</w:t>
      </w:r>
    </w:p>
    <w:p>
      <w:pPr>
        <w:pStyle w:val="ListParagraph"/>
        <w:numPr>
          <w:ilvl w:val="0"/>
          <w:numId w:val="2"/>
        </w:numPr>
        <w:spacing w:after="60" w:line="280"/>
      </w:pPr>
      <w:r>
        <w:rPr>
          <w:sz w:val="21"/>
          <w:szCs w:val="21"/>
        </w:rPr>
        <w:t xml:space="preserve">Field inspector receives the assignment, captures GPS-tagged photo evidence via the mobile app.</w:t>
      </w:r>
    </w:p>
    <w:p>
      <w:pPr>
        <w:pStyle w:val="ListParagraph"/>
        <w:numPr>
          <w:ilvl w:val="0"/>
          <w:numId w:val="2"/>
        </w:numPr>
        <w:spacing w:after="60" w:line="280"/>
      </w:pPr>
      <w:r>
        <w:rPr>
          <w:sz w:val="21"/>
          <w:szCs w:val="21"/>
        </w:rPr>
        <w:t xml:space="preserve">AI converts the inspector's note into a structured incident report with a recommended corrective action.</w:t>
      </w:r>
    </w:p>
    <w:p>
      <w:pPr>
        <w:pStyle w:val="ListParagraph"/>
        <w:numPr>
          <w:ilvl w:val="0"/>
          <w:numId w:val="2"/>
        </w:numPr>
        <w:spacing w:after="60" w:line="280"/>
      </w:pPr>
      <w:r>
        <w:rPr>
          <w:sz w:val="21"/>
          <w:szCs w:val="21"/>
        </w:rPr>
        <w:t xml:space="preserve">Corrective action assigned to the contractor with a 4-hour deadline; inspector later verifies remediation.</w:t>
      </w:r>
    </w:p>
    <w:p>
      <w:pPr>
        <w:pStyle w:val="ListParagraph"/>
        <w:numPr>
          <w:ilvl w:val="0"/>
          <w:numId w:val="2"/>
        </w:numPr>
        <w:spacing w:after="60" w:line="280"/>
      </w:pPr>
      <w:r>
        <w:rPr>
          <w:sz w:val="21"/>
          <w:szCs w:val="21"/>
        </w:rPr>
        <w:t xml:space="preserve">Incident closes; the full timestamped audit trail (detection → risk → alert → assignment → evidence → closure) is shown.</w:t>
      </w:r>
    </w:p>
    <w:p>
      <w:pPr>
        <w:pStyle w:val="Heading2"/>
        <w:spacing w:after="120" w:before="280"/>
      </w:pPr>
      <w:r>
        <w:rPr>
          <w:b/>
          <w:bCs/>
          <w:color w:val="2E5395"/>
          <w:sz w:val="24"/>
          <w:szCs w:val="24"/>
        </w:rPr>
        <w:t xml:space="preserve">7.2 Story 2 — Satellite/GIS Unauthorized-Activity Workflow</w:t>
      </w:r>
    </w:p>
    <w:p>
      <w:pPr>
        <w:pStyle w:val="ListParagraph"/>
        <w:numPr>
          <w:ilvl w:val="0"/>
          <w:numId w:val="2"/>
        </w:numPr>
        <w:spacing w:after="60" w:line="280"/>
      </w:pPr>
      <w:r>
        <w:rPr>
          <w:sz w:val="21"/>
          <w:szCs w:val="21"/>
        </w:rPr>
        <w:t xml:space="preserve">Before/after satellite imagery shows a change near the lease boundary.</w:t>
      </w:r>
    </w:p>
    <w:p>
      <w:pPr>
        <w:pStyle w:val="ListParagraph"/>
        <w:numPr>
          <w:ilvl w:val="0"/>
          <w:numId w:val="2"/>
        </w:numPr>
        <w:spacing w:after="60" w:line="280"/>
      </w:pPr>
      <w:r>
        <w:rPr>
          <w:sz w:val="21"/>
          <w:szCs w:val="21"/>
        </w:rPr>
        <w:t xml:space="preserve">Change-detection model flags 87% confidence activity outside the authorized area.</w:t>
      </w:r>
    </w:p>
    <w:p>
      <w:pPr>
        <w:pStyle w:val="ListParagraph"/>
        <w:numPr>
          <w:ilvl w:val="0"/>
          <w:numId w:val="2"/>
        </w:numPr>
        <w:spacing w:after="60" w:line="280"/>
      </w:pPr>
      <w:r>
        <w:rPr>
          <w:sz w:val="21"/>
          <w:szCs w:val="21"/>
        </w:rPr>
        <w:t xml:space="preserve">System labels this "possible unauthorized activity — field verification required" (not a confirmed finding) and opens an investigation case on the GIS map.</w:t>
      </w:r>
    </w:p>
    <w:p>
      <w:pPr>
        <w:pStyle w:val="ListParagraph"/>
        <w:numPr>
          <w:ilvl w:val="0"/>
          <w:numId w:val="2"/>
        </w:numPr>
        <w:spacing w:after="60" w:line="280"/>
      </w:pPr>
      <w:r>
        <w:rPr>
          <w:sz w:val="21"/>
          <w:szCs w:val="21"/>
        </w:rPr>
        <w:t xml:space="preserve">Case is assigned to a field inspector who collects ground evidence.</w:t>
      </w:r>
    </w:p>
    <w:p>
      <w:pPr>
        <w:pStyle w:val="ListParagraph"/>
        <w:numPr>
          <w:ilvl w:val="0"/>
          <w:numId w:val="2"/>
        </w:numPr>
        <w:spacing w:after="60" w:line="280"/>
      </w:pPr>
      <w:r>
        <w:rPr>
          <w:sz w:val="21"/>
          <w:szCs w:val="21"/>
        </w:rPr>
        <w:t xml:space="preserve">Verified case escalates to the appropriate officer with full audit history.</w:t>
      </w:r>
    </w:p>
    <w:p>
      <w:pPr>
        <w:pStyle w:val="Heading2"/>
        <w:spacing w:after="120" w:before="280"/>
      </w:pPr>
      <w:r>
        <w:rPr>
          <w:b/>
          <w:bCs/>
          <w:color w:val="2E5395"/>
          <w:sz w:val="24"/>
          <w:szCs w:val="24"/>
        </w:rPr>
        <w:t xml:space="preserve">7.3 Positioning Statement for Judges</w:t>
      </w:r>
    </w:p>
    <w:p>
      <w:pPr>
        <w:spacing w:after="140" w:line="300"/>
      </w:pPr>
      <w:r>
        <w:rPr>
          <w:sz w:val="21"/>
          <w:szCs w:val="21"/>
        </w:rPr>
        <w:t xml:space="preserve">"We are not building another mine dashboard or another CCTV detection system. We are building an AI-powered mine governance loop that converts signals into accountable actions. Our prototype demonstrates this through two deeply integrated workflows — AI safety monitoring and satellite/GIS-based risk detection — layered on a unified compliance and audit backbone."</w:t>
      </w:r>
    </w:p>
    <w:p>
      <w:r>
        <w:br w:type="page"/>
      </w:r>
    </w:p>
    <w:p>
      <w:pPr>
        <w:pStyle w:val="Heading1"/>
        <w:pBdr>
          <w:bottom w:val="single" w:color="1F3864" w:sz="8" w:space="4"/>
        </w:pBdr>
        <w:spacing w:after="160" w:before="360"/>
      </w:pPr>
      <w:r>
        <w:rPr>
          <w:b/>
          <w:bCs/>
          <w:color w:val="1F3864"/>
          <w:sz w:val="30"/>
          <w:szCs w:val="30"/>
        </w:rPr>
        <w:t xml:space="preserve">8. Implementation Roadmap</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000"/>
      </w:tblGrid>
      <w:tr>
        <w:trPr>
          <w:tblHeader/>
        </w:trPr>
        <w:tc>
          <w:tcPr>
            <w:tcW w:type="dxa" w:w="2400"/>
            <w:shd w:fill="1F3864" w:val="clear"/>
            <w:tcMar>
              <w:top w:type="dxa" w:w="80"/>
              <w:left w:type="dxa" w:w="100"/>
              <w:bottom w:type="dxa" w:w="80"/>
              <w:right w:type="dxa" w:w="100"/>
            </w:tcMar>
          </w:tcPr>
          <w:p>
            <w:pPr>
              <w:jc w:val="left"/>
            </w:pPr>
            <w:r>
              <w:rPr>
                <w:b/>
                <w:bCs/>
                <w:color w:val="FFFFFF"/>
                <w:sz w:val="19"/>
                <w:szCs w:val="19"/>
              </w:rPr>
              <w:t xml:space="preserve">Phase</w:t>
            </w:r>
          </w:p>
        </w:tc>
        <w:tc>
          <w:tcPr>
            <w:tcW w:type="dxa" w:w="3200"/>
            <w:shd w:fill="1F3864" w:val="clear"/>
            <w:tcMar>
              <w:top w:type="dxa" w:w="80"/>
              <w:left w:type="dxa" w:w="100"/>
              <w:bottom w:type="dxa" w:w="80"/>
              <w:right w:type="dxa" w:w="100"/>
            </w:tcMar>
          </w:tcPr>
          <w:p>
            <w:pPr>
              <w:jc w:val="left"/>
            </w:pPr>
            <w:r>
              <w:rPr>
                <w:b/>
                <w:bCs/>
                <w:color w:val="FFFFFF"/>
                <w:sz w:val="19"/>
                <w:szCs w:val="19"/>
              </w:rPr>
              <w:t xml:space="preserve">Scope</w:t>
            </w:r>
          </w:p>
        </w:tc>
        <w:tc>
          <w:tcPr>
            <w:tcW w:type="dxa" w:w="4000"/>
            <w:shd w:fill="1F3864" w:val="clear"/>
            <w:tcMar>
              <w:top w:type="dxa" w:w="80"/>
              <w:left w:type="dxa" w:w="100"/>
              <w:bottom w:type="dxa" w:w="80"/>
              <w:right w:type="dxa" w:w="100"/>
            </w:tcMar>
          </w:tcPr>
          <w:p>
            <w:pPr>
              <w:jc w:val="left"/>
            </w:pPr>
            <w:r>
              <w:rPr>
                <w:b/>
                <w:bCs/>
                <w:color w:val="FFFFFF"/>
                <w:sz w:val="19"/>
                <w:szCs w:val="19"/>
              </w:rPr>
              <w:t xml:space="preserve">Key Deliverables</w:t>
            </w:r>
          </w:p>
        </w:tc>
      </w:tr>
      <w:tr>
        <w:tc>
          <w:tcPr>
            <w:tcW w:type="dxa" w:w="2400"/>
            <w:tcMar>
              <w:top w:type="dxa" w:w="80"/>
              <w:left w:type="dxa" w:w="100"/>
              <w:bottom w:type="dxa" w:w="80"/>
              <w:right w:type="dxa" w:w="100"/>
            </w:tcMar>
          </w:tcPr>
          <w:p>
            <w:pPr>
              <w:jc w:val="left"/>
            </w:pPr>
            <w:r>
              <w:rPr>
                <w:b w:val="false"/>
                <w:bCs w:val="false"/>
                <w:sz w:val="19"/>
                <w:szCs w:val="19"/>
              </w:rPr>
              <w:t xml:space="preserve">Phase 1 (Hackathon MVP)</w:t>
            </w:r>
          </w:p>
        </w:tc>
        <w:tc>
          <w:tcPr>
            <w:tcW w:type="dxa" w:w="3200"/>
            <w:tcMar>
              <w:top w:type="dxa" w:w="80"/>
              <w:left w:type="dxa" w:w="100"/>
              <w:bottom w:type="dxa" w:w="80"/>
              <w:right w:type="dxa" w:w="100"/>
            </w:tcMar>
          </w:tcPr>
          <w:p>
            <w:pPr>
              <w:jc w:val="left"/>
            </w:pPr>
            <w:r>
              <w:rPr>
                <w:b w:val="false"/>
                <w:bCs w:val="false"/>
                <w:sz w:val="19"/>
                <w:szCs w:val="19"/>
              </w:rPr>
              <w:t xml:space="preserve">Core loop for one mine</w:t>
            </w:r>
          </w:p>
        </w:tc>
        <w:tc>
          <w:tcPr>
            <w:tcW w:type="dxa" w:w="4000"/>
            <w:tcMar>
              <w:top w:type="dxa" w:w="80"/>
              <w:left w:type="dxa" w:w="100"/>
              <w:bottom w:type="dxa" w:w="80"/>
              <w:right w:type="dxa" w:w="100"/>
            </w:tcMar>
          </w:tcPr>
          <w:p>
            <w:pPr>
              <w:jc w:val="left"/>
            </w:pPr>
            <w:r>
              <w:rPr>
                <w:b w:val="false"/>
                <w:bCs w:val="false"/>
                <w:sz w:val="19"/>
                <w:szCs w:val="19"/>
              </w:rPr>
              <w:t xml:space="preserve">GIS mine map, 2–3 CV safety models, field app, risk engine, rule-based compliance engine, audit log, the two demo stories</w:t>
            </w:r>
          </w:p>
        </w:tc>
      </w:tr>
      <w:tr>
        <w:tc>
          <w:tcPr>
            <w:tcW w:type="dxa" w:w="2400"/>
            <w:shd w:fill="F2F2F2" w:val="clear"/>
            <w:tcMar>
              <w:top w:type="dxa" w:w="80"/>
              <w:left w:type="dxa" w:w="100"/>
              <w:bottom w:type="dxa" w:w="80"/>
              <w:right w:type="dxa" w:w="100"/>
            </w:tcMar>
          </w:tcPr>
          <w:p>
            <w:pPr>
              <w:jc w:val="left"/>
            </w:pPr>
            <w:r>
              <w:rPr>
                <w:b w:val="false"/>
                <w:bCs w:val="false"/>
                <w:sz w:val="19"/>
                <w:szCs w:val="19"/>
              </w:rPr>
              <w:t xml:space="preserve">Phase 2 (Pilot)</w:t>
            </w:r>
          </w:p>
        </w:tc>
        <w:tc>
          <w:tcPr>
            <w:tcW w:type="dxa" w:w="3200"/>
            <w:shd w:fill="F2F2F2" w:val="clear"/>
            <w:tcMar>
              <w:top w:type="dxa" w:w="80"/>
              <w:left w:type="dxa" w:w="100"/>
              <w:bottom w:type="dxa" w:w="80"/>
              <w:right w:type="dxa" w:w="100"/>
            </w:tcMar>
          </w:tcPr>
          <w:p>
            <w:pPr>
              <w:jc w:val="left"/>
            </w:pPr>
            <w:r>
              <w:rPr>
                <w:b w:val="false"/>
                <w:bCs w:val="false"/>
                <w:sz w:val="19"/>
                <w:szCs w:val="19"/>
              </w:rPr>
              <w:t xml:space="preserve">Multi-mine, real data</w:t>
            </w:r>
          </w:p>
        </w:tc>
        <w:tc>
          <w:tcPr>
            <w:tcW w:type="dxa" w:w="4000"/>
            <w:shd w:fill="F2F2F2" w:val="clear"/>
            <w:tcMar>
              <w:top w:type="dxa" w:w="80"/>
              <w:left w:type="dxa" w:w="100"/>
              <w:bottom w:type="dxa" w:w="80"/>
              <w:right w:type="dxa" w:w="100"/>
            </w:tcMar>
          </w:tcPr>
          <w:p>
            <w:pPr>
              <w:jc w:val="left"/>
            </w:pPr>
            <w:r>
              <w:rPr>
                <w:b w:val="false"/>
                <w:bCs w:val="false"/>
                <w:sz w:val="19"/>
                <w:szCs w:val="19"/>
              </w:rPr>
              <w:t xml:space="preserve">OCR document intelligence at scale, compliance calendar, contractor scoring, satellite integration refinement, role-based dashboards for all six roles</w:t>
            </w:r>
          </w:p>
        </w:tc>
      </w:tr>
      <w:tr>
        <w:tc>
          <w:tcPr>
            <w:tcW w:type="dxa" w:w="2400"/>
            <w:tcMar>
              <w:top w:type="dxa" w:w="80"/>
              <w:left w:type="dxa" w:w="100"/>
              <w:bottom w:type="dxa" w:w="80"/>
              <w:right w:type="dxa" w:w="100"/>
            </w:tcMar>
          </w:tcPr>
          <w:p>
            <w:pPr>
              <w:jc w:val="left"/>
            </w:pPr>
            <w:r>
              <w:rPr>
                <w:b w:val="false"/>
                <w:bCs w:val="false"/>
                <w:sz w:val="19"/>
                <w:szCs w:val="19"/>
              </w:rPr>
              <w:t xml:space="preserve">Phase 3 (Scale)</w:t>
            </w:r>
          </w:p>
        </w:tc>
        <w:tc>
          <w:tcPr>
            <w:tcW w:type="dxa" w:w="3200"/>
            <w:tcMar>
              <w:top w:type="dxa" w:w="80"/>
              <w:left w:type="dxa" w:w="100"/>
              <w:bottom w:type="dxa" w:w="80"/>
              <w:right w:type="dxa" w:w="100"/>
            </w:tcMar>
          </w:tcPr>
          <w:p>
            <w:pPr>
              <w:jc w:val="left"/>
            </w:pPr>
            <w:r>
              <w:rPr>
                <w:b w:val="false"/>
                <w:bCs w:val="false"/>
                <w:sz w:val="19"/>
                <w:szCs w:val="19"/>
              </w:rPr>
              <w:t xml:space="preserve">Predictive governance</w:t>
            </w:r>
          </w:p>
        </w:tc>
        <w:tc>
          <w:tcPr>
            <w:tcW w:type="dxa" w:w="4000"/>
            <w:tcMar>
              <w:top w:type="dxa" w:w="80"/>
              <w:left w:type="dxa" w:w="100"/>
              <w:bottom w:type="dxa" w:w="80"/>
              <w:right w:type="dxa" w:w="100"/>
            </w:tcMar>
          </w:tcPr>
          <w:p>
            <w:pPr>
              <w:jc w:val="left"/>
            </w:pPr>
            <w:r>
              <w:rPr>
                <w:b w:val="false"/>
                <w:bCs w:val="false"/>
                <w:sz w:val="19"/>
                <w:szCs w:val="19"/>
              </w:rPr>
              <w:t xml:space="preserve">Predictive risk forecasting, recurring-violation root-cause detection, integration with CMSMS/Khan Prahari and DGMS reporting pipelines, multi-region rollout</w:t>
            </w:r>
          </w:p>
        </w:tc>
      </w:tr>
    </w:tbl>
    <w:p>
      <w:r>
        <w:br w:type="page"/>
      </w:r>
    </w:p>
    <w:p>
      <w:pPr>
        <w:pStyle w:val="Heading1"/>
        <w:pBdr>
          <w:bottom w:val="single" w:color="1F3864" w:sz="8" w:space="4"/>
        </w:pBdr>
        <w:spacing w:after="160" w:before="360"/>
      </w:pPr>
      <w:r>
        <w:rPr>
          <w:b/>
          <w:bCs/>
          <w:color w:val="1F3864"/>
          <w:sz w:val="30"/>
          <w:szCs w:val="30"/>
        </w:rPr>
        <w:t xml:space="preserve">9. Success / Evaluation Metrics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F3864" w:val="clear"/>
            <w:tcMar>
              <w:top w:type="dxa" w:w="80"/>
              <w:left w:type="dxa" w:w="100"/>
              <w:bottom w:type="dxa" w:w="80"/>
              <w:right w:type="dxa" w:w="100"/>
            </w:tcMar>
          </w:tcPr>
          <w:p>
            <w:pPr>
              <w:jc w:val="left"/>
            </w:pPr>
            <w:r>
              <w:rPr>
                <w:b/>
                <w:bCs/>
                <w:color w:val="FFFFFF"/>
                <w:sz w:val="19"/>
                <w:szCs w:val="19"/>
              </w:rPr>
              <w:t xml:space="preserve">Category</w:t>
            </w:r>
          </w:p>
        </w:tc>
        <w:tc>
          <w:tcPr>
            <w:tcW w:type="dxa" w:w="6600"/>
            <w:shd w:fill="1F3864" w:val="clear"/>
            <w:tcMar>
              <w:top w:type="dxa" w:w="80"/>
              <w:left w:type="dxa" w:w="100"/>
              <w:bottom w:type="dxa" w:w="80"/>
              <w:right w:type="dxa" w:w="100"/>
            </w:tcMar>
          </w:tcPr>
          <w:p>
            <w:pPr>
              <w:jc w:val="left"/>
            </w:pPr>
            <w:r>
              <w:rPr>
                <w:b/>
                <w:bCs/>
                <w:color w:val="FFFFFF"/>
                <w:sz w:val="19"/>
                <w:szCs w:val="19"/>
              </w:rPr>
              <w:t xml:space="preserve">Metric</w:t>
            </w:r>
          </w:p>
        </w:tc>
      </w:tr>
      <w:tr>
        <w:tc>
          <w:tcPr>
            <w:tcW w:type="dxa" w:w="3000"/>
            <w:tcMar>
              <w:top w:type="dxa" w:w="80"/>
              <w:left w:type="dxa" w:w="100"/>
              <w:bottom w:type="dxa" w:w="80"/>
              <w:right w:type="dxa" w:w="100"/>
            </w:tcMar>
          </w:tcPr>
          <w:p>
            <w:pPr>
              <w:jc w:val="left"/>
            </w:pPr>
            <w:r>
              <w:rPr>
                <w:b w:val="false"/>
                <w:bCs w:val="false"/>
                <w:sz w:val="19"/>
                <w:szCs w:val="19"/>
              </w:rPr>
              <w:t xml:space="preserve">Safety</w:t>
            </w:r>
          </w:p>
        </w:tc>
        <w:tc>
          <w:tcPr>
            <w:tcW w:type="dxa" w:w="6600"/>
            <w:tcMar>
              <w:top w:type="dxa" w:w="80"/>
              <w:left w:type="dxa" w:w="100"/>
              <w:bottom w:type="dxa" w:w="80"/>
              <w:right w:type="dxa" w:w="100"/>
            </w:tcMar>
          </w:tcPr>
          <w:p>
            <w:pPr>
              <w:jc w:val="left"/>
            </w:pPr>
            <w:r>
              <w:rPr>
                <w:b w:val="false"/>
                <w:bCs w:val="false"/>
                <w:sz w:val="19"/>
                <w:szCs w:val="19"/>
              </w:rPr>
              <w:t xml:space="preserve">% reduction in PPE non-compliance incidents; average time from detection to acknowledgement</w:t>
            </w:r>
          </w:p>
        </w:tc>
      </w:tr>
      <w:tr>
        <w:tc>
          <w:tcPr>
            <w:tcW w:type="dxa" w:w="3000"/>
            <w:shd w:fill="F2F2F2" w:val="clear"/>
            <w:tcMar>
              <w:top w:type="dxa" w:w="80"/>
              <w:left w:type="dxa" w:w="100"/>
              <w:bottom w:type="dxa" w:w="80"/>
              <w:right w:type="dxa" w:w="100"/>
            </w:tcMar>
          </w:tcPr>
          <w:p>
            <w:pPr>
              <w:jc w:val="left"/>
            </w:pPr>
            <w:r>
              <w:rPr>
                <w:b w:val="false"/>
                <w:bCs w:val="false"/>
                <w:sz w:val="19"/>
                <w:szCs w:val="19"/>
              </w:rPr>
              <w:t xml:space="preserve">Compliance</w:t>
            </w:r>
          </w:p>
        </w:tc>
        <w:tc>
          <w:tcPr>
            <w:tcW w:type="dxa" w:w="6600"/>
            <w:shd w:fill="F2F2F2" w:val="clear"/>
            <w:tcMar>
              <w:top w:type="dxa" w:w="80"/>
              <w:left w:type="dxa" w:w="100"/>
              <w:bottom w:type="dxa" w:w="80"/>
              <w:right w:type="dxa" w:w="100"/>
            </w:tcMar>
          </w:tcPr>
          <w:p>
            <w:pPr>
              <w:jc w:val="left"/>
            </w:pPr>
            <w:r>
              <w:rPr>
                <w:b w:val="false"/>
                <w:bCs w:val="false"/>
                <w:sz w:val="19"/>
                <w:szCs w:val="19"/>
              </w:rPr>
              <w:t xml:space="preserve">% of statutory documents tracked with automated expiry alerts; % reduction in missed renewal deadlines</w:t>
            </w:r>
          </w:p>
        </w:tc>
      </w:tr>
      <w:tr>
        <w:tc>
          <w:tcPr>
            <w:tcW w:type="dxa" w:w="3000"/>
            <w:tcMar>
              <w:top w:type="dxa" w:w="80"/>
              <w:left w:type="dxa" w:w="100"/>
              <w:bottom w:type="dxa" w:w="80"/>
              <w:right w:type="dxa" w:w="100"/>
            </w:tcMar>
          </w:tcPr>
          <w:p>
            <w:pPr>
              <w:jc w:val="left"/>
            </w:pPr>
            <w:r>
              <w:rPr>
                <w:b w:val="false"/>
                <w:bCs w:val="false"/>
                <w:sz w:val="19"/>
                <w:szCs w:val="19"/>
              </w:rPr>
              <w:t xml:space="preserve">Operations</w:t>
            </w:r>
          </w:p>
        </w:tc>
        <w:tc>
          <w:tcPr>
            <w:tcW w:type="dxa" w:w="6600"/>
            <w:tcMar>
              <w:top w:type="dxa" w:w="80"/>
              <w:left w:type="dxa" w:w="100"/>
              <w:bottom w:type="dxa" w:w="80"/>
              <w:right w:type="dxa" w:w="100"/>
            </w:tcMar>
          </w:tcPr>
          <w:p>
            <w:pPr>
              <w:jc w:val="left"/>
            </w:pPr>
            <w:r>
              <w:rPr>
                <w:b w:val="false"/>
                <w:bCs w:val="false"/>
                <w:sz w:val="19"/>
                <w:szCs w:val="19"/>
              </w:rPr>
              <w:t xml:space="preserve">Average corrective-action closure time; % of incidents verified and closed within SLA</w:t>
            </w:r>
          </w:p>
        </w:tc>
      </w:tr>
      <w:tr>
        <w:tc>
          <w:tcPr>
            <w:tcW w:type="dxa" w:w="3000"/>
            <w:shd w:fill="F2F2F2" w:val="clear"/>
            <w:tcMar>
              <w:top w:type="dxa" w:w="80"/>
              <w:left w:type="dxa" w:w="100"/>
              <w:bottom w:type="dxa" w:w="80"/>
              <w:right w:type="dxa" w:w="100"/>
            </w:tcMar>
          </w:tcPr>
          <w:p>
            <w:pPr>
              <w:jc w:val="left"/>
            </w:pPr>
            <w:r>
              <w:rPr>
                <w:b w:val="false"/>
                <w:bCs w:val="false"/>
                <w:sz w:val="19"/>
                <w:szCs w:val="19"/>
              </w:rPr>
              <w:t xml:space="preserve">Risk Intelligence</w:t>
            </w:r>
          </w:p>
        </w:tc>
        <w:tc>
          <w:tcPr>
            <w:tcW w:type="dxa" w:w="6600"/>
            <w:shd w:fill="F2F2F2" w:val="clear"/>
            <w:tcMar>
              <w:top w:type="dxa" w:w="80"/>
              <w:left w:type="dxa" w:w="100"/>
              <w:bottom w:type="dxa" w:w="80"/>
              <w:right w:type="dxa" w:w="100"/>
            </w:tcMar>
          </w:tcPr>
          <w:p>
            <w:pPr>
              <w:jc w:val="left"/>
            </w:pPr>
            <w:r>
              <w:rPr>
                <w:b w:val="false"/>
                <w:bCs w:val="false"/>
                <w:sz w:val="19"/>
                <w:szCs w:val="19"/>
              </w:rPr>
              <w:t xml:space="preserve">Precision/recall of CV detection models on validation set; accuracy of recurring-violation pattern detection</w:t>
            </w:r>
          </w:p>
        </w:tc>
      </w:tr>
      <w:tr>
        <w:tc>
          <w:tcPr>
            <w:tcW w:type="dxa" w:w="3000"/>
            <w:tcMar>
              <w:top w:type="dxa" w:w="80"/>
              <w:left w:type="dxa" w:w="100"/>
              <w:bottom w:type="dxa" w:w="80"/>
              <w:right w:type="dxa" w:w="100"/>
            </w:tcMar>
          </w:tcPr>
          <w:p>
            <w:pPr>
              <w:jc w:val="left"/>
            </w:pPr>
            <w:r>
              <w:rPr>
                <w:b w:val="false"/>
                <w:bCs w:val="false"/>
                <w:sz w:val="19"/>
                <w:szCs w:val="19"/>
              </w:rPr>
              <w:t xml:space="preserve">Governance/Audit</w:t>
            </w:r>
          </w:p>
        </w:tc>
        <w:tc>
          <w:tcPr>
            <w:tcW w:type="dxa" w:w="6600"/>
            <w:tcMar>
              <w:top w:type="dxa" w:w="80"/>
              <w:left w:type="dxa" w:w="100"/>
              <w:bottom w:type="dxa" w:w="80"/>
              <w:right w:type="dxa" w:w="100"/>
            </w:tcMar>
          </w:tcPr>
          <w:p>
            <w:pPr>
              <w:jc w:val="left"/>
            </w:pPr>
            <w:r>
              <w:rPr>
                <w:b w:val="false"/>
                <w:bCs w:val="false"/>
                <w:sz w:val="19"/>
                <w:szCs w:val="19"/>
              </w:rPr>
              <w:t xml:space="preserve">% of incidents with a complete, unbroken audit trail; number of unauthorized-activity cases flagged and field-verified</w:t>
            </w:r>
          </w:p>
        </w:tc>
      </w:tr>
      <w:tr>
        <w:tc>
          <w:tcPr>
            <w:tcW w:type="dxa" w:w="3000"/>
            <w:shd w:fill="F2F2F2" w:val="clear"/>
            <w:tcMar>
              <w:top w:type="dxa" w:w="80"/>
              <w:left w:type="dxa" w:w="100"/>
              <w:bottom w:type="dxa" w:w="80"/>
              <w:right w:type="dxa" w:w="100"/>
            </w:tcMar>
          </w:tcPr>
          <w:p>
            <w:pPr>
              <w:jc w:val="left"/>
            </w:pPr>
            <w:r>
              <w:rPr>
                <w:b w:val="false"/>
                <w:bCs w:val="false"/>
                <w:sz w:val="19"/>
                <w:szCs w:val="19"/>
              </w:rPr>
              <w:t xml:space="preserve">Workforce &amp; Grievances</w:t>
            </w:r>
          </w:p>
        </w:tc>
        <w:tc>
          <w:tcPr>
            <w:tcW w:type="dxa" w:w="6600"/>
            <w:shd w:fill="F2F2F2" w:val="clear"/>
            <w:tcMar>
              <w:top w:type="dxa" w:w="80"/>
              <w:left w:type="dxa" w:w="100"/>
              <w:bottom w:type="dxa" w:w="80"/>
              <w:right w:type="dxa" w:w="100"/>
            </w:tcMar>
          </w:tcPr>
          <w:p>
            <w:pPr>
              <w:jc w:val="left"/>
            </w:pPr>
            <w:r>
              <w:rPr>
                <w:b w:val="false"/>
                <w:bCs w:val="false"/>
                <w:sz w:val="19"/>
                <w:szCs w:val="19"/>
              </w:rPr>
              <w:t xml:space="preserve">Average grievance resolution time vs. SLA; % of attendance records captured digitally vs. manually</w:t>
            </w:r>
          </w:p>
        </w:tc>
      </w:tr>
      <w:tr>
        <w:tc>
          <w:tcPr>
            <w:tcW w:type="dxa" w:w="3000"/>
            <w:tcMar>
              <w:top w:type="dxa" w:w="80"/>
              <w:left w:type="dxa" w:w="100"/>
              <w:bottom w:type="dxa" w:w="80"/>
              <w:right w:type="dxa" w:w="100"/>
            </w:tcMar>
          </w:tcPr>
          <w:p>
            <w:pPr>
              <w:jc w:val="left"/>
            </w:pPr>
            <w:r>
              <w:rPr>
                <w:b w:val="false"/>
                <w:bCs w:val="false"/>
                <w:sz w:val="19"/>
                <w:szCs w:val="19"/>
              </w:rPr>
              <w:t xml:space="preserve">Contractor &amp; Production</w:t>
            </w:r>
          </w:p>
        </w:tc>
        <w:tc>
          <w:tcPr>
            <w:tcW w:type="dxa" w:w="6600"/>
            <w:tcMar>
              <w:top w:type="dxa" w:w="80"/>
              <w:left w:type="dxa" w:w="100"/>
              <w:bottom w:type="dxa" w:w="80"/>
              <w:right w:type="dxa" w:w="100"/>
            </w:tcMar>
          </w:tcPr>
          <w:p>
            <w:pPr>
              <w:jc w:val="left"/>
            </w:pPr>
            <w:r>
              <w:rPr>
                <w:b w:val="false"/>
                <w:bCs w:val="false"/>
                <w:sz w:val="19"/>
                <w:szCs w:val="19"/>
              </w:rPr>
              <w:t xml:space="preserve">Contractor compliance score trend over time; % of production reports generated automatically vs. manually compiled</w:t>
            </w:r>
          </w:p>
        </w:tc>
      </w:tr>
      <w:tr>
        <w:tc>
          <w:tcPr>
            <w:tcW w:type="dxa" w:w="3000"/>
            <w:shd w:fill="F2F2F2" w:val="clear"/>
            <w:tcMar>
              <w:top w:type="dxa" w:w="80"/>
              <w:left w:type="dxa" w:w="100"/>
              <w:bottom w:type="dxa" w:w="80"/>
              <w:right w:type="dxa" w:w="100"/>
            </w:tcMar>
          </w:tcPr>
          <w:p>
            <w:pPr>
              <w:jc w:val="left"/>
            </w:pPr>
            <w:r>
              <w:rPr>
                <w:b w:val="false"/>
                <w:bCs w:val="false"/>
                <w:sz w:val="19"/>
                <w:szCs w:val="19"/>
              </w:rPr>
              <w:t xml:space="preserve">Adoption</w:t>
            </w:r>
          </w:p>
        </w:tc>
        <w:tc>
          <w:tcPr>
            <w:tcW w:type="dxa" w:w="6600"/>
            <w:shd w:fill="F2F2F2" w:val="clear"/>
            <w:tcMar>
              <w:top w:type="dxa" w:w="80"/>
              <w:left w:type="dxa" w:w="100"/>
              <w:bottom w:type="dxa" w:w="80"/>
              <w:right w:type="dxa" w:w="100"/>
            </w:tcMar>
          </w:tcPr>
          <w:p>
            <w:pPr>
              <w:jc w:val="left"/>
            </w:pPr>
            <w:r>
              <w:rPr>
                <w:b w:val="false"/>
                <w:bCs w:val="false"/>
                <w:sz w:val="19"/>
                <w:szCs w:val="19"/>
              </w:rPr>
              <w:t xml:space="preserve">Number of active field inspectors/workers using the app; average inspection submission time; multilingual assistant usage rate</w:t>
            </w:r>
          </w:p>
        </w:tc>
      </w:tr>
    </w:tbl>
    <w:p>
      <w:r>
        <w:br w:type="page"/>
      </w:r>
    </w:p>
    <w:p>
      <w:pPr>
        <w:pStyle w:val="Heading1"/>
        <w:pBdr>
          <w:bottom w:val="single" w:color="1F3864" w:sz="8" w:space="4"/>
        </w:pBdr>
        <w:spacing w:after="160" w:before="360"/>
      </w:pPr>
      <w:r>
        <w:rPr>
          <w:b/>
          <w:bCs/>
          <w:color w:val="1F3864"/>
          <w:sz w:val="30"/>
          <w:szCs w:val="30"/>
        </w:rPr>
        <w:t xml:space="preserve">10. References</w:t>
      </w:r>
    </w:p>
    <w:p>
      <w:pPr>
        <w:pStyle w:val="ListParagraph"/>
        <w:numPr>
          <w:ilvl w:val="0"/>
          <w:numId w:val="2"/>
        </w:numPr>
        <w:spacing w:after="60" w:line="280"/>
      </w:pPr>
      <w:r>
        <w:rPr>
          <w:sz w:val="21"/>
          <w:szCs w:val="21"/>
        </w:rPr>
        <w:t xml:space="preserve">Smart India Hackathon 2026, Problem Statement SIH26024 — AI-Based Smart Governance and Compliance Monitoring System for Coal Mines, sih2026.vuce.in</w:t>
      </w:r>
    </w:p>
    <w:p>
      <w:pPr>
        <w:pStyle w:val="ListParagraph"/>
        <w:numPr>
          <w:ilvl w:val="0"/>
          <w:numId w:val="2"/>
        </w:numPr>
        <w:spacing w:after="60" w:line="280"/>
      </w:pPr>
      <w:r>
        <w:rPr>
          <w:sz w:val="21"/>
          <w:szCs w:val="21"/>
        </w:rPr>
        <w:t xml:space="preserve">Ministry of Coal, Government of India — note on Coal Mine Surveillance &amp; Management System (CMSMS) / Khan Prahari, coal.gov.in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AI MineGuard — SIH26024 Proposed Solution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2026-09-02T21:03:49.811Z</dcterms:created>
  <dcterms:modified xsi:type="dcterms:W3CDTF">2026-09-02T21:03:49.811Z</dcterms:modified>
</cp:coreProperties>
</file>

<file path=docProps/custom.xml><?xml version="1.0" encoding="utf-8"?>
<Properties xmlns="http://schemas.openxmlformats.org/officeDocument/2006/custom-properties" xmlns:vt="http://schemas.openxmlformats.org/officeDocument/2006/docPropsVTypes"/>
</file>