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isk Assessment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Organization: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RetailNova Pty Ltd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Location: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Melbourne, Australia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Industry: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Retail (E-commerce &amp; Physical Stores)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Cyber Security Professional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Monday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Current Review)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Framework Used: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NIST Cybersecurity Framework (CSF)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q9p7eym73qi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Client Overview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RetailNova Pty Ltd is a large retail organization with both physical and digital operations. Its technology environment includes a custom e-commerce platform, mobile application, cloud-connected POS systems, Salesforce CRM, SAP ERP, and AWS-hosted infrastructure. The organization processes and stores sensitive customer and employee data and relies heavily on third-party integrations for payments, logistics, marketing, and loyalty programs.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Given RetailNova’s size, revenue, data volume, and history of cybersecurity incidents, the organization presents a high-value target for cybercriminals. Previous phishing incidents, ransomware attempts, and third-party data leaks indicate recurring exposure to cyber risk.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oziwvhm0htl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Key Assets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Customer personal and loyalty data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E-commerce website and mobile application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POS systems across 85 stores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SAP ERP and Salesforce CRM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AWS-hosted infrastructure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Employee credentials and remote access systems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t7kntjfyt76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Risk 1: Phishing and Credential Compromise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Risk Description: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Employees may fall victim to phishing attacks, resulting in stolen credentials and unauthorized access to cloud systems and sensitive data.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Likelihood: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Likely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Major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Risk Level: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High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NIST CSF Mapping: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Identify (ID.RA):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Risk of credential theft from prior incidents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Protect (PR.AC):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Weak authentication controls and reliance on passwords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Detect (DE.CM):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Limited ability to quickly detect compromised accounts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Key Mitigations: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Enforce multi-factor authentication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Improve email and phishing protections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Strengthen ongoing security awareness training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jxfedu8aqjn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Risk 2: Ransomware Disrupting Operations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Risk Description: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Ransomware could encrypt systems supporting stores, e-commerce, and backend operations, causing significant downtime and financial loss.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Likelihood: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Possible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Extreme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Risk Level: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High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NIST CSF Mapping: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Identify (ID.BE):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Critical dependence on digital systems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Protect (PR.IP):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Gaps in backup resilience and segmentation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Respond (RS.MI):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Need for faster containment and recovery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Recover (RC.RP):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Risk of prolonged service disruption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Key Mitigations: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offline and immutable backups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Segment POS and corporate networks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Conduct ransomware response testing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z1c4q2stgcv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Risk 3: Third-Party Vendor Data Exposure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Risk Description: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Security weaknesses in third-party vendors may lead to indirect exposure of customer data, as seen in prior incidents.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Likelihood: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Possible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Major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Risk Level: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Medium–High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NIST CSF Mapping: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Identify (ID.SC):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Supply chain and vendor dependencies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Protect (PR.DS):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Over-sharing of customer data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Detect (DE.CM):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Limited visibility into vendor security incidents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Key Mitigations: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Perform vendor security assessments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Apply data minimization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Strengthen contractual security and breach notification clauses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6qzpu6hp14k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Overall Risk Posture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RetailNova faces a high cybersecurity risk profile due to its digital footprint, third-party integrations, and history of incidents. The most critical gaps align with NIST CSF Protect and Identify functions, particularly around access control, resilience, and supply chain risk.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tme1my30wer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Conclusion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To reduce risk, RetailNova should prioritize improvements in identity protection, ransomware resilience, and third-party risk management, aligned with the NIST Cybersecurity Framework. Strengthening these areas will significantly improve the organization’s ability to prevent, detect, respond to, and recover from cyber incidents.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