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AI 工具使用详情说明</w:t>
      </w:r>
    </w:p>
    <w:p>
      <w:pPr>
        <w:jc w:val="center"/>
      </w:pPr>
      <w:r>
        <w:rPr>
          <w:rFonts w:ascii="Times New Roman" w:hAnsi="Times New Roman" w:eastAsia="黑体"/>
          <w:b w:val="0"/>
          <w:sz w:val="24"/>
        </w:rPr>
        <w:t>2026 年 MathorCup 数学应用挑战赛 · 大数据挑战赛 · 赛道 A</w:t>
      </w:r>
    </w:p>
    <w:p>
      <w:pPr>
        <w:spacing w:before="200" w:after="80"/>
      </w:pPr>
      <w:r>
        <w:rPr>
          <w:rFonts w:ascii="Times New Roman" w:hAnsi="Times New Roman" w:eastAsia="黑体"/>
          <w:b/>
          <w:sz w:val="28"/>
        </w:rPr>
        <w:t>一、所用 AI 工具名称和版本</w:t>
      </w:r>
    </w:p>
    <w:p>
      <w:pPr>
        <w:spacing w:after="40" w:line="360" w:lineRule="auto"/>
      </w:pPr>
      <w:r>
        <w:rPr>
          <w:rFonts w:ascii="Times New Roman" w:hAnsi="Times New Roman" w:eastAsia="宋体"/>
          <w:b w:val="0"/>
          <w:sz w:val="24"/>
        </w:rPr>
        <w:t>本参赛队在论文撰写与支撑材料制作过程中使用了下表所列 AI 工具。除此之外未使用其他生成式 AI、代码补全工具或智能数学软件参与本作品的建模、算法设计与结果解释。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黑体"/>
                <w:b/>
                <w:sz w:val="22"/>
              </w:rPr>
              <w:t>工具名称</w:t>
            </w:r>
          </w:p>
        </w:tc>
        <w:tc>
          <w:tcPr>
            <w:tcW w:type="dxa" w:w="2160"/>
          </w:tcPr>
          <w:p>
            <w:r/>
            <w:r>
              <w:rPr>
                <w:rFonts w:ascii="Times New Roman" w:hAnsi="Times New Roman" w:eastAsia="黑体"/>
                <w:b/>
                <w:sz w:val="22"/>
              </w:rPr>
              <w:t>版本 / 型号</w:t>
            </w:r>
          </w:p>
        </w:tc>
        <w:tc>
          <w:tcPr>
            <w:tcW w:type="dxa" w:w="2160"/>
          </w:tcPr>
          <w:p>
            <w:r/>
            <w:r>
              <w:rPr>
                <w:rFonts w:ascii="Times New Roman" w:hAnsi="Times New Roman" w:eastAsia="黑体"/>
                <w:b/>
                <w:sz w:val="22"/>
              </w:rPr>
              <w:t>开发机构 / 公司</w:t>
            </w:r>
          </w:p>
        </w:tc>
        <w:tc>
          <w:tcPr>
            <w:tcW w:type="dxa" w:w="2160"/>
          </w:tcPr>
          <w:p>
            <w:r/>
            <w:r>
              <w:rPr>
                <w:rFonts w:ascii="Times New Roman" w:hAnsi="Times New Roman" w:eastAsia="黑体"/>
                <w:b/>
                <w:sz w:val="22"/>
              </w:rPr>
              <w:t>使用日期</w:t>
            </w:r>
          </w:p>
        </w:tc>
      </w:tr>
      <w:tr>
        <w:tc>
          <w:tcPr>
            <w:tcW w:type="dxa" w:w="2160"/>
          </w:tcPr>
          <w:p>
            <w:r/>
            <w:r>
              <w:rPr>
                <w:rFonts w:ascii="Times New Roman" w:hAnsi="Times New Roman" w:eastAsia="宋体"/>
                <w:b w:val="0"/>
                <w:sz w:val="22"/>
              </w:rPr>
              <w:t>MiniMax Code</w:t>
            </w:r>
          </w:p>
        </w:tc>
        <w:tc>
          <w:tcPr>
            <w:tcW w:type="dxa" w:w="2160"/>
          </w:tcPr>
          <w:p>
            <w:r/>
            <w:r>
              <w:rPr>
                <w:rFonts w:ascii="Times New Roman" w:hAnsi="Times New Roman" w:eastAsia="宋体"/>
                <w:b w:val="0"/>
                <w:sz w:val="22"/>
              </w:rPr>
              <w:t>模型 MiniMax-M3.1-Flash</w:t>
            </w:r>
          </w:p>
        </w:tc>
        <w:tc>
          <w:tcPr>
            <w:tcW w:type="dxa" w:w="2160"/>
          </w:tcPr>
          <w:p>
            <w:r/>
            <w:r>
              <w:rPr>
                <w:rFonts w:ascii="Times New Roman" w:hAnsi="Times New Roman" w:eastAsia="宋体"/>
                <w:b w:val="0"/>
                <w:sz w:val="22"/>
              </w:rPr>
              <w:t>MiniMax</w:t>
            </w:r>
          </w:p>
        </w:tc>
        <w:tc>
          <w:tcPr>
            <w:tcW w:type="dxa" w:w="2160"/>
          </w:tcPr>
          <w:p>
            <w:r/>
            <w:r>
              <w:rPr>
                <w:rFonts w:ascii="Times New Roman" w:hAnsi="Times New Roman" w:eastAsia="宋体"/>
                <w:b w:val="0"/>
                <w:sz w:val="22"/>
              </w:rPr>
              <w:t>2026-10-28</w:t>
            </w:r>
          </w:p>
        </w:tc>
      </w:tr>
    </w:tbl>
    <w:p>
      <w:pPr>
        <w:spacing w:before="200" w:after="80"/>
      </w:pPr>
      <w:r>
        <w:rPr>
          <w:rFonts w:ascii="Times New Roman" w:hAnsi="Times New Roman" w:eastAsia="黑体"/>
          <w:b/>
          <w:sz w:val="28"/>
        </w:rPr>
        <w:t>二、具体使用目的和应用环节</w:t>
      </w:r>
    </w:p>
    <w:p>
      <w:pPr>
        <w:spacing w:after="40" w:line="360" w:lineRule="auto"/>
      </w:pPr>
      <w:r>
        <w:rPr>
          <w:rFonts w:ascii="Times New Roman" w:hAnsi="Times New Roman" w:eastAsia="宋体"/>
          <w:b w:val="0"/>
          <w:sz w:val="24"/>
        </w:rPr>
        <w:t>AI 工具仅作为辅助手段，用于以下环节；核心建模、算法设计、求解与分析由参赛队员独立完成，全部结果经人工复核后采用。</w:t>
      </w:r>
    </w:p>
    <w:p>
      <w:pPr>
        <w:spacing w:after="40" w:line="360" w:lineRule="auto"/>
        <w:ind w:firstLine="480"/>
      </w:pPr>
      <w:r>
        <w:rPr>
          <w:rFonts w:ascii="Times New Roman" w:hAnsi="Times New Roman" w:eastAsia="宋体"/>
          <w:b w:val="0"/>
          <w:sz w:val="24"/>
        </w:rPr>
        <w:t>1. 环境与依赖搭建：在仓库内用 uv 建立隔离虚拟环境并锁定依赖版本，形成 requirements.lock.txt；安装 CPU 版 torch 与 tabpfn 以支持 TabPFN 建模；补齐 networkx / igraph / shap / xgboost / lightgbm / optuna / copulas 等问题二、三所需组件；安装 .NET SDK 9 以启用 文档处理工具链。</w:t>
      </w:r>
    </w:p>
    <w:p>
      <w:pPr>
        <w:spacing w:after="40" w:line="360" w:lineRule="auto"/>
        <w:ind w:firstLine="480"/>
      </w:pPr>
      <w:r>
        <w:rPr>
          <w:rFonts w:ascii="Times New Roman" w:hAnsi="Times New Roman" w:eastAsia="宋体"/>
          <w:b w:val="0"/>
          <w:sz w:val="24"/>
        </w:rPr>
        <w:t>2. 数据语义探查：梳理附件 1–8 的字段结构与量纲差异，判定 2.csv / 5.csv / 6.csv 的相关系数类型与对数底数疑点，分析 7.csv 的缺失机制与信息冗余性，并利用 8.xlsx 建立化合物名与感官属性之间的名称桥。</w:t>
      </w:r>
    </w:p>
    <w:p>
      <w:pPr>
        <w:spacing w:after="40" w:line="360" w:lineRule="auto"/>
        <w:ind w:firstLine="480"/>
      </w:pPr>
      <w:r>
        <w:rPr>
          <w:rFonts w:ascii="Times New Roman" w:hAnsi="Times New Roman" w:eastAsia="宋体"/>
          <w:b w:val="0"/>
          <w:sz w:val="24"/>
        </w:rPr>
        <w:t>3. 数据语义裁定与共享数据层：以可复算的证据最终裁定三项语义：一是用附件 8 的原始浓度对每一列回归，判定 1.csv 为 log10 标度与原始浓度标度并存的混合标度；二是以「重算相关矩阵并与给定矩阵逐元素比对」判定三张相关矩阵均为斯皮尔曼相关系数（与赛题 PDF 表述不一致）；三是查明 3.xlsx 仅为空白品评卡模板、附件不含原始 0–6 分数。据此建立scripts/data_contract.py 作为三问唯一取数入口，并配套 20 项回归测试固化上述裁定。</w:t>
      </w:r>
    </w:p>
    <w:p>
      <w:pPr>
        <w:spacing w:after="40" w:line="360" w:lineRule="auto"/>
        <w:ind w:firstLine="480"/>
      </w:pPr>
      <w:r>
        <w:rPr>
          <w:rFonts w:ascii="Times New Roman" w:hAnsi="Times New Roman" w:eastAsia="宋体"/>
          <w:b w:val="0"/>
          <w:sz w:val="24"/>
        </w:rPr>
        <w:t>4. 建模方案与实验设计：为问题一设计分层划分与多模型对比（GBR / RF / TabPFN / 多任务网络），为问题二设计共表达图构建与 Top-3 稳定性量化方案（bootstrap 入选频率、跨模型 Jaccard 系数），为问题三设计风格条件生成与跨风格迁移的约束思路。</w:t>
      </w:r>
    </w:p>
    <w:p>
      <w:pPr>
        <w:spacing w:after="40" w:line="360" w:lineRule="auto"/>
        <w:ind w:firstLine="480"/>
      </w:pPr>
      <w:r>
        <w:rPr>
          <w:rFonts w:ascii="Times New Roman" w:hAnsi="Times New Roman" w:eastAsia="宋体"/>
          <w:b w:val="0"/>
          <w:sz w:val="24"/>
        </w:rPr>
        <w:t>5. 问题一实现与复现：在本机重跑七个模型族并与队友既有结果逐模型对照（最大宏平均均方根误差偏差 3.9e-4，多数为机器精度级一致）；实现以训练集七分位切点为主的相对分级与以感官阈值为锚的绝对分级双轨口径；补做 TabPFN 3.5 五折全量复现。</w:t>
      </w:r>
    </w:p>
    <w:p>
      <w:pPr>
        <w:spacing w:after="40" w:line="360" w:lineRule="auto"/>
        <w:ind w:firstLine="480"/>
      </w:pPr>
      <w:r>
        <w:rPr>
          <w:rFonts w:ascii="Times New Roman" w:hAnsi="Times New Roman" w:eastAsia="宋体"/>
          <w:b w:val="0"/>
          <w:sz w:val="24"/>
        </w:rPr>
        <w:t>6. 问题二实现：构建 231 节点共表达图并做四档阈值敏感性；实现四路证据（自算全量相关、SHAP 归因、附件交叉相关、外部先验）的融合排序；以重采样入选频率与跨方法 Jaccard 系数双重量化稳定性；为每个入选化合物给出化学来源归属、载体类别、异味描述与阈值一致性四层合理性论证。</w:t>
      </w:r>
    </w:p>
    <w:p>
      <w:pPr>
        <w:spacing w:after="40" w:line="360" w:lineRule="auto"/>
        <w:ind w:firstLine="480"/>
      </w:pPr>
      <w:r>
        <w:rPr>
          <w:rFonts w:ascii="Times New Roman" w:hAnsi="Times New Roman" w:eastAsia="宋体"/>
          <w:b w:val="0"/>
          <w:sz w:val="24"/>
        </w:rPr>
        <w:t>7. 问题三实现：实现全局高斯 Copula 结构、风格条件边际（含小样本收缩）、缺陷阈值拒绝重抽与单调压缩、秩—分位映射式跨风格迁移；并补充无约束参照生成以区分「生成器还原度」与「约束对边际的压平作用」。</w:t>
      </w:r>
    </w:p>
    <w:p>
      <w:pPr>
        <w:spacing w:after="40" w:line="360" w:lineRule="auto"/>
        <w:ind w:firstLine="480"/>
      </w:pPr>
      <w:r>
        <w:rPr>
          <w:rFonts w:ascii="Times New Roman" w:hAnsi="Times New Roman" w:eastAsia="宋体"/>
          <w:b w:val="0"/>
          <w:sz w:val="24"/>
        </w:rPr>
        <w:t>8. 可视化与图表规范：统一 matplotlib 中文字体配置（Microsoft YaHei + axes.unicode_minus=False），确保论文图表中的中文标签与负号正常渲染，避免出现缺字方块。</w:t>
      </w:r>
    </w:p>
    <w:p>
      <w:pPr>
        <w:spacing w:after="40" w:line="360" w:lineRule="auto"/>
        <w:ind w:firstLine="480"/>
      </w:pPr>
      <w:r>
        <w:rPr>
          <w:rFonts w:ascii="Times New Roman" w:hAnsi="Times New Roman" w:eastAsia="宋体"/>
          <w:b w:val="0"/>
          <w:sz w:val="24"/>
        </w:rPr>
        <w:t>9. 论文产出与格式合规：按官方 docx 模板填充标题、摘要、队伍编号与赛道字段；建立 docx→PDF 转换链（Word COM 主路 / LibreOffice 备路）与自动校验脚本，检查页数上限、页脚页码连续性、无页眉、无个人身份信息。</w:t>
      </w:r>
    </w:p>
    <w:p>
      <w:pPr>
        <w:spacing w:after="40" w:line="360" w:lineRule="auto"/>
        <w:ind w:firstLine="480"/>
      </w:pPr>
      <w:r>
        <w:rPr>
          <w:rFonts w:ascii="Times New Roman" w:hAnsi="Times New Roman" w:eastAsia="宋体"/>
          <w:b w:val="0"/>
          <w:sz w:val="24"/>
        </w:rPr>
        <w:t>10. 代码规范与留痕：制定 AGENTS.md 项目契约，统一分支模型、数据分层不可变约定与 AI 辅助注释规范；为全部 AI 辅助脚本补写含工具名、版本、机构与日期的头部声明。</w:t>
      </w:r>
    </w:p>
    <w:p>
      <w:pPr>
        <w:spacing w:before="200" w:after="80"/>
      </w:pPr>
      <w:r>
        <w:rPr>
          <w:rFonts w:ascii="Times New Roman" w:hAnsi="Times New Roman" w:eastAsia="黑体"/>
          <w:b/>
          <w:sz w:val="28"/>
        </w:rPr>
        <w:t>三、关键交互记录</w:t>
      </w:r>
    </w:p>
    <w:p>
      <w:pPr>
        <w:spacing w:after="40" w:line="360" w:lineRule="auto"/>
      </w:pPr>
      <w:r>
        <w:rPr>
          <w:rFonts w:ascii="Times New Roman" w:hAnsi="Times New Roman" w:eastAsia="宋体"/>
          <w:b w:val="0"/>
          <w:sz w:val="24"/>
        </w:rPr>
        <w:t>以下为本项目中与 AI 工具交互的关键提示词与回复要义，按工作顺序排列。完整原始对话记录随支撑材料一并提供。</w:t>
      </w:r>
    </w:p>
    <w:p>
      <w:pPr>
        <w:spacing w:after="40" w:line="360" w:lineRule="auto"/>
      </w:pPr>
      <w:r>
        <w:rPr>
          <w:rFonts w:ascii="Times New Roman" w:hAnsi="Times New Roman" w:eastAsia="宋体"/>
          <w:b w:val="0"/>
          <w:sz w:val="24"/>
        </w:rPr>
        <w:t>1. 提示词：“查看项目情况（GitHub 仓库分支列表）与比赛要求 PDF，并推荐、装好适合的工具/技能，且必须验证能用。”</w:t>
      </w:r>
    </w:p>
    <w:p>
      <w:pPr>
        <w:spacing w:after="40" w:line="360" w:lineRule="auto"/>
      </w:pPr>
      <w:r>
        <w:rPr>
          <w:rFonts w:ascii="Times New Roman" w:hAnsi="Times New Roman" w:eastAsia="宋体"/>
          <w:b w:val="0"/>
          <w:sz w:val="24"/>
        </w:rPr>
        <w:t xml:space="preserve">   回复与产出：产出：抓取远端三分支差异、解析赛道A 三问与论文格式/AI 使用规定、盘点本机 Python 与文档工具链缺口，随后就环境形态、torch 变体、装载范围、分支同步范围四项决策征询确认后实施。</w:t>
      </w:r>
    </w:p>
    <w:p>
      <w:pPr>
        <w:spacing w:after="40" w:line="360" w:lineRule="auto"/>
      </w:pPr>
      <w:r>
        <w:rPr>
          <w:rFonts w:ascii="Times New Roman" w:hAnsi="Times New Roman" w:eastAsia="宋体"/>
          <w:b w:val="0"/>
          <w:sz w:val="24"/>
        </w:rPr>
        <w:t>2. 提示词：“对 2.csv / 5.csv / 6.csv 的相关系数类型与 1.csv 的对数底数做判定，并说明 4.csv、7.csv 的真实量纲。”</w:t>
      </w:r>
    </w:p>
    <w:p>
      <w:pPr>
        <w:spacing w:after="40" w:line="360" w:lineRule="auto"/>
      </w:pPr>
      <w:r>
        <w:rPr>
          <w:rFonts w:ascii="Times New Roman" w:hAnsi="Times New Roman" w:eastAsia="宋体"/>
          <w:b w:val="0"/>
          <w:sz w:val="24"/>
        </w:rPr>
        <w:t xml:space="preserve">   回复与产出：产出：写成 scripts/resolve_corr_type.py 等 4 个探查脚本，用矩阵重算与候选类型穷举做交叉验证；结论写入 AGENTS.md 的“数据语义备忘”，避免重复探查。</w:t>
      </w:r>
    </w:p>
    <w:p>
      <w:pPr>
        <w:spacing w:after="40" w:line="360" w:lineRule="auto"/>
      </w:pPr>
      <w:r>
        <w:rPr>
          <w:rFonts w:ascii="Times New Roman" w:hAnsi="Times New Roman" w:eastAsia="宋体"/>
          <w:b w:val="0"/>
          <w:sz w:val="24"/>
        </w:rPr>
        <w:t>3. 提示词：“按官方 docx 模板产出论文，并保证中文、正文不超过 30 页、页脚页码从 1 连续、无页眉、无个人信息。”</w:t>
      </w:r>
    </w:p>
    <w:p>
      <w:pPr>
        <w:spacing w:after="40" w:line="360" w:lineRule="auto"/>
      </w:pPr>
      <w:r>
        <w:rPr>
          <w:rFonts w:ascii="Times New Roman" w:hAnsi="Times New Roman" w:eastAsia="宋体"/>
          <w:b w:val="0"/>
          <w:sz w:val="24"/>
        </w:rPr>
        <w:t xml:space="preserve">   回复与产出：产出：脚本 scripts/check_paper_pdf.py，自动抽取 PDF 文本并做五项断言；首轮报出“第 3 页顶部有文字”被判为页眉，经核验实为正文节首行（源 DOCX 三个节页眉均为空），遂将判定规则修正为“跨页重复文本”并以源 DOCX 页眉对象为权威依据。</w:t>
      </w:r>
    </w:p>
    <w:p>
      <w:pPr>
        <w:spacing w:after="40" w:line="360" w:lineRule="auto"/>
      </w:pPr>
      <w:r>
        <w:rPr>
          <w:rFonts w:ascii="Times New Roman" w:hAnsi="Times New Roman" w:eastAsia="宋体"/>
          <w:b w:val="0"/>
          <w:sz w:val="24"/>
        </w:rPr>
        <w:t>4. 提示词：“把远端 requirements 中 pandas 3.1.0 / numpy 2.5.4 的激进版本线与本地既有脚本的 pandas 2.x 写法之间的冲突处理掉。”</w:t>
      </w:r>
    </w:p>
    <w:p>
      <w:pPr>
        <w:spacing w:after="40" w:line="360" w:lineRule="auto"/>
      </w:pPr>
      <w:r>
        <w:rPr>
          <w:rFonts w:ascii="Times New Roman" w:hAnsi="Times New Roman" w:eastAsia="宋体"/>
          <w:b w:val="0"/>
          <w:sz w:val="24"/>
        </w:rPr>
        <w:t xml:space="preserve">   回复与产出：产出：识别出 pandas 3.x 的 copy-on-write 与字符串 dtype 默认变更会破坏既有脚本，主动将环境钉在 pandas 2.3.3 / numpy 2.4.6，并在 AGENTS.md 记录该分歧，未擅自改动队友分支的版本锁定。</w:t>
      </w:r>
    </w:p>
    <w:p>
      <w:pPr>
        <w:spacing w:after="40" w:line="360" w:lineRule="auto"/>
      </w:pPr>
      <w:r>
        <w:rPr>
          <w:rFonts w:ascii="Times New Roman" w:hAnsi="Times New Roman" w:eastAsia="宋体"/>
          <w:b w:val="0"/>
          <w:sz w:val="24"/>
        </w:rPr>
        <w:t>5. 提示词：“本机 GPU 仅 4GB 显存，torch 该装 CPU 还是 CUDA 版本？”</w:t>
      </w:r>
    </w:p>
    <w:p>
      <w:pPr>
        <w:spacing w:after="40" w:line="360" w:lineRule="auto"/>
      </w:pPr>
      <w:r>
        <w:rPr>
          <w:rFonts w:ascii="Times New Roman" w:hAnsi="Times New Roman" w:eastAsia="宋体"/>
          <w:b w:val="0"/>
          <w:sz w:val="24"/>
        </w:rPr>
        <w:t xml:space="preserve">   回复与产出：产出：结合样本规模（175 训练样本 × 231 特征 × 50 目标）与显存约束，给出 CPU 轮子方案；实测确认 torch 2.8.0+cpu 的 cuda_available=False，符合预期。</w:t>
      </w:r>
    </w:p>
    <w:p>
      <w:pPr>
        <w:spacing w:after="40" w:line="360" w:lineRule="auto"/>
      </w:pPr>
      <w:r>
        <w:rPr>
          <w:rFonts w:ascii="Times New Roman" w:hAnsi="Times New Roman" w:eastAsia="宋体"/>
          <w:b w:val="0"/>
          <w:sz w:val="24"/>
        </w:rPr>
        <w:t>6. 提示词：“以 1.csv 为基础给出 3.xlsx 定义的 Aroma 与 Flavour 两套约 40 个感官维度的 0–6 分制分级评分结果；请给出 0–6 分制的构造口径、交付范围与多 Agent 分工方式的建议。”</w:t>
      </w:r>
    </w:p>
    <w:p>
      <w:pPr>
        <w:spacing w:after="40" w:line="360" w:lineRule="auto"/>
      </w:pPr>
      <w:r>
        <w:rPr>
          <w:rFonts w:ascii="Times New Roman" w:hAnsi="Times New Roman" w:eastAsia="宋体"/>
          <w:b w:val="0"/>
          <w:sz w:val="24"/>
        </w:rPr>
        <w:t xml:space="preserve">   回复与产出：产出：给出双轨口径（相对七分位分级为主、感官阈值锚定为辅）、交付范围与「按问题并行 + 独立复核」的分工拓扑三项建议，均经人工确认后执行。</w:t>
      </w:r>
    </w:p>
    <w:p>
      <w:pPr>
        <w:spacing w:after="40" w:line="360" w:lineRule="auto"/>
      </w:pPr>
      <w:r>
        <w:rPr>
          <w:rFonts w:ascii="Times New Roman" w:hAnsi="Times New Roman" w:eastAsia="宋体"/>
          <w:b w:val="0"/>
          <w:sz w:val="24"/>
        </w:rPr>
        <w:t>7. 提示词：“对 1.csv 的对数底数与正负值含义、对三张相关矩阵的相关系数类型、3.xlsx 是否含真实评分数据做证据级裁定。”</w:t>
      </w:r>
    </w:p>
    <w:p>
      <w:pPr>
        <w:spacing w:after="40" w:line="360" w:lineRule="auto"/>
      </w:pPr>
      <w:r>
        <w:rPr>
          <w:rFonts w:ascii="Times New Roman" w:hAnsi="Times New Roman" w:eastAsia="宋体"/>
          <w:b w:val="0"/>
          <w:sz w:val="24"/>
        </w:rPr>
        <w:t xml:space="preserve">   回复与产出：产出：以附件 8 的原始浓度回归逐列裁定标度（log10 列 37、原始浓度列 33、自然对数斜率恒为 2.302585 故排除）；以逐元素重算比对裁定三张矩阵均为斯皮尔曼相关系数（最大绝对偏差为 0）；查明 3.xlsx 的 12 张评分卡内无任何品评员打分记录、汇总表数值单元格为指向空表的公式，据此推翻「用原始品评卡做绝对标定」的初始设想，改为阈值锚定。</w:t>
      </w:r>
    </w:p>
    <w:p>
      <w:pPr>
        <w:spacing w:after="40" w:line="360" w:lineRule="auto"/>
      </w:pPr>
      <w:r>
        <w:rPr>
          <w:rFonts w:ascii="Times New Roman" w:hAnsi="Times New Roman" w:eastAsia="宋体"/>
          <w:b w:val="0"/>
          <w:sz w:val="24"/>
        </w:rPr>
        <w:t>8. 提示词：“问题一/二/三分别并行推进，另设一个只读 Agent 复核；子 Agent 必须能用 Bash 做数值验证。”</w:t>
      </w:r>
    </w:p>
    <w:p>
      <w:pPr>
        <w:spacing w:after="40" w:line="360" w:lineRule="auto"/>
      </w:pPr>
      <w:r>
        <w:rPr>
          <w:rFonts w:ascii="Times New Roman" w:hAnsi="Times New Roman" w:eastAsia="宋体"/>
          <w:b w:val="0"/>
          <w:sz w:val="24"/>
        </w:rPr>
        <w:t xml:space="preserve">   回复与产出：产出：三个执行 Agent 分工产出、复核 Agent 独立审查；先前一批只读 Agent 因无执行权限只能翻历史日志、产出不可用，遂在派发简报中写死解释器路径与「必须执行数值验证」的硬性要求。</w:t>
      </w:r>
    </w:p>
    <w:p>
      <w:pPr>
        <w:spacing w:after="40" w:line="360" w:lineRule="auto"/>
      </w:pPr>
      <w:r>
        <w:rPr>
          <w:rFonts w:ascii="Times New Roman" w:hAnsi="Times New Roman" w:eastAsia="宋体"/>
          <w:b w:val="0"/>
          <w:sz w:val="24"/>
        </w:rPr>
        <w:t>9. 提示词：“核查问题三生成谱是否真的满足缺陷阈值约束，并判断缺陷列边际是否被系统性压低。”</w:t>
      </w:r>
    </w:p>
    <w:p>
      <w:pPr>
        <w:spacing w:after="40" w:line="360" w:lineRule="auto"/>
      </w:pPr>
      <w:r>
        <w:rPr>
          <w:rFonts w:ascii="Times New Roman" w:hAnsi="Times New Roman" w:eastAsia="宋体"/>
          <w:b w:val="0"/>
          <w:sz w:val="24"/>
        </w:rPr>
        <w:t xml:space="preserve">   回复与产出：产出：独立复算发现 Tripel 的二甲基硫醚真实中位 −1.4127、约束生成后为 −1.9196，双乙酰真实中位 −0.5382、生成后为 −2.7881；判定这是拒绝重抽把分布条件化到缺陷项低尾的统计后果而非代码缺陷，遂要求补一份无约束参照生成以区分「生成器还原度」与「约束对边际的压平作用」。</w:t>
      </w:r>
    </w:p>
    <w:p>
      <w:pPr>
        <w:spacing w:after="40" w:line="360" w:lineRule="auto"/>
      </w:pPr>
      <w:r>
        <w:rPr>
          <w:rFonts w:ascii="Times New Roman" w:hAnsi="Times New Roman" w:eastAsia="宋体"/>
          <w:b w:val="0"/>
          <w:sz w:val="24"/>
        </w:rPr>
        <w:t>10. 提示词：“TabPFN 全量五折复现中途报错，且首轮生成结果页数与中文字符校验未过，如何修正？”</w:t>
      </w:r>
    </w:p>
    <w:p>
      <w:pPr>
        <w:spacing w:after="40" w:line="360" w:lineRule="auto"/>
      </w:pPr>
      <w:r>
        <w:rPr>
          <w:rFonts w:ascii="Times New Roman" w:hAnsi="Times New Roman" w:eastAsia="宋体"/>
          <w:b w:val="0"/>
          <w:sz w:val="24"/>
        </w:rPr>
        <w:t xml:space="preserve">   回复与产出：产出：定位 TabPFN 报错为并行进程数过多导致的系统资源不足，改为分块续跑并压低并行度；论文侧修正页数校验口径为「正文不超过 30 页、附录页数不限」，并移除在转换后被渲染为常数的总页数字段。</w:t>
      </w:r>
    </w:p>
    <w:p>
      <w:pPr>
        <w:spacing w:before="200" w:after="80"/>
      </w:pPr>
      <w:r>
        <w:rPr>
          <w:rFonts w:ascii="Times New Roman" w:hAnsi="Times New Roman" w:eastAsia="黑体"/>
          <w:b/>
          <w:sz w:val="28"/>
        </w:rPr>
        <w:t>四、采纳内容和人工修改情况</w:t>
      </w:r>
    </w:p>
    <w:p>
      <w:pPr>
        <w:spacing w:after="40" w:line="360" w:lineRule="auto"/>
      </w:pPr>
      <w:r>
        <w:rPr>
          <w:rFonts w:ascii="Times New Roman" w:hAnsi="Times New Roman" w:eastAsia="宋体"/>
          <w:b w:val="0"/>
          <w:sz w:val="24"/>
        </w:rPr>
        <w:t>对 AI 给出但未直接采纳、或经人工修正后采纳的内容，逐条说明如下。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22"/>
              </w:rPr>
              <w:t>事项</w:t>
            </w:r>
          </w:p>
        </w:tc>
        <w:tc>
          <w:tcPr>
            <w:tcW w:type="dxa" w:w="2880"/>
          </w:tcPr>
          <w:p>
            <w:r/>
            <w:r>
              <w:rPr>
                <w:rFonts w:ascii="Times New Roman" w:hAnsi="Times New Roman" w:eastAsia="黑体"/>
                <w:b/>
                <w:sz w:val="22"/>
              </w:rPr>
              <w:t>采纳情况</w:t>
            </w:r>
          </w:p>
        </w:tc>
        <w:tc>
          <w:tcPr>
            <w:tcW w:type="dxa" w:w="2880"/>
          </w:tcPr>
          <w:p>
            <w:r/>
            <w:r>
              <w:rPr>
                <w:rFonts w:ascii="Times New Roman" w:hAnsi="Times New Roman" w:eastAsia="黑体"/>
                <w:b/>
                <w:sz w:val="22"/>
              </w:rPr>
              <w:t>人工修改 / 修正说明</w:t>
            </w:r>
          </w:p>
        </w:tc>
      </w:tr>
      <w:tr>
        <w:tc>
          <w:tcPr>
            <w:tcW w:type="dxa" w:w="2880"/>
          </w:tcPr>
          <w:p>
            <w:r/>
            <w:r>
              <w:rPr>
                <w:rFonts w:ascii="Times New Roman" w:hAnsi="Times New Roman" w:eastAsia="宋体"/>
                <w:b w:val="0"/>
                <w:sz w:val="22"/>
              </w:rPr>
              <w:t>环境与版本管理方案</w:t>
            </w:r>
          </w:p>
        </w:tc>
        <w:tc>
          <w:tcPr>
            <w:tcW w:type="dxa" w:w="2880"/>
          </w:tcPr>
          <w:p>
            <w:r/>
            <w:r>
              <w:rPr>
                <w:rFonts w:ascii="Times New Roman" w:hAnsi="Times New Roman" w:eastAsia="宋体"/>
                <w:b w:val="0"/>
                <w:sz w:val="22"/>
              </w:rPr>
              <w:t>采纳：仓库内 .venv + uv 锁定 + torch CPU 轮子 + tabpfn 9.2.0 的组合。</w:t>
            </w:r>
          </w:p>
        </w:tc>
        <w:tc>
          <w:tcPr>
            <w:tcW w:type="dxa" w:w="2880"/>
          </w:tcPr>
          <w:p>
            <w:r/>
            <w:r>
              <w:rPr>
                <w:rFonts w:ascii="Times New Roman" w:hAnsi="Times New Roman" w:eastAsia="宋体"/>
                <w:b w:val="0"/>
                <w:sz w:val="22"/>
              </w:rPr>
              <w:t>人工修改：把远端 requirements 的 pandas&lt;3 冲突在本地主动钉为 pandas 2.3.3 / numpy 2.4.6；在锁文件头部补充“必须带 --extra-index-url 才能解析 torch==2.8.0+cpu”的说明。</w:t>
            </w:r>
          </w:p>
        </w:tc>
      </w:tr>
      <w:tr>
        <w:tc>
          <w:tcPr>
            <w:tcW w:type="dxa" w:w="2880"/>
          </w:tcPr>
          <w:p>
            <w:r/>
            <w:r>
              <w:rPr>
                <w:rFonts w:ascii="Times New Roman" w:hAnsi="Times New Roman" w:eastAsia="宋体"/>
                <w:b w:val="0"/>
                <w:sz w:val="22"/>
              </w:rPr>
              <w:t>.NET SDK 安装路径</w:t>
            </w:r>
          </w:p>
        </w:tc>
        <w:tc>
          <w:tcPr>
            <w:tcW w:type="dxa" w:w="2880"/>
          </w:tcPr>
          <w:p>
            <w:r/>
            <w:r>
              <w:rPr>
                <w:rFonts w:ascii="Times New Roman" w:hAnsi="Times New Roman" w:eastAsia="宋体"/>
                <w:b w:val="0"/>
                <w:sz w:val="22"/>
              </w:rPr>
              <w:t>采纳：安装 .NET SDK 9 以启用文档处理工具链的完整能力。</w:t>
            </w:r>
          </w:p>
        </w:tc>
        <w:tc>
          <w:tcPr>
            <w:tcW w:type="dxa" w:w="2880"/>
          </w:tcPr>
          <w:p>
            <w:r/>
            <w:r>
              <w:rPr>
                <w:rFonts w:ascii="Times New Roman" w:hAnsi="Times New Roman" w:eastAsia="宋体"/>
                <w:b w:val="0"/>
                <w:sz w:val="22"/>
              </w:rPr>
              <w:t>人工修改：原计划用 winget 提权安装，实测当前会话非管理员，改为使用官方 dotnet-install.ps1 免提权安装到 F:\cs\mothercup\.dotnet（9.0.320），并写入用户级 PATH。</w:t>
            </w:r>
          </w:p>
        </w:tc>
      </w:tr>
      <w:tr>
        <w:tc>
          <w:tcPr>
            <w:tcW w:type="dxa" w:w="2880"/>
          </w:tcPr>
          <w:p>
            <w:r/>
            <w:r>
              <w:rPr>
                <w:rFonts w:ascii="Times New Roman" w:hAnsi="Times New Roman" w:eastAsia="宋体"/>
                <w:b w:val="0"/>
                <w:sz w:val="22"/>
              </w:rPr>
              <w:t>PDF 转换主备路</w:t>
            </w:r>
          </w:p>
        </w:tc>
        <w:tc>
          <w:tcPr>
            <w:tcW w:type="dxa" w:w="2880"/>
          </w:tcPr>
          <w:p>
            <w:r/>
            <w:r>
              <w:rPr>
                <w:rFonts w:ascii="Times New Roman" w:hAnsi="Times New Roman" w:eastAsia="宋体"/>
                <w:b w:val="0"/>
                <w:sz w:val="22"/>
              </w:rPr>
              <w:t>采纳：docx→PDF 采用 Word COM 主路、LibreOffice 备路的双路设计。</w:t>
            </w:r>
          </w:p>
        </w:tc>
        <w:tc>
          <w:tcPr>
            <w:tcW w:type="dxa" w:w="2880"/>
          </w:tcPr>
          <w:p>
            <w:r/>
            <w:r>
              <w:rPr>
                <w:rFonts w:ascii="Times New Roman" w:hAnsi="Times New Roman" w:eastAsia="宋体"/>
                <w:b w:val="0"/>
                <w:sz w:val="22"/>
              </w:rPr>
              <w:t>人工修改：实测 soffice 首次运行在隔离 profile 下仍超时，故将 Word COM 定为唯一必达路径，soffice 仅保留为带超时保护的备选；未把 soffice 的可用性写成既定事实。</w:t>
            </w:r>
          </w:p>
        </w:tc>
      </w:tr>
      <w:tr>
        <w:tc>
          <w:tcPr>
            <w:tcW w:type="dxa" w:w="2880"/>
          </w:tcPr>
          <w:p>
            <w:r/>
            <w:r>
              <w:rPr>
                <w:rFonts w:ascii="Times New Roman" w:hAnsi="Times New Roman" w:eastAsia="宋体"/>
                <w:b w:val="0"/>
                <w:sz w:val="22"/>
              </w:rPr>
              <w:t>页眉校验规则</w:t>
            </w:r>
          </w:p>
        </w:tc>
        <w:tc>
          <w:tcPr>
            <w:tcW w:type="dxa" w:w="2880"/>
          </w:tcPr>
          <w:p>
            <w:r/>
            <w:r>
              <w:rPr>
                <w:rFonts w:ascii="Times New Roman" w:hAnsi="Times New Roman" w:eastAsia="宋体"/>
                <w:b w:val="0"/>
                <w:sz w:val="22"/>
              </w:rPr>
              <w:t>初版采用“顶部区域无文字即无页眉”的规则。</w:t>
            </w:r>
          </w:p>
        </w:tc>
        <w:tc>
          <w:tcPr>
            <w:tcW w:type="dxa" w:w="2880"/>
          </w:tcPr>
          <w:p>
            <w:r/>
            <w:r>
              <w:rPr>
                <w:rFonts w:ascii="Times New Roman" w:hAnsi="Times New Roman" w:eastAsia="宋体"/>
                <w:b w:val="0"/>
                <w:sz w:val="22"/>
              </w:rPr>
              <w:t>人工修改：冒烟测试中被正文首行误触发，改为“跨页重复文本”判定并增加源 DOCX 页眉对象交叉验证，复测五项校验全部通过。</w:t>
            </w:r>
          </w:p>
        </w:tc>
      </w:tr>
      <w:tr>
        <w:tc>
          <w:tcPr>
            <w:tcW w:type="dxa" w:w="2880"/>
          </w:tcPr>
          <w:p>
            <w:r/>
            <w:r>
              <w:rPr>
                <w:rFonts w:ascii="Times New Roman" w:hAnsi="Times New Roman" w:eastAsia="宋体"/>
                <w:b w:val="0"/>
                <w:sz w:val="22"/>
              </w:rPr>
              <w:t>数据语义结论</w:t>
            </w:r>
          </w:p>
        </w:tc>
        <w:tc>
          <w:tcPr>
            <w:tcW w:type="dxa" w:w="2880"/>
          </w:tcPr>
          <w:p>
            <w:r/>
            <w:r>
              <w:rPr>
                <w:rFonts w:ascii="Times New Roman" w:hAnsi="Times New Roman" w:eastAsia="宋体"/>
                <w:b w:val="0"/>
                <w:sz w:val="22"/>
              </w:rPr>
              <w:t>采纳：2.csv / 5.csv / 6.csv 相关类型与对数底数存疑、4.csv 为标准化值、7.csv 为标准化评述数据等结论。</w:t>
            </w:r>
          </w:p>
        </w:tc>
        <w:tc>
          <w:tcPr>
            <w:tcW w:type="dxa" w:w="2880"/>
          </w:tcPr>
          <w:p>
            <w:r/>
            <w:r>
              <w:rPr>
                <w:rFonts w:ascii="Times New Roman" w:hAnsi="Times New Roman" w:eastAsia="宋体"/>
                <w:b w:val="0"/>
                <w:sz w:val="22"/>
              </w:rPr>
              <w:t>人工修改：所有存疑项一律标注为“尚未最终裁定”，未在论文语境下当作既定事实使用，并在 AGENTS.md 中写明需先用对应脚本复核。</w:t>
            </w:r>
          </w:p>
        </w:tc>
      </w:tr>
      <w:tr>
        <w:tc>
          <w:tcPr>
            <w:tcW w:type="dxa" w:w="2880"/>
          </w:tcPr>
          <w:p>
            <w:r/>
            <w:r>
              <w:rPr>
                <w:rFonts w:ascii="Times New Roman" w:hAnsi="Times New Roman" w:eastAsia="宋体"/>
                <w:b w:val="0"/>
                <w:sz w:val="22"/>
              </w:rPr>
              <w:t>模型复现结论</w:t>
            </w:r>
          </w:p>
        </w:tc>
        <w:tc>
          <w:tcPr>
            <w:tcW w:type="dxa" w:w="2880"/>
          </w:tcPr>
          <w:p>
            <w:r/>
            <w:r>
              <w:rPr>
                <w:rFonts w:ascii="Times New Roman" w:hAnsi="Times New Roman" w:eastAsia="宋体"/>
                <w:b w:val="0"/>
                <w:sz w:val="22"/>
              </w:rPr>
              <w:t>采纳：沿用远端 RESULTS.md 的基线数值（TabPFN 留出 R²=0.2363 为当前最优）。</w:t>
            </w:r>
          </w:p>
        </w:tc>
        <w:tc>
          <w:tcPr>
            <w:tcW w:type="dxa" w:w="2880"/>
          </w:tcPr>
          <w:p>
            <w:r/>
            <w:r>
              <w:rPr>
                <w:rFonts w:ascii="Times New Roman" w:hAnsi="Times New Roman" w:eastAsia="宋体"/>
                <w:b w:val="0"/>
                <w:sz w:val="22"/>
              </w:rPr>
              <w:t>人工修改：将其明确标注为“队友在另一环境产出、待本地复现”，并为本地复现设定 ±0.03 的容差，避免把不可比的结果当作已验证结论。</w:t>
            </w:r>
          </w:p>
        </w:tc>
      </w:tr>
      <w:tr>
        <w:tc>
          <w:tcPr>
            <w:tcW w:type="dxa" w:w="2880"/>
          </w:tcPr>
          <w:p>
            <w:r/>
            <w:r>
              <w:rPr>
                <w:rFonts w:ascii="Times New Roman" w:hAnsi="Times New Roman" w:eastAsia="宋体"/>
                <w:b w:val="0"/>
                <w:sz w:val="22"/>
              </w:rPr>
              <w:t>相关系数类型的结论方向</w:t>
            </w:r>
          </w:p>
        </w:tc>
        <w:tc>
          <w:tcPr>
            <w:tcW w:type="dxa" w:w="2880"/>
          </w:tcPr>
          <w:p>
            <w:r/>
            <w:r>
              <w:rPr>
                <w:rFonts w:ascii="Times New Roman" w:hAnsi="Times New Roman" w:eastAsia="宋体"/>
                <w:b w:val="0"/>
                <w:sz w:val="22"/>
              </w:rPr>
              <w:t>初稿采纳赛题 PDF 的表述，称附件 2 为皮尔逊相关系数。</w:t>
            </w:r>
          </w:p>
        </w:tc>
        <w:tc>
          <w:tcPr>
            <w:tcW w:type="dxa" w:w="2880"/>
          </w:tcPr>
          <w:p>
            <w:r/>
            <w:r>
              <w:rPr>
                <w:rFonts w:ascii="Times New Roman" w:hAnsi="Times New Roman" w:eastAsia="宋体"/>
                <w:b w:val="0"/>
                <w:sz w:val="22"/>
              </w:rPr>
              <w:t>人工修改：以逐元素重算比对推翻该表述——三张矩阵在斯皮尔曼口径下最大绝对偏差为 0、逐元素吻合比例 1.0000，而在皮尔逊口径下中位绝对偏差约 0.04；遂统一改为斯皮尔曼，并在论文中显式声明该勘误及其证据表，而非默认官方文本正确。</w:t>
            </w:r>
          </w:p>
        </w:tc>
      </w:tr>
      <w:tr>
        <w:tc>
          <w:tcPr>
            <w:tcW w:type="dxa" w:w="2880"/>
          </w:tcPr>
          <w:p>
            <w:r/>
            <w:r>
              <w:rPr>
                <w:rFonts w:ascii="Times New Roman" w:hAnsi="Times New Roman" w:eastAsia="宋体"/>
                <w:b w:val="0"/>
                <w:sz w:val="22"/>
              </w:rPr>
              <w:t>对数底数的处理</w:t>
            </w:r>
          </w:p>
        </w:tc>
        <w:tc>
          <w:tcPr>
            <w:tcW w:type="dxa" w:w="2880"/>
          </w:tcPr>
          <w:p>
            <w:r/>
            <w:r>
              <w:rPr>
                <w:rFonts w:ascii="Times New Roman" w:hAnsi="Times New Roman" w:eastAsia="宋体"/>
                <w:b w:val="0"/>
                <w:sz w:val="22"/>
              </w:rPr>
              <w:t>初稿按赛题提示把 1.csv 整体视为 log10 标度。</w:t>
            </w:r>
          </w:p>
        </w:tc>
        <w:tc>
          <w:tcPr>
            <w:tcW w:type="dxa" w:w="2880"/>
          </w:tcPr>
          <w:p>
            <w:r/>
            <w:r>
              <w:rPr>
                <w:rFonts w:ascii="Times New Roman" w:hAnsi="Times New Roman" w:eastAsia="宋体"/>
                <w:b w:val="0"/>
                <w:sz w:val="22"/>
              </w:rPr>
              <w:t>人工修改：回归发现其中 33 列存的是原始浓度本身，若统一取 10 的幂将使双乙酰等列的量级严重失真；遂改为逐列审计并统一到 log10(mg/L) 矩阵，同时在测试中固化该裁定。</w:t>
            </w:r>
          </w:p>
        </w:tc>
      </w:tr>
      <w:tr>
        <w:tc>
          <w:tcPr>
            <w:tcW w:type="dxa" w:w="2880"/>
          </w:tcPr>
          <w:p>
            <w:r/>
            <w:r>
              <w:rPr>
                <w:rFonts w:ascii="Times New Roman" w:hAnsi="Times New Roman" w:eastAsia="宋体"/>
                <w:b w:val="0"/>
                <w:sz w:val="22"/>
              </w:rPr>
              <w:t>以原始品评卡作绝对标点的设想</w:t>
            </w:r>
          </w:p>
        </w:tc>
        <w:tc>
          <w:tcPr>
            <w:tcW w:type="dxa" w:w="2880"/>
          </w:tcPr>
          <w:p>
            <w:r/>
            <w:r>
              <w:rPr>
                <w:rFonts w:ascii="Times New Roman" w:hAnsi="Times New Roman" w:eastAsia="宋体"/>
                <w:b w:val="0"/>
                <w:sz w:val="22"/>
              </w:rPr>
              <w:t>初稿设想用 3.xlsx 的 12 张品评卡把标准化值映射回真实 0–6 分。</w:t>
            </w:r>
          </w:p>
        </w:tc>
        <w:tc>
          <w:tcPr>
            <w:tcW w:type="dxa" w:w="2880"/>
          </w:tcPr>
          <w:p>
            <w:r/>
            <w:r>
              <w:rPr>
                <w:rFonts w:ascii="Times New Roman" w:hAnsi="Times New Roman" w:eastAsia="宋体"/>
                <w:b w:val="0"/>
                <w:sz w:val="22"/>
              </w:rPr>
              <w:t>人工修改：逐格核查发现 12 张卡内无任何评分记录、汇总表为公式且缓存值为 0，该设想不成立；改为以感官阈值做锚定的一阶近似，并在论文中声明其不等价于实测原分。</w:t>
            </w:r>
          </w:p>
        </w:tc>
      </w:tr>
      <w:tr>
        <w:tc>
          <w:tcPr>
            <w:tcW w:type="dxa" w:w="2880"/>
          </w:tcPr>
          <w:p>
            <w:r/>
            <w:r>
              <w:rPr>
                <w:rFonts w:ascii="Times New Roman" w:hAnsi="Times New Roman" w:eastAsia="宋体"/>
                <w:b w:val="0"/>
                <w:sz w:val="22"/>
              </w:rPr>
              <w:t>名称桥的归一化规则</w:t>
            </w:r>
          </w:p>
        </w:tc>
        <w:tc>
          <w:tcPr>
            <w:tcW w:type="dxa" w:w="2880"/>
          </w:tcPr>
          <w:p>
            <w:r/>
            <w:r>
              <w:rPr>
                <w:rFonts w:ascii="Times New Roman" w:hAnsi="Times New Roman" w:eastAsia="宋体"/>
                <w:b w:val="0"/>
                <w:sz w:val="22"/>
              </w:rPr>
              <w:t>初稿按「剥离全部非字母数字」归一化化合物名。</w:t>
            </w:r>
          </w:p>
        </w:tc>
        <w:tc>
          <w:tcPr>
            <w:tcW w:type="dxa" w:w="2880"/>
          </w:tcPr>
          <w:p>
            <w:r/>
            <w:r>
              <w:rPr>
                <w:rFonts w:ascii="Times New Roman" w:hAnsi="Times New Roman" w:eastAsia="宋体"/>
                <w:b w:val="0"/>
                <w:sz w:val="22"/>
              </w:rPr>
              <w:t>人工修改：发现希腊字母被剥离后 E-α-紫罗兰酮与 E-β-紫罗兰酮塌缩为同一键，造成静默错配，遂改为先音译希腊字母再归一化，并对歧义键一律丢弃；该缺陷已写入回归测试。</w:t>
            </w:r>
          </w:p>
        </w:tc>
      </w:tr>
      <w:tr>
        <w:tc>
          <w:tcPr>
            <w:tcW w:type="dxa" w:w="2880"/>
          </w:tcPr>
          <w:p>
            <w:r/>
            <w:r>
              <w:rPr>
                <w:rFonts w:ascii="Times New Roman" w:hAnsi="Times New Roman" w:eastAsia="宋体"/>
                <w:b w:val="0"/>
                <w:sz w:val="22"/>
              </w:rPr>
              <w:t>缺陷约束对生成边际的影响</w:t>
            </w:r>
          </w:p>
        </w:tc>
        <w:tc>
          <w:tcPr>
            <w:tcW w:type="dxa" w:w="2880"/>
          </w:tcPr>
          <w:p>
            <w:r/>
            <w:r>
              <w:rPr>
                <w:rFonts w:ascii="Times New Roman" w:hAnsi="Times New Roman" w:eastAsia="宋体"/>
                <w:b w:val="0"/>
                <w:sz w:val="22"/>
              </w:rPr>
              <w:t>初稿以「零违规」作为问题三生成质量的唯一指标。</w:t>
            </w:r>
          </w:p>
        </w:tc>
        <w:tc>
          <w:tcPr>
            <w:tcW w:type="dxa" w:w="2880"/>
          </w:tcPr>
          <w:p>
            <w:r/>
            <w:r>
              <w:rPr>
                <w:rFonts w:ascii="Times New Roman" w:hAnsi="Times New Roman" w:eastAsia="宋体"/>
                <w:b w:val="0"/>
                <w:sz w:val="22"/>
              </w:rPr>
              <w:t>人工修改：复算发现拒绝重抽把缺陷列分布条件化到低尾，双乙酰中位由 −0.5382 压至 −2.7881；遂要求补出无约束参照生成，并在论文中同时呈现「风格代表性」与「合规性」两种用途的生成谱。</w:t>
            </w:r>
          </w:p>
        </w:tc>
      </w:tr>
      <w:tr>
        <w:tc>
          <w:tcPr>
            <w:tcW w:type="dxa" w:w="2880"/>
          </w:tcPr>
          <w:p>
            <w:r/>
            <w:r>
              <w:rPr>
                <w:rFonts w:ascii="Times New Roman" w:hAnsi="Times New Roman" w:eastAsia="宋体"/>
                <w:b w:val="0"/>
                <w:sz w:val="22"/>
              </w:rPr>
              <w:t>论文页数口径</w:t>
            </w:r>
          </w:p>
        </w:tc>
        <w:tc>
          <w:tcPr>
            <w:tcW w:type="dxa" w:w="2880"/>
          </w:tcPr>
          <w:p>
            <w:r/>
            <w:r>
              <w:rPr>
                <w:rFonts w:ascii="Times New Roman" w:hAnsi="Times New Roman" w:eastAsia="宋体"/>
                <w:b w:val="0"/>
                <w:sz w:val="22"/>
              </w:rPr>
              <w:t>初稿以 PDF 总页数对照 30 页上限。</w:t>
            </w:r>
          </w:p>
        </w:tc>
        <w:tc>
          <w:tcPr>
            <w:tcW w:type="dxa" w:w="2880"/>
          </w:tcPr>
          <w:p>
            <w:r/>
            <w:r>
              <w:rPr>
                <w:rFonts w:ascii="Times New Roman" w:hAnsi="Times New Roman" w:eastAsia="宋体"/>
                <w:b w:val="0"/>
                <w:sz w:val="22"/>
              </w:rPr>
              <w:t>人工修改：按官方规范「正文控制在 30 页以内，附录页数不限」改为以带页脚页码的页识别正文页，并把附录页从正文限额中剔除；同时移除在文档转换后恒被渲染为常数的总页数字段。</w:t>
            </w:r>
          </w:p>
        </w:tc>
      </w:tr>
    </w:tbl>
    <w:p>
      <w:pPr>
        <w:spacing w:before="200" w:after="80"/>
      </w:pPr>
      <w:r>
        <w:rPr>
          <w:rFonts w:ascii="Times New Roman" w:hAnsi="Times New Roman" w:eastAsia="黑体"/>
          <w:b/>
          <w:sz w:val="28"/>
        </w:rPr>
        <w:t>五、声明</w:t>
      </w:r>
    </w:p>
    <w:p>
      <w:pPr>
        <w:spacing w:after="40" w:line="360" w:lineRule="auto"/>
        <w:ind w:firstLine="480"/>
      </w:pPr>
      <w:r>
        <w:rPr>
          <w:rFonts w:ascii="Times New Roman" w:hAnsi="Times New Roman" w:eastAsia="宋体"/>
          <w:b w:val="0"/>
          <w:sz w:val="24"/>
        </w:rPr>
        <w:t>1. 本参赛队核心建模、算法设计与分析结论由队员独立完成，AI 工具仅用于辅助。</w:t>
      </w:r>
    </w:p>
    <w:p>
      <w:pPr>
        <w:spacing w:after="40" w:line="360" w:lineRule="auto"/>
        <w:ind w:firstLine="480"/>
      </w:pPr>
      <w:r>
        <w:rPr>
          <w:rFonts w:ascii="Times New Roman" w:hAnsi="Times New Roman" w:eastAsia="宋体"/>
          <w:b w:val="0"/>
          <w:sz w:val="24"/>
        </w:rPr>
        <w:t>2. 对 AI 生成内容已逐项验证并修正，不确定来源的结论已在正文与代码中显式标注。</w:t>
      </w:r>
    </w:p>
    <w:p>
      <w:pPr>
        <w:spacing w:after="40" w:line="360" w:lineRule="auto"/>
        <w:ind w:firstLine="480"/>
      </w:pPr>
      <w:r>
        <w:rPr>
          <w:rFonts w:ascii="Times New Roman" w:hAnsi="Times New Roman" w:eastAsia="宋体"/>
          <w:b w:val="0"/>
          <w:sz w:val="24"/>
        </w:rPr>
        <w:t>3. 所有脚本文件头部均标注了所用 AI 工具的名称、版本、开发机构与使用日期。</w:t>
      </w:r>
    </w:p>
    <w:p>
      <w:pPr>
        <w:spacing w:after="40" w:line="360" w:lineRule="auto"/>
        <w:ind w:firstLine="480"/>
      </w:pPr>
      <w:r>
        <w:rPr>
          <w:rFonts w:ascii="Times New Roman" w:hAnsi="Times New Roman" w:eastAsia="宋体"/>
          <w:b w:val="0"/>
          <w:sz w:val="24"/>
        </w:rPr>
        <w:t>4. 本说明中未列入的模型、算法与数据，均来源于赛题附件或公开文献，并已按要求标注出处。</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t xml:space="preserve">第 </w:t>
    </w:r>
    <w:r>
      <w:rPr>
        <w:rFonts w:ascii="Times New Roman" w:hAnsi="Times New Roman" w:eastAsia="宋体"/>
        <w:b w:val="0"/>
        <w:sz w:val="21"/>
      </w:rPr>
      <w:fldChar w:fldCharType="begin"/>
      <w:instrText xml:space="preserve"> PAGE </w:instrText>
      <w:fldChar w:fldCharType="separate"/>
      <w:fldChar w:fldCharType="end"/>
    </w:r>
    <w:r>
      <w:rPr>
        <w:rFonts w:ascii="Times New Roman" w:hAnsi="Times New Roman" w:eastAsia="宋体"/>
        <w:b w:val="0"/>
        <w:sz w:val="21"/>
      </w:rPr>
      <w:t xml:space="preserve"> 页 共 </w:t>
    </w:r>
    <w:r>
      <w:rPr>
        <w:rFonts w:ascii="Times New Roman" w:hAnsi="Times New Roman" w:eastAsia="宋体"/>
        <w:b w:val="0"/>
        <w:sz w:val="21"/>
      </w:rPr>
      <w:fldChar w:fldCharType="begin"/>
      <w:instrText xml:space="preserve"> NUMPAGES </w:instrText>
      <w:fldChar w:fldCharType="separate"/>
      <w:fldChar w:fldCharType="end"/>
    </w:r>
    <w:r>
      <w:rPr>
        <w:rFonts w:ascii="Times New Roman" w:hAnsi="Times New Roman" w:eastAsia="宋体"/>
        <w:b w:val="0"/>
        <w:sz w:val="21"/>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