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本文针对商用啤酒风味代谢数据集完成三个问题的建模。首先以可复算的证据审计了附件的真实语义：逐列回归裁定 1.csv 为 log10 标度与原始浓度标度并存的混合标度（log10 列 37、原始浓度列 33）；以逐元素重算比对裁定 2.csv、5.csv、6.csv 三张相关矩阵均为斯皮尔曼相关系数（最大绝对偏差为 0）；并查明 3.xlsx 仅为空白品评卡模板、附件不含原始 0–6 分数。据此建立两张全解析名称桥与统一的 log10(mg/L) 特征矩阵，并以 20 项回归测试固化上述裁定。问题一以 231 个化学量预测 50 个感官维度，七个模型族与 TabPFN 3.5 五折集成在分层留出集上取得相对全局均值基线约 15% 的宏平均 RMSE 改善，并交付 250 款啤酒 × 50 维的 0–6 分制分级评分表，同时给出相对七分位分级与基于感官阈值的绝对锚定两套口径。问题二构建 231 节点的化合物共表达图并做阈值敏感性分析，以自算全量相关、SHAP 归因、附件交叉相关与外部先验四路证据融合给出各感官维度的 Top-3 关键化合物，并以重采样入选频率与跨方法 Jaccard 系数双重量化稳定性、逐条论证化学合理性。问题三以全局高斯 Copula 结构加风格条件边际生成化合谱，在缺陷阈值约束下实现零违规，并以秩—分位映射完成跨风格迁移且保证缺陷化合物不恶化。</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二、数据处理</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2.1 附件结构与量纲裁定</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2.2 相关系数类型的勘误</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2.3 名称桥、缺失与检出限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2.4 感官维度与数据划分</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三、模型构建</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3.1 问题一：多任务回归与双轨分级</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3.2 问题二：共表达图与四路证据融合</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3.3 问题三：风格条件生成与跨风格迁移</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四、实验结果</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五、结论与建议</w:t>
      </w:r>
      <w:r>
        <w:rPr>
          <w:rFonts w:ascii="Times New Roman" w:hAnsi="Times New Roman" w:eastAsia="宋体"/>
          <w:b w:val="0"/>
          <w:sz w:val="20"/>
        </w:rPr>
        <w:tab/>
        <w:t>1</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二、数据处理</w:t>
      </w:r>
    </w:p>
    <w:p>
      <w:pPr>
        <w:spacing w:before="140" w:after="80" w:line="312" w:lineRule="auto"/>
        <w:jc w:val="left"/>
      </w:pPr>
      <w:r>
        <w:rPr>
          <w:rFonts w:ascii="Times New Roman" w:hAnsi="Times New Roman" w:eastAsia="黑体"/>
          <w:b/>
          <w:sz w:val="26"/>
        </w:rPr>
        <w:t>2.1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1.000000），33 列满足后者，自然对数假设下的斜率恒为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2.2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0，说明该矩阵未做任何单位统一。</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2.3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2.4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个维度」），并在第五节明确说明所给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200" w:after="120" w:line="312" w:lineRule="auto"/>
        <w:jc w:val="left"/>
      </w:pPr>
      <w:r>
        <w:rPr>
          <w:rFonts w:ascii="Times New Roman" w:hAnsi="Times New Roman" w:eastAsia="黑体"/>
          <w:b/>
          <w:sz w:val="30"/>
        </w:rPr>
        <w:t>三、模型构建</w:t>
      </w:r>
    </w:p>
    <w:p>
      <w:pPr>
        <w:spacing w:before="140" w:after="80" w:line="312" w:lineRule="auto"/>
        <w:jc w:val="left"/>
      </w:pPr>
      <w:r>
        <w:rPr>
          <w:rFonts w:ascii="Times New Roman" w:hAnsi="Times New Roman" w:eastAsia="黑体"/>
          <w:b/>
          <w:sz w:val="26"/>
        </w:rPr>
        <w:t>3.1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个公式未经验证的派生求和列；模型采用岭回归、偏最小二乘回归、多任务弹性网络、全局与分组极端随机树、逐指标梯度提升回归共七个模型族，外加 TabPFN 3.5 的五折集成，以覆盖线性低秩、强稀疏与树形非线性三类归纳偏置。主指标为宏平均均方根误差，并同时报告宏平均绝对误差、逐维决定系数中位数、斯皮尔曼相关系数中位数。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3.2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3.3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200" w:after="120" w:line="312" w:lineRule="auto"/>
        <w:jc w:val="left"/>
      </w:pPr>
      <w:r>
        <w:rPr>
          <w:rFonts w:ascii="Times New Roman" w:hAnsi="Times New Roman" w:eastAsia="黑体"/>
          <w:b/>
          <w:sz w:val="30"/>
        </w:rPr>
        <w:t>四、实验结果</w:t>
      </w:r>
    </w:p>
    <w:p>
      <w:pPr>
        <w:spacing w:before="140" w:after="80" w:line="312" w:lineRule="auto"/>
        <w:jc w:val="left"/>
      </w:pPr>
      <w:r>
        <w:rPr>
          <w:rFonts w:ascii="Times New Roman" w:hAnsi="Times New Roman" w:eastAsia="黑体"/>
          <w:b/>
          <w:sz w:val="26"/>
        </w:rPr>
        <w:t>4.1 问题一：感官评分预测与 0–6 分制</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1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140" w:after="80" w:line="312" w:lineRule="auto"/>
        <w:jc w:val="left"/>
      </w:pPr>
      <w:r>
        <w:rPr>
          <w:rFonts w:ascii="Times New Roman" w:hAnsi="Times New Roman" w:eastAsia="黑体"/>
          <w:b/>
          <w:sz w:val="26"/>
        </w:rPr>
        <w:t>4.2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rFonts w:ascii="Times New Roman" w:hAnsi="Times New Roman" w:eastAsia="黑体"/>
                <w:b/>
                <w:sz w:val="16"/>
              </w:rPr>
              <w:t>abs_rho_threshold</w:t>
            </w:r>
          </w:p>
        </w:tc>
        <w:tc>
          <w:tcPr>
            <w:tcW w:type="dxa" w:w="1134"/>
          </w:tcPr>
          <w:p>
            <w:pPr>
              <w:jc w:val="center"/>
            </w:pPr>
            <w:r/>
            <w:r>
              <w:rPr>
                <w:rFonts w:ascii="Times New Roman" w:hAnsi="Times New Roman" w:eastAsia="黑体"/>
                <w:b/>
                <w:sz w:val="16"/>
              </w:rPr>
              <w:t>n_edges</w:t>
            </w:r>
          </w:p>
        </w:tc>
        <w:tc>
          <w:tcPr>
            <w:tcW w:type="dxa" w:w="1134"/>
          </w:tcPr>
          <w:p>
            <w:pPr>
              <w:jc w:val="center"/>
            </w:pPr>
            <w:r/>
            <w:r>
              <w:rPr>
                <w:rFonts w:ascii="Times New Roman" w:hAnsi="Times New Roman" w:eastAsia="黑体"/>
                <w:b/>
                <w:sz w:val="16"/>
              </w:rPr>
              <w:t>n_connected_components</w:t>
            </w:r>
          </w:p>
        </w:tc>
        <w:tc>
          <w:tcPr>
            <w:tcW w:type="dxa" w:w="1134"/>
          </w:tcPr>
          <w:p>
            <w:pPr>
              <w:jc w:val="center"/>
            </w:pPr>
            <w:r/>
            <w:r>
              <w:rPr>
                <w:rFonts w:ascii="Times New Roman" w:hAnsi="Times New Roman" w:eastAsia="黑体"/>
                <w:b/>
                <w:sz w:val="16"/>
              </w:rPr>
              <w:t>n_leiden_communities</w:t>
            </w:r>
          </w:p>
        </w:tc>
        <w:tc>
          <w:tcPr>
            <w:tcW w:type="dxa" w:w="1134"/>
          </w:tcPr>
          <w:p>
            <w:pPr>
              <w:jc w:val="center"/>
            </w:pPr>
            <w:r/>
            <w:r>
              <w:rPr>
                <w:rFonts w:ascii="Times New Roman" w:hAnsi="Times New Roman" w:eastAsia="黑体"/>
                <w:b/>
                <w:sz w:val="16"/>
              </w:rPr>
              <w:t>largest_community_size</w:t>
            </w:r>
          </w:p>
        </w:tc>
        <w:tc>
          <w:tcPr>
            <w:tcW w:type="dxa" w:w="1134"/>
          </w:tcPr>
          <w:p>
            <w:pPr>
              <w:jc w:val="center"/>
            </w:pPr>
            <w:r/>
            <w:r>
              <w:rPr>
                <w:rFonts w:ascii="Times New Roman" w:hAnsi="Times New Roman" w:eastAsia="黑体"/>
                <w:b/>
                <w:sz w:val="16"/>
              </w:rPr>
              <w:t>isolated_nodes</w:t>
            </w:r>
          </w:p>
        </w:tc>
        <w:tc>
          <w:tcPr>
            <w:tcW w:type="dxa" w:w="1134"/>
          </w:tcPr>
          <w:p>
            <w:pPr>
              <w:jc w:val="center"/>
            </w:pPr>
            <w:r/>
            <w:r>
              <w:rPr>
                <w:rFonts w:ascii="Times New Roman" w:hAnsi="Times New Roman" w:eastAsia="黑体"/>
                <w:b/>
                <w:sz w:val="16"/>
              </w:rPr>
              <w:t>modularity_Q</w:t>
            </w:r>
          </w:p>
        </w:tc>
        <w:tc>
          <w:tcPr>
            <w:tcW w:type="dxa" w:w="1134"/>
          </w:tcPr>
          <w:p>
            <w:pPr>
              <w:jc w:val="center"/>
            </w:pPr>
            <w:r/>
            <w:r>
              <w:rPr>
                <w:rFonts w:ascii="Times New Roman" w:hAnsi="Times New Roman" w:eastAsia="黑体"/>
                <w:b/>
                <w:sz w:val="16"/>
              </w:rPr>
              <w:t>edge_density</w:t>
            </w:r>
          </w:p>
        </w:tc>
      </w:tr>
      <w:tr>
        <w:tc>
          <w:tcPr>
            <w:tcW w:type="dxa" w:w="1134"/>
          </w:tcPr>
          <w:p>
            <w:pPr>
              <w:jc w:val="center"/>
            </w:pPr>
            <w:r/>
            <w:r>
              <w:rPr>
                <w:rFonts w:ascii="Times New Roman" w:hAnsi="Times New Roman" w:eastAsia="宋体"/>
                <w:b w:val="0"/>
                <w:sz w:val="16"/>
              </w:rPr>
              <w:t>0.500</w:t>
            </w:r>
          </w:p>
        </w:tc>
        <w:tc>
          <w:tcPr>
            <w:tcW w:type="dxa" w:w="1134"/>
          </w:tcPr>
          <w:p>
            <w:pPr>
              <w:jc w:val="center"/>
            </w:pPr>
            <w:r/>
            <w:r>
              <w:rPr>
                <w:rFonts w:ascii="Times New Roman" w:hAnsi="Times New Roman" w:eastAsia="宋体"/>
                <w:b w:val="0"/>
                <w:sz w:val="16"/>
              </w:rPr>
              <w:t>645</w:t>
            </w:r>
          </w:p>
        </w:tc>
        <w:tc>
          <w:tcPr>
            <w:tcW w:type="dxa" w:w="1134"/>
          </w:tcPr>
          <w:p>
            <w:pPr>
              <w:jc w:val="center"/>
            </w:pPr>
            <w:r/>
            <w:r>
              <w:rPr>
                <w:rFonts w:ascii="Times New Roman" w:hAnsi="Times New Roman" w:eastAsia="宋体"/>
                <w:b w:val="0"/>
                <w:sz w:val="16"/>
              </w:rPr>
              <w:t>52</w:t>
            </w:r>
          </w:p>
        </w:tc>
        <w:tc>
          <w:tcPr>
            <w:tcW w:type="dxa" w:w="1134"/>
          </w:tcPr>
          <w:p>
            <w:pPr>
              <w:jc w:val="center"/>
            </w:pPr>
            <w:r/>
            <w:r>
              <w:rPr>
                <w:rFonts w:ascii="Times New Roman" w:hAnsi="Times New Roman" w:eastAsia="宋体"/>
                <w:b w:val="0"/>
                <w:sz w:val="16"/>
              </w:rPr>
              <w:t>59</w:t>
            </w:r>
          </w:p>
        </w:tc>
        <w:tc>
          <w:tcPr>
            <w:tcW w:type="dxa" w:w="1134"/>
          </w:tcPr>
          <w:p>
            <w:pPr>
              <w:jc w:val="center"/>
            </w:pPr>
            <w:r/>
            <w:r>
              <w:rPr>
                <w:rFonts w:ascii="Times New Roman" w:hAnsi="Times New Roman" w:eastAsia="宋体"/>
                <w:b w:val="0"/>
                <w:sz w:val="16"/>
              </w:rPr>
              <w:t>33</w:t>
            </w:r>
          </w:p>
        </w:tc>
        <w:tc>
          <w:tcPr>
            <w:tcW w:type="dxa" w:w="1134"/>
          </w:tcPr>
          <w:p>
            <w:pPr>
              <w:jc w:val="center"/>
            </w:pPr>
            <w:r/>
            <w:r>
              <w:rPr>
                <w:rFonts w:ascii="Times New Roman" w:hAnsi="Times New Roman" w:eastAsia="宋体"/>
                <w:b w:val="0"/>
                <w:sz w:val="16"/>
              </w:rPr>
              <w:t>48</w:t>
            </w:r>
          </w:p>
        </w:tc>
        <w:tc>
          <w:tcPr>
            <w:tcW w:type="dxa" w:w="1134"/>
          </w:tcPr>
          <w:p>
            <w:pPr>
              <w:jc w:val="center"/>
            </w:pPr>
            <w:r/>
            <w:r>
              <w:rPr>
                <w:rFonts w:ascii="Times New Roman" w:hAnsi="Times New Roman" w:eastAsia="宋体"/>
                <w:b w:val="0"/>
                <w:sz w:val="16"/>
              </w:rPr>
              <w:t>0.651</w:t>
            </w:r>
          </w:p>
        </w:tc>
        <w:tc>
          <w:tcPr>
            <w:tcW w:type="dxa" w:w="1134"/>
          </w:tcPr>
          <w:p>
            <w:pPr>
              <w:jc w:val="center"/>
            </w:pPr>
            <w:r/>
            <w:r>
              <w:rPr>
                <w:rFonts w:ascii="Times New Roman" w:hAnsi="Times New Roman" w:eastAsia="宋体"/>
                <w:b w:val="0"/>
                <w:sz w:val="16"/>
              </w:rPr>
              <w:t>0.024</w:t>
            </w:r>
          </w:p>
        </w:tc>
      </w:tr>
      <w:tr>
        <w:tc>
          <w:tcPr>
            <w:tcW w:type="dxa" w:w="1134"/>
          </w:tcPr>
          <w:p>
            <w:pPr>
              <w:jc w:val="center"/>
            </w:pPr>
            <w:r/>
            <w:r>
              <w:rPr>
                <w:rFonts w:ascii="Times New Roman" w:hAnsi="Times New Roman" w:eastAsia="宋体"/>
                <w:b w:val="0"/>
                <w:sz w:val="16"/>
              </w:rPr>
              <w:t>0.600</w:t>
            </w:r>
          </w:p>
        </w:tc>
        <w:tc>
          <w:tcPr>
            <w:tcW w:type="dxa" w:w="1134"/>
          </w:tcPr>
          <w:p>
            <w:pPr>
              <w:jc w:val="center"/>
            </w:pPr>
            <w:r/>
            <w:r>
              <w:rPr>
                <w:rFonts w:ascii="Times New Roman" w:hAnsi="Times New Roman" w:eastAsia="宋体"/>
                <w:b w:val="0"/>
                <w:sz w:val="16"/>
              </w:rPr>
              <w:t>266</w:t>
            </w:r>
          </w:p>
        </w:tc>
        <w:tc>
          <w:tcPr>
            <w:tcW w:type="dxa" w:w="1134"/>
          </w:tcPr>
          <w:p>
            <w:pPr>
              <w:jc w:val="center"/>
            </w:pPr>
            <w:r/>
            <w:r>
              <w:rPr>
                <w:rFonts w:ascii="Times New Roman" w:hAnsi="Times New Roman" w:eastAsia="宋体"/>
                <w:b w:val="0"/>
                <w:sz w:val="16"/>
              </w:rPr>
              <w:t>114</w:t>
            </w:r>
          </w:p>
        </w:tc>
        <w:tc>
          <w:tcPr>
            <w:tcW w:type="dxa" w:w="1134"/>
          </w:tcPr>
          <w:p>
            <w:pPr>
              <w:jc w:val="center"/>
            </w:pPr>
            <w:r/>
            <w:r>
              <w:rPr>
                <w:rFonts w:ascii="Times New Roman" w:hAnsi="Times New Roman" w:eastAsia="宋体"/>
                <w:b w:val="0"/>
                <w:sz w:val="16"/>
              </w:rPr>
              <w:t>120</w:t>
            </w:r>
          </w:p>
        </w:tc>
        <w:tc>
          <w:tcPr>
            <w:tcW w:type="dxa" w:w="1134"/>
          </w:tcPr>
          <w:p>
            <w:pPr>
              <w:jc w:val="center"/>
            </w:pPr>
            <w:r/>
            <w:r>
              <w:rPr>
                <w:rFonts w:ascii="Times New Roman" w:hAnsi="Times New Roman" w:eastAsia="宋体"/>
                <w:b w:val="0"/>
                <w:sz w:val="16"/>
              </w:rPr>
              <w:t>21</w:t>
            </w:r>
          </w:p>
        </w:tc>
        <w:tc>
          <w:tcPr>
            <w:tcW w:type="dxa" w:w="1134"/>
          </w:tcPr>
          <w:p>
            <w:pPr>
              <w:jc w:val="center"/>
            </w:pPr>
            <w:r/>
            <w:r>
              <w:rPr>
                <w:rFonts w:ascii="Times New Roman" w:hAnsi="Times New Roman" w:eastAsia="宋体"/>
                <w:b w:val="0"/>
                <w:sz w:val="16"/>
              </w:rPr>
              <w:t>101</w:t>
            </w:r>
          </w:p>
        </w:tc>
        <w:tc>
          <w:tcPr>
            <w:tcW w:type="dxa" w:w="1134"/>
          </w:tcPr>
          <w:p>
            <w:pPr>
              <w:jc w:val="center"/>
            </w:pPr>
            <w:r/>
            <w:r>
              <w:rPr>
                <w:rFonts w:ascii="Times New Roman" w:hAnsi="Times New Roman" w:eastAsia="宋体"/>
                <w:b w:val="0"/>
                <w:sz w:val="16"/>
              </w:rPr>
              <w:t>0.746</w:t>
            </w:r>
          </w:p>
        </w:tc>
        <w:tc>
          <w:tcPr>
            <w:tcW w:type="dxa" w:w="1134"/>
          </w:tcPr>
          <w:p>
            <w:pPr>
              <w:jc w:val="center"/>
            </w:pPr>
            <w:r/>
            <w:r>
              <w:rPr>
                <w:rFonts w:ascii="Times New Roman" w:hAnsi="Times New Roman" w:eastAsia="宋体"/>
                <w:b w:val="0"/>
                <w:sz w:val="16"/>
              </w:rPr>
              <w:t>0.010</w:t>
            </w:r>
          </w:p>
        </w:tc>
      </w:tr>
      <w:tr>
        <w:tc>
          <w:tcPr>
            <w:tcW w:type="dxa" w:w="1134"/>
          </w:tcPr>
          <w:p>
            <w:pPr>
              <w:jc w:val="center"/>
            </w:pPr>
            <w:r/>
            <w:r>
              <w:rPr>
                <w:rFonts w:ascii="Times New Roman" w:hAnsi="Times New Roman" w:eastAsia="宋体"/>
                <w:b w:val="0"/>
                <w:sz w:val="16"/>
              </w:rPr>
              <w:t>0.700</w:t>
            </w:r>
          </w:p>
        </w:tc>
        <w:tc>
          <w:tcPr>
            <w:tcW w:type="dxa" w:w="1134"/>
          </w:tcPr>
          <w:p>
            <w:pPr>
              <w:jc w:val="center"/>
            </w:pPr>
            <w:r/>
            <w:r>
              <w:rPr>
                <w:rFonts w:ascii="Times New Roman" w:hAnsi="Times New Roman" w:eastAsia="宋体"/>
                <w:b w:val="0"/>
                <w:sz w:val="16"/>
              </w:rPr>
              <w:t>109</w:t>
            </w:r>
          </w:p>
        </w:tc>
        <w:tc>
          <w:tcPr>
            <w:tcW w:type="dxa" w:w="1134"/>
          </w:tcPr>
          <w:p>
            <w:pPr>
              <w:jc w:val="center"/>
            </w:pPr>
            <w:r/>
            <w:r>
              <w:rPr>
                <w:rFonts w:ascii="Times New Roman" w:hAnsi="Times New Roman" w:eastAsia="宋体"/>
                <w:b w:val="0"/>
                <w:sz w:val="16"/>
              </w:rPr>
              <w:t>169</w:t>
            </w:r>
          </w:p>
        </w:tc>
        <w:tc>
          <w:tcPr>
            <w:tcW w:type="dxa" w:w="1134"/>
          </w:tcPr>
          <w:p>
            <w:pPr>
              <w:jc w:val="center"/>
            </w:pPr>
            <w:r/>
            <w:r>
              <w:rPr>
                <w:rFonts w:ascii="Times New Roman" w:hAnsi="Times New Roman" w:eastAsia="宋体"/>
                <w:b w:val="0"/>
                <w:sz w:val="16"/>
              </w:rPr>
              <w:t>171</w:t>
            </w:r>
          </w:p>
        </w:tc>
        <w:tc>
          <w:tcPr>
            <w:tcW w:type="dxa" w:w="1134"/>
          </w:tcPr>
          <w:p>
            <w:pPr>
              <w:jc w:val="center"/>
            </w:pPr>
            <w:r/>
            <w:r>
              <w:rPr>
                <w:rFonts w:ascii="Times New Roman" w:hAnsi="Times New Roman" w:eastAsia="宋体"/>
                <w:b w:val="0"/>
                <w:sz w:val="16"/>
              </w:rPr>
              <w:t>11</w:t>
            </w:r>
          </w:p>
        </w:tc>
        <w:tc>
          <w:tcPr>
            <w:tcW w:type="dxa" w:w="1134"/>
          </w:tcPr>
          <w:p>
            <w:pPr>
              <w:jc w:val="center"/>
            </w:pPr>
            <w:r/>
            <w:r>
              <w:rPr>
                <w:rFonts w:ascii="Times New Roman" w:hAnsi="Times New Roman" w:eastAsia="宋体"/>
                <w:b w:val="0"/>
                <w:sz w:val="16"/>
              </w:rPr>
              <w:t>150</w:t>
            </w:r>
          </w:p>
        </w:tc>
        <w:tc>
          <w:tcPr>
            <w:tcW w:type="dxa" w:w="1134"/>
          </w:tcPr>
          <w:p>
            <w:pPr>
              <w:jc w:val="center"/>
            </w:pPr>
            <w:r/>
            <w:r>
              <w:rPr>
                <w:rFonts w:ascii="Times New Roman" w:hAnsi="Times New Roman" w:eastAsia="宋体"/>
                <w:b w:val="0"/>
                <w:sz w:val="16"/>
              </w:rPr>
              <w:t>0.751</w:t>
            </w:r>
          </w:p>
        </w:tc>
        <w:tc>
          <w:tcPr>
            <w:tcW w:type="dxa" w:w="1134"/>
          </w:tcPr>
          <w:p>
            <w:pPr>
              <w:jc w:val="center"/>
            </w:pPr>
            <w:r/>
            <w:r>
              <w:rPr>
                <w:rFonts w:ascii="Times New Roman" w:hAnsi="Times New Roman" w:eastAsia="宋体"/>
                <w:b w:val="0"/>
                <w:sz w:val="16"/>
              </w:rPr>
              <w:t>0.004</w:t>
            </w:r>
          </w:p>
        </w:tc>
      </w:tr>
      <w:tr>
        <w:tc>
          <w:tcPr>
            <w:tcW w:type="dxa" w:w="1134"/>
          </w:tcPr>
          <w:p>
            <w:pPr>
              <w:jc w:val="center"/>
            </w:pPr>
            <w:r/>
            <w:r>
              <w:rPr>
                <w:rFonts w:ascii="Times New Roman" w:hAnsi="Times New Roman" w:eastAsia="宋体"/>
                <w:b w:val="0"/>
                <w:sz w:val="16"/>
              </w:rPr>
              <w:t>0.800</w:t>
            </w:r>
          </w:p>
        </w:tc>
        <w:tc>
          <w:tcPr>
            <w:tcW w:type="dxa" w:w="1134"/>
          </w:tcPr>
          <w:p>
            <w:pPr>
              <w:jc w:val="center"/>
            </w:pPr>
            <w:r/>
            <w:r>
              <w:rPr>
                <w:rFonts w:ascii="Times New Roman" w:hAnsi="Times New Roman" w:eastAsia="宋体"/>
                <w:b w:val="0"/>
                <w:sz w:val="16"/>
              </w:rPr>
              <w:t>39</w:t>
            </w:r>
          </w:p>
        </w:tc>
        <w:tc>
          <w:tcPr>
            <w:tcW w:type="dxa" w:w="1134"/>
          </w:tcPr>
          <w:p>
            <w:pPr>
              <w:jc w:val="center"/>
            </w:pPr>
            <w:r/>
            <w:r>
              <w:rPr>
                <w:rFonts w:ascii="Times New Roman" w:hAnsi="Times New Roman" w:eastAsia="宋体"/>
                <w:b w:val="0"/>
                <w:sz w:val="16"/>
              </w:rPr>
              <w:t>207</w:t>
            </w:r>
          </w:p>
        </w:tc>
        <w:tc>
          <w:tcPr>
            <w:tcW w:type="dxa" w:w="1134"/>
          </w:tcPr>
          <w:p>
            <w:pPr>
              <w:jc w:val="center"/>
            </w:pPr>
            <w:r/>
            <w:r>
              <w:rPr>
                <w:rFonts w:ascii="Times New Roman" w:hAnsi="Times New Roman" w:eastAsia="宋体"/>
                <w:b w:val="0"/>
                <w:sz w:val="16"/>
              </w:rPr>
              <w:t>208</w:t>
            </w:r>
          </w:p>
        </w:tc>
        <w:tc>
          <w:tcPr>
            <w:tcW w:type="dxa" w:w="1134"/>
          </w:tcPr>
          <w:p>
            <w:pPr>
              <w:jc w:val="center"/>
            </w:pPr>
            <w:r/>
            <w:r>
              <w:rPr>
                <w:rFonts w:ascii="Times New Roman" w:hAnsi="Times New Roman" w:eastAsia="宋体"/>
                <w:b w:val="0"/>
                <w:sz w:val="16"/>
              </w:rPr>
              <w:t>7</w:t>
            </w:r>
          </w:p>
        </w:tc>
        <w:tc>
          <w:tcPr>
            <w:tcW w:type="dxa" w:w="1134"/>
          </w:tcPr>
          <w:p>
            <w:pPr>
              <w:jc w:val="center"/>
            </w:pPr>
            <w:r/>
            <w:r>
              <w:rPr>
                <w:rFonts w:ascii="Times New Roman" w:hAnsi="Times New Roman" w:eastAsia="宋体"/>
                <w:b w:val="0"/>
                <w:sz w:val="16"/>
              </w:rPr>
              <w:t>194</w:t>
            </w:r>
          </w:p>
        </w:tc>
        <w:tc>
          <w:tcPr>
            <w:tcW w:type="dxa" w:w="1134"/>
          </w:tcPr>
          <w:p>
            <w:pPr>
              <w:jc w:val="center"/>
            </w:pPr>
            <w:r/>
            <w:r>
              <w:rPr>
                <w:rFonts w:ascii="Times New Roman" w:hAnsi="Times New Roman" w:eastAsia="宋体"/>
                <w:b w:val="0"/>
                <w:sz w:val="16"/>
              </w:rPr>
              <w:t>0.682</w:t>
            </w:r>
          </w:p>
        </w:tc>
        <w:tc>
          <w:tcPr>
            <w:tcW w:type="dxa" w:w="1134"/>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2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23</w:t>
            </w:r>
          </w:p>
        </w:tc>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w:t>
            </w:r>
          </w:p>
        </w:tc>
        <w:tc>
          <w:tcPr>
            <w:tcW w:type="dxa" w:w="1512"/>
          </w:tcPr>
          <w:p>
            <w:pPr>
              <w:jc w:val="center"/>
            </w:pPr>
            <w:r/>
            <w:r>
              <w:rPr>
                <w:rFonts w:ascii="Times New Roman" w:hAnsi="Times New Roman" w:eastAsia="宋体"/>
                <w:b w:val="0"/>
                <w:sz w:val="17"/>
              </w:rPr>
              <w:t>2.4</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99</w:t>
            </w:r>
          </w:p>
        </w:tc>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1</w:t>
            </w:r>
          </w:p>
        </w:tc>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3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jc w:val="center"/>
            </w:pPr>
            <w:r/>
            <w:r>
              <w:rPr>
                <w:rFonts w:ascii="Times New Roman" w:hAnsi="Times New Roman" w:eastAsia="黑体"/>
                <w:b/>
                <w:sz w:val="16"/>
              </w:rPr>
              <w:t>sensory_dimension</w:t>
            </w:r>
          </w:p>
        </w:tc>
        <w:tc>
          <w:tcPr>
            <w:tcW w:type="dxa" w:w="825"/>
          </w:tcPr>
          <w:p>
            <w:pPr>
              <w:jc w:val="center"/>
            </w:pPr>
            <w:r/>
            <w:r>
              <w:rPr>
                <w:rFonts w:ascii="Times New Roman" w:hAnsi="Times New Roman" w:eastAsia="黑体"/>
                <w:b/>
                <w:sz w:val="16"/>
              </w:rPr>
              <w:t>rank_in_top3</w:t>
            </w:r>
          </w:p>
        </w:tc>
        <w:tc>
          <w:tcPr>
            <w:tcW w:type="dxa" w:w="825"/>
          </w:tcPr>
          <w:p>
            <w:pPr>
              <w:jc w:val="center"/>
            </w:pPr>
            <w:r/>
            <w:r>
              <w:rPr>
                <w:rFonts w:ascii="Times New Roman" w:hAnsi="Times New Roman" w:eastAsia="黑体"/>
                <w:b/>
                <w:sz w:val="16"/>
              </w:rPr>
              <w:t>compound</w:t>
            </w:r>
          </w:p>
        </w:tc>
        <w:tc>
          <w:tcPr>
            <w:tcW w:type="dxa" w:w="825"/>
          </w:tcPr>
          <w:p>
            <w:pPr>
              <w:jc w:val="center"/>
            </w:pPr>
            <w:r/>
            <w:r>
              <w:rPr>
                <w:rFonts w:ascii="Times New Roman" w:hAnsi="Times New Roman" w:eastAsia="黑体"/>
                <w:b/>
                <w:sz w:val="16"/>
              </w:rPr>
              <w:t>direction</w:t>
            </w:r>
          </w:p>
        </w:tc>
        <w:tc>
          <w:tcPr>
            <w:tcW w:type="dxa" w:w="825"/>
          </w:tcPr>
          <w:p>
            <w:pPr>
              <w:jc w:val="center"/>
            </w:pPr>
            <w:r/>
            <w:r>
              <w:rPr>
                <w:rFonts w:ascii="Times New Roman" w:hAnsi="Times New Roman" w:eastAsia="黑体"/>
                <w:b/>
                <w:sz w:val="16"/>
              </w:rPr>
              <w:t>e2_abs_rho</w:t>
            </w:r>
          </w:p>
        </w:tc>
        <w:tc>
          <w:tcPr>
            <w:tcW w:type="dxa" w:w="825"/>
          </w:tcPr>
          <w:p>
            <w:pPr>
              <w:jc w:val="center"/>
            </w:pPr>
            <w:r/>
            <w:r>
              <w:rPr>
                <w:rFonts w:ascii="Times New Roman" w:hAnsi="Times New Roman" w:eastAsia="黑体"/>
                <w:b/>
                <w:sz w:val="16"/>
              </w:rPr>
              <w:t>e1_rank_in_44</w:t>
            </w:r>
          </w:p>
        </w:tc>
        <w:tc>
          <w:tcPr>
            <w:tcW w:type="dxa" w:w="825"/>
          </w:tcPr>
          <w:p>
            <w:pPr>
              <w:jc w:val="center"/>
            </w:pPr>
            <w:r/>
            <w:r>
              <w:rPr>
                <w:rFonts w:ascii="Times New Roman" w:hAnsi="Times New Roman" w:eastAsia="黑体"/>
                <w:b/>
                <w:sz w:val="16"/>
              </w:rPr>
              <w:t>e3_shap_mean_abs</w:t>
            </w:r>
          </w:p>
        </w:tc>
        <w:tc>
          <w:tcPr>
            <w:tcW w:type="dxa" w:w="825"/>
          </w:tcPr>
          <w:p>
            <w:pPr>
              <w:jc w:val="center"/>
            </w:pPr>
            <w:r/>
            <w:r>
              <w:rPr>
                <w:rFonts w:ascii="Times New Roman" w:hAnsi="Times New Roman" w:eastAsia="黑体"/>
                <w:b/>
                <w:sz w:val="16"/>
              </w:rPr>
              <w:t>bootstrap_top3_freq</w:t>
            </w:r>
          </w:p>
        </w:tc>
        <w:tc>
          <w:tcPr>
            <w:tcW w:type="dxa" w:w="825"/>
          </w:tcPr>
          <w:p>
            <w:pPr>
              <w:jc w:val="center"/>
            </w:pPr>
            <w:r/>
            <w:r>
              <w:rPr>
                <w:rFonts w:ascii="Times New Roman" w:hAnsi="Times New Roman" w:eastAsia="黑体"/>
                <w:b/>
                <w:sz w:val="16"/>
              </w:rPr>
              <w:t>jaccard_mean</w:t>
            </w:r>
          </w:p>
        </w:tc>
        <w:tc>
          <w:tcPr>
            <w:tcW w:type="dxa" w:w="825"/>
          </w:tcPr>
          <w:p>
            <w:pPr>
              <w:jc w:val="center"/>
            </w:pPr>
            <w:r/>
            <w:r>
              <w:rPr>
                <w:rFonts w:ascii="Times New Roman" w:hAnsi="Times New Roman" w:eastAsia="黑体"/>
                <w:b/>
                <w:sz w:val="16"/>
              </w:rPr>
              <w:t>selection_status</w:t>
            </w:r>
          </w:p>
        </w:tc>
        <w:tc>
          <w:tcPr>
            <w:tcW w:type="dxa" w:w="825"/>
          </w:tcPr>
          <w:p>
            <w:pPr>
              <w:jc w:val="center"/>
            </w:pPr>
            <w:r/>
            <w:r>
              <w:rPr>
                <w:rFonts w:ascii="Times New Roman" w:hAnsi="Times New Roman" w:eastAsia="黑体"/>
                <w:b/>
                <w:sz w:val="16"/>
              </w:rPr>
              <w:t>chem_plausible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0.433</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0.044</w:t>
            </w:r>
          </w:p>
        </w:tc>
        <w:tc>
          <w:tcPr>
            <w:tcW w:type="dxa" w:w="825"/>
          </w:tcPr>
          <w:p>
            <w:pPr>
              <w:jc w:val="center"/>
            </w:pPr>
            <w:r/>
            <w:r>
              <w:rPr>
                <w:rFonts w:ascii="Times New Roman" w:hAnsi="Times New Roman" w:eastAsia="宋体"/>
                <w:b w:val="0"/>
                <w:sz w:val="16"/>
              </w:rPr>
              <w:t>0.450</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GFS</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0.308</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0.090</w:t>
            </w:r>
          </w:p>
        </w:tc>
        <w:tc>
          <w:tcPr>
            <w:tcW w:type="dxa" w:w="825"/>
          </w:tcPr>
          <w:p>
            <w:pPr>
              <w:jc w:val="center"/>
            </w:pPr>
            <w:r/>
            <w:r>
              <w:rPr>
                <w:rFonts w:ascii="Times New Roman" w:hAnsi="Times New Roman" w:eastAsia="宋体"/>
                <w:b w:val="0"/>
                <w:sz w:val="16"/>
              </w:rPr>
              <w:t>0.280</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A_malt_burn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0.047</w:t>
            </w:r>
          </w:p>
        </w:tc>
        <w:tc>
          <w:tcPr>
            <w:tcW w:type="dxa" w:w="825"/>
          </w:tcPr>
          <w:p>
            <w:pPr>
              <w:jc w:val="center"/>
            </w:pPr>
            <w:r/>
            <w:r>
              <w:rPr>
                <w:rFonts w:ascii="Times New Roman" w:hAnsi="Times New Roman" w:eastAsia="宋体"/>
                <w:b w:val="0"/>
                <w:sz w:val="16"/>
              </w:rPr>
              <w:t>0.825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A_malt_burn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pH</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0.495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A_malt_burn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0.211</w:t>
            </w:r>
          </w:p>
        </w:tc>
        <w:tc>
          <w:tcPr>
            <w:tcW w:type="dxa" w:w="825"/>
          </w:tcPr>
          <w:p>
            <w:pPr>
              <w:jc w:val="center"/>
            </w:pPr>
            <w:r/>
            <w:r>
              <w:rPr>
                <w:rFonts w:ascii="Times New Roman" w:hAnsi="Times New Roman" w:eastAsia="宋体"/>
                <w:b w:val="0"/>
                <w:sz w:val="16"/>
              </w:rPr>
              <w:t>8.000</w:t>
            </w:r>
          </w:p>
        </w:tc>
        <w:tc>
          <w:tcPr>
            <w:tcW w:type="dxa" w:w="825"/>
          </w:tcPr>
          <w:p>
            <w:pPr>
              <w:jc w:val="center"/>
            </w:pPr>
            <w:r/>
            <w:r>
              <w:rPr>
                <w:rFonts w:ascii="Times New Roman" w:hAnsi="Times New Roman" w:eastAsia="宋体"/>
                <w:b w:val="0"/>
                <w:sz w:val="16"/>
              </w:rPr>
              <w:t>0.088</w:t>
            </w:r>
          </w:p>
        </w:tc>
        <w:tc>
          <w:tcPr>
            <w:tcW w:type="dxa" w:w="825"/>
          </w:tcPr>
          <w:p>
            <w:pPr>
              <w:jc w:val="center"/>
            </w:pPr>
            <w:r/>
            <w:r>
              <w:rPr>
                <w:rFonts w:ascii="Times New Roman" w:hAnsi="Times New Roman" w:eastAsia="宋体"/>
                <w:b w:val="0"/>
                <w:sz w:val="16"/>
              </w:rPr>
              <w:t>0.325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4 各感官维度的 Top-3 关键化合物及其稳定性判定（前 15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w:t>
      </w:r>
    </w:p>
    <w:p>
      <w:pPr>
        <w:spacing w:before="140" w:after="80" w:line="312" w:lineRule="auto"/>
        <w:jc w:val="left"/>
      </w:pPr>
      <w:r>
        <w:rPr>
          <w:rFonts w:ascii="Times New Roman" w:hAnsi="Times New Roman" w:eastAsia="黑体"/>
          <w:b/>
          <w:sz w:val="26"/>
        </w:rPr>
        <w:t>4.3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jc w:val="center"/>
            </w:pPr>
            <w:r/>
            <w:r>
              <w:rPr>
                <w:rFonts w:ascii="Times New Roman" w:hAnsi="Times New Roman" w:eastAsia="黑体"/>
                <w:b/>
                <w:sz w:val="17"/>
              </w:rPr>
              <w:t>style</w:t>
            </w:r>
          </w:p>
        </w:tc>
        <w:tc>
          <w:tcPr>
            <w:tcW w:type="dxa" w:w="825"/>
          </w:tcPr>
          <w:p>
            <w:pPr>
              <w:jc w:val="center"/>
            </w:pPr>
            <w:r/>
            <w:r>
              <w:rPr>
                <w:rFonts w:ascii="Times New Roman" w:hAnsi="Times New Roman" w:eastAsia="黑体"/>
                <w:b/>
                <w:sz w:val="17"/>
              </w:rPr>
              <w:t>n_real</w:t>
            </w:r>
          </w:p>
        </w:tc>
        <w:tc>
          <w:tcPr>
            <w:tcW w:type="dxa" w:w="825"/>
          </w:tcPr>
          <w:p>
            <w:pPr>
              <w:jc w:val="center"/>
            </w:pPr>
            <w:r/>
            <w:r>
              <w:rPr>
                <w:rFonts w:ascii="Times New Roman" w:hAnsi="Times New Roman" w:eastAsia="黑体"/>
                <w:b/>
                <w:sz w:val="17"/>
              </w:rPr>
              <w:t>n_generated</w:t>
            </w:r>
          </w:p>
        </w:tc>
        <w:tc>
          <w:tcPr>
            <w:tcW w:type="dxa" w:w="825"/>
          </w:tcPr>
          <w:p>
            <w:pPr>
              <w:jc w:val="center"/>
            </w:pPr>
            <w:r/>
            <w:r>
              <w:rPr>
                <w:rFonts w:ascii="Times New Roman" w:hAnsi="Times New Roman" w:eastAsia="黑体"/>
                <w:b/>
                <w:sz w:val="17"/>
              </w:rPr>
              <w:t>lambda</w:t>
            </w:r>
          </w:p>
        </w:tc>
        <w:tc>
          <w:tcPr>
            <w:tcW w:type="dxa" w:w="825"/>
          </w:tcPr>
          <w:p>
            <w:pPr>
              <w:jc w:val="center"/>
            </w:pPr>
            <w:r/>
            <w:r>
              <w:rPr>
                <w:rFonts w:ascii="Times New Roman" w:hAnsi="Times New Roman" w:eastAsia="黑体"/>
                <w:b/>
                <w:sz w:val="17"/>
              </w:rPr>
              <w:t>ks_median</w:t>
            </w:r>
          </w:p>
        </w:tc>
        <w:tc>
          <w:tcPr>
            <w:tcW w:type="dxa" w:w="825"/>
          </w:tcPr>
          <w:p>
            <w:pPr>
              <w:jc w:val="center"/>
            </w:pPr>
            <w:r/>
            <w:r>
              <w:rPr>
                <w:rFonts w:ascii="Times New Roman" w:hAnsi="Times New Roman" w:eastAsia="黑体"/>
                <w:b/>
                <w:sz w:val="17"/>
              </w:rPr>
              <w:t>ks_median_unconstrained</w:t>
            </w:r>
          </w:p>
        </w:tc>
        <w:tc>
          <w:tcPr>
            <w:tcW w:type="dxa" w:w="825"/>
          </w:tcPr>
          <w:p>
            <w:pPr>
              <w:jc w:val="center"/>
            </w:pPr>
            <w:r/>
            <w:r>
              <w:rPr>
                <w:rFonts w:ascii="Times New Roman" w:hAnsi="Times New Roman" w:eastAsia="黑体"/>
                <w:b/>
                <w:sz w:val="17"/>
              </w:rPr>
              <w:t>ks_null_expected</w:t>
            </w:r>
          </w:p>
        </w:tc>
        <w:tc>
          <w:tcPr>
            <w:tcW w:type="dxa" w:w="825"/>
          </w:tcPr>
          <w:p>
            <w:pPr>
              <w:jc w:val="center"/>
            </w:pPr>
            <w:r/>
            <w:r>
              <w:rPr>
                <w:rFonts w:ascii="Times New Roman" w:hAnsi="Times New Roman" w:eastAsia="黑体"/>
                <w:b/>
                <w:sz w:val="17"/>
              </w:rPr>
              <w:t>coverage_style_range_median</w:t>
            </w:r>
          </w:p>
        </w:tc>
        <w:tc>
          <w:tcPr>
            <w:tcW w:type="dxa" w:w="825"/>
          </w:tcPr>
          <w:p>
            <w:pPr>
              <w:jc w:val="center"/>
            </w:pPr>
            <w:r/>
            <w:r>
              <w:rPr>
                <w:rFonts w:ascii="Times New Roman" w:hAnsi="Times New Roman" w:eastAsia="黑体"/>
                <w:b/>
                <w:sz w:val="17"/>
              </w:rPr>
              <w:t>n_threshold_violations_total</w:t>
            </w:r>
          </w:p>
        </w:tc>
        <w:tc>
          <w:tcPr>
            <w:tcW w:type="dxa" w:w="825"/>
          </w:tcPr>
          <w:p>
            <w:pPr>
              <w:jc w:val="center"/>
            </w:pPr>
            <w:r/>
            <w:r>
              <w:rPr>
                <w:rFonts w:ascii="Times New Roman" w:hAnsi="Times New Roman" w:eastAsia="黑体"/>
                <w:b/>
                <w:sz w:val="17"/>
              </w:rPr>
              <w:t>n_violations_unconstrained_total</w:t>
            </w:r>
          </w:p>
        </w:tc>
        <w:tc>
          <w:tcPr>
            <w:tcW w:type="dxa" w:w="825"/>
          </w:tcPr>
          <w:p>
            <w:pPr>
              <w:jc w:val="center"/>
            </w:pPr>
            <w:r/>
            <w:r>
              <w:rPr>
                <w:rFonts w:ascii="Times New Roman" w:hAnsi="Times New Roman" w:eastAsia="黑体"/>
                <w:b/>
                <w:sz w:val="17"/>
              </w:rPr>
              <w:t>corr_spearman_mean_abs_dev</w:t>
            </w:r>
          </w:p>
        </w:tc>
      </w:tr>
      <w:tr>
        <w:tc>
          <w:tcPr>
            <w:tcW w:type="dxa" w:w="825"/>
          </w:tcPr>
          <w:p>
            <w:pPr>
              <w:jc w:val="center"/>
            </w:pPr>
            <w:r/>
            <w:r>
              <w:rPr>
                <w:rFonts w:ascii="Times New Roman" w:hAnsi="Times New Roman" w:eastAsia="宋体"/>
                <w:b w:val="0"/>
                <w:sz w:val="17"/>
              </w:rPr>
              <w:t>Tripel</w:t>
            </w:r>
          </w:p>
        </w:tc>
        <w:tc>
          <w:tcPr>
            <w:tcW w:type="dxa" w:w="825"/>
          </w:tcPr>
          <w:p>
            <w:pPr>
              <w:jc w:val="center"/>
            </w:pPr>
            <w:r/>
            <w:r>
              <w:rPr>
                <w:rFonts w:ascii="Times New Roman" w:hAnsi="Times New Roman" w:eastAsia="宋体"/>
                <w:b w:val="0"/>
                <w:sz w:val="17"/>
              </w:rPr>
              <w:t>28</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0.7368</w:t>
            </w:r>
          </w:p>
        </w:tc>
        <w:tc>
          <w:tcPr>
            <w:tcW w:type="dxa" w:w="825"/>
          </w:tcPr>
          <w:p>
            <w:pPr>
              <w:jc w:val="center"/>
            </w:pPr>
            <w:r/>
            <w:r>
              <w:rPr>
                <w:rFonts w:ascii="Times New Roman" w:hAnsi="Times New Roman" w:eastAsia="宋体"/>
                <w:b w:val="0"/>
                <w:sz w:val="17"/>
              </w:rPr>
              <w:t>0.1494</w:t>
            </w:r>
          </w:p>
        </w:tc>
        <w:tc>
          <w:tcPr>
            <w:tcW w:type="dxa" w:w="825"/>
          </w:tcPr>
          <w:p>
            <w:pPr>
              <w:jc w:val="center"/>
            </w:pPr>
            <w:r/>
            <w:r>
              <w:rPr>
                <w:rFonts w:ascii="Times New Roman" w:hAnsi="Times New Roman" w:eastAsia="宋体"/>
                <w:b w:val="0"/>
                <w:sz w:val="17"/>
              </w:rPr>
              <w:t>0.0700</w:t>
            </w:r>
          </w:p>
        </w:tc>
        <w:tc>
          <w:tcPr>
            <w:tcW w:type="dxa" w:w="825"/>
          </w:tcPr>
          <w:p>
            <w:pPr>
              <w:jc w:val="center"/>
            </w:pPr>
            <w:r/>
            <w:r>
              <w:rPr>
                <w:rFonts w:ascii="Times New Roman" w:hAnsi="Times New Roman" w:eastAsia="宋体"/>
                <w:b w:val="0"/>
                <w:sz w:val="17"/>
              </w:rPr>
              <w:t>0.1590</w:t>
            </w:r>
          </w:p>
        </w:tc>
        <w:tc>
          <w:tcPr>
            <w:tcW w:type="dxa" w:w="825"/>
          </w:tcPr>
          <w:p>
            <w:pPr>
              <w:jc w:val="center"/>
            </w:pPr>
            <w:r/>
            <w:r>
              <w:rPr>
                <w:rFonts w:ascii="Times New Roman" w:hAnsi="Times New Roman" w:eastAsia="宋体"/>
                <w:b w:val="0"/>
                <w:sz w:val="17"/>
              </w:rPr>
              <w:t>0.9840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220</w:t>
            </w:r>
          </w:p>
        </w:tc>
        <w:tc>
          <w:tcPr>
            <w:tcW w:type="dxa" w:w="825"/>
          </w:tcPr>
          <w:p>
            <w:pPr>
              <w:jc w:val="center"/>
            </w:pPr>
            <w:r/>
            <w:r>
              <w:rPr>
                <w:rFonts w:ascii="Times New Roman" w:hAnsi="Times New Roman" w:eastAsia="宋体"/>
                <w:b w:val="0"/>
                <w:sz w:val="17"/>
              </w:rPr>
              <w:t>0.1860</w:t>
            </w:r>
          </w:p>
        </w:tc>
      </w:tr>
      <w:tr>
        <w:tc>
          <w:tcPr>
            <w:tcW w:type="dxa" w:w="825"/>
          </w:tcPr>
          <w:p>
            <w:pPr>
              <w:jc w:val="center"/>
            </w:pPr>
            <w:r/>
            <w:r>
              <w:rPr>
                <w:rFonts w:ascii="Times New Roman" w:hAnsi="Times New Roman" w:eastAsia="宋体"/>
                <w:b w:val="0"/>
                <w:sz w:val="17"/>
              </w:rPr>
              <w:t>Kriek</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0.1800</w:t>
            </w:r>
          </w:p>
        </w:tc>
        <w:tc>
          <w:tcPr>
            <w:tcW w:type="dxa" w:w="825"/>
          </w:tcPr>
          <w:p>
            <w:pPr>
              <w:jc w:val="center"/>
            </w:pPr>
            <w:r/>
            <w:r>
              <w:rPr>
                <w:rFonts w:ascii="Times New Roman" w:hAnsi="Times New Roman" w:eastAsia="宋体"/>
                <w:b w:val="0"/>
                <w:sz w:val="17"/>
              </w:rPr>
              <w:t>0.1760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0.8920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202</w:t>
            </w:r>
          </w:p>
        </w:tc>
        <w:tc>
          <w:tcPr>
            <w:tcW w:type="dxa" w:w="825"/>
          </w:tcPr>
          <w:p>
            <w:pPr>
              <w:jc w:val="center"/>
            </w:pPr>
            <w:r/>
            <w:r>
              <w:rPr>
                <w:rFonts w:ascii="Times New Roman" w:hAnsi="Times New Roman" w:eastAsia="宋体"/>
                <w:b w:val="0"/>
                <w:sz w:val="17"/>
              </w:rPr>
              <w:t>0.3143</w:t>
            </w:r>
          </w:p>
        </w:tc>
      </w:tr>
      <w:tr>
        <w:tc>
          <w:tcPr>
            <w:tcW w:type="dxa" w:w="825"/>
          </w:tcPr>
          <w:p>
            <w:pPr>
              <w:jc w:val="center"/>
            </w:pPr>
            <w:r/>
            <w:r>
              <w:rPr>
                <w:rFonts w:ascii="Times New Roman" w:hAnsi="Times New Roman" w:eastAsia="宋体"/>
                <w:b w:val="0"/>
                <w:sz w:val="17"/>
              </w:rPr>
              <w:t>Lambic</w:t>
            </w:r>
          </w:p>
        </w:tc>
        <w:tc>
          <w:tcPr>
            <w:tcW w:type="dxa" w:w="825"/>
          </w:tcPr>
          <w:p>
            <w:pPr>
              <w:jc w:val="center"/>
            </w:pPr>
            <w:r/>
            <w:r>
              <w:rPr>
                <w:rFonts w:ascii="Times New Roman" w:hAnsi="Times New Roman" w:eastAsia="宋体"/>
                <w:b w:val="0"/>
                <w:sz w:val="17"/>
              </w:rPr>
              <w:t>11</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0.5238</w:t>
            </w:r>
          </w:p>
        </w:tc>
        <w:tc>
          <w:tcPr>
            <w:tcW w:type="dxa" w:w="825"/>
          </w:tcPr>
          <w:p>
            <w:pPr>
              <w:jc w:val="center"/>
            </w:pPr>
            <w:r/>
            <w:r>
              <w:rPr>
                <w:rFonts w:ascii="Times New Roman" w:hAnsi="Times New Roman" w:eastAsia="宋体"/>
                <w:b w:val="0"/>
                <w:sz w:val="17"/>
              </w:rPr>
              <w:t>0.1800</w:t>
            </w:r>
          </w:p>
        </w:tc>
        <w:tc>
          <w:tcPr>
            <w:tcW w:type="dxa" w:w="825"/>
          </w:tcPr>
          <w:p>
            <w:pPr>
              <w:jc w:val="center"/>
            </w:pPr>
            <w:r/>
            <w:r>
              <w:rPr>
                <w:rFonts w:ascii="Times New Roman" w:hAnsi="Times New Roman" w:eastAsia="宋体"/>
                <w:b w:val="0"/>
                <w:sz w:val="17"/>
              </w:rPr>
              <w:t>0.1640</w:t>
            </w:r>
          </w:p>
        </w:tc>
        <w:tc>
          <w:tcPr>
            <w:tcW w:type="dxa" w:w="825"/>
          </w:tcPr>
          <w:p>
            <w:pPr>
              <w:jc w:val="center"/>
            </w:pPr>
            <w:r/>
            <w:r>
              <w:rPr>
                <w:rFonts w:ascii="Times New Roman" w:hAnsi="Times New Roman" w:eastAsia="宋体"/>
                <w:b w:val="0"/>
                <w:sz w:val="17"/>
              </w:rPr>
              <w:t>0.2458</w:t>
            </w:r>
          </w:p>
        </w:tc>
        <w:tc>
          <w:tcPr>
            <w:tcW w:type="dxa" w:w="825"/>
          </w:tcPr>
          <w:p>
            <w:pPr>
              <w:jc w:val="center"/>
            </w:pPr>
            <w:r/>
            <w:r>
              <w:rPr>
                <w:rFonts w:ascii="Times New Roman" w:hAnsi="Times New Roman" w:eastAsia="宋体"/>
                <w:b w:val="0"/>
                <w:sz w:val="17"/>
              </w:rPr>
              <w:t>0.8760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212</w:t>
            </w:r>
          </w:p>
        </w:tc>
        <w:tc>
          <w:tcPr>
            <w:tcW w:type="dxa" w:w="825"/>
          </w:tcPr>
          <w:p>
            <w:pPr>
              <w:jc w:val="center"/>
            </w:pPr>
            <w:r/>
            <w:r>
              <w:rPr>
                <w:rFonts w:ascii="Times New Roman" w:hAnsi="Times New Roman" w:eastAsia="宋体"/>
                <w:b w:val="0"/>
                <w:sz w:val="17"/>
              </w:rPr>
              <w:t>0.2922</w:t>
            </w:r>
          </w:p>
        </w:tc>
      </w:tr>
      <w:tr>
        <w:tc>
          <w:tcPr>
            <w:tcW w:type="dxa" w:w="825"/>
          </w:tcPr>
          <w:p>
            <w:pPr>
              <w:jc w:val="center"/>
            </w:pPr>
            <w:r/>
            <w:r>
              <w:rPr>
                <w:rFonts w:ascii="Times New Roman" w:hAnsi="Times New Roman" w:eastAsia="宋体"/>
                <w:b w:val="0"/>
                <w:sz w:val="17"/>
              </w:rPr>
              <w:t>Blond</w:t>
            </w:r>
          </w:p>
        </w:tc>
        <w:tc>
          <w:tcPr>
            <w:tcW w:type="dxa" w:w="825"/>
          </w:tcPr>
          <w:p>
            <w:pPr>
              <w:jc w:val="center"/>
            </w:pPr>
            <w:r/>
            <w:r>
              <w:rPr>
                <w:rFonts w:ascii="Times New Roman" w:hAnsi="Times New Roman" w:eastAsia="宋体"/>
                <w:b w:val="0"/>
                <w:sz w:val="17"/>
              </w:rPr>
              <w:t>31</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0.7561</w:t>
            </w:r>
          </w:p>
        </w:tc>
        <w:tc>
          <w:tcPr>
            <w:tcW w:type="dxa" w:w="825"/>
          </w:tcPr>
          <w:p>
            <w:pPr>
              <w:jc w:val="center"/>
            </w:pPr>
            <w:r/>
            <w:r>
              <w:rPr>
                <w:rFonts w:ascii="Times New Roman" w:hAnsi="Times New Roman" w:eastAsia="宋体"/>
                <w:b w:val="0"/>
                <w:sz w:val="17"/>
              </w:rPr>
              <w:t>0.1524</w:t>
            </w:r>
          </w:p>
        </w:tc>
        <w:tc>
          <w:tcPr>
            <w:tcW w:type="dxa" w:w="825"/>
          </w:tcPr>
          <w:p>
            <w:pPr>
              <w:jc w:val="center"/>
            </w:pPr>
            <w:r/>
            <w:r>
              <w:rPr>
                <w:rFonts w:ascii="Times New Roman" w:hAnsi="Times New Roman" w:eastAsia="宋体"/>
                <w:b w:val="0"/>
                <w:sz w:val="17"/>
              </w:rPr>
              <w:t>0.0652</w:t>
            </w:r>
          </w:p>
        </w:tc>
        <w:tc>
          <w:tcPr>
            <w:tcW w:type="dxa" w:w="825"/>
          </w:tcPr>
          <w:p>
            <w:pPr>
              <w:jc w:val="center"/>
            </w:pPr>
            <w:r/>
            <w:r>
              <w:rPr>
                <w:rFonts w:ascii="Times New Roman" w:hAnsi="Times New Roman" w:eastAsia="宋体"/>
                <w:b w:val="0"/>
                <w:sz w:val="17"/>
              </w:rPr>
              <w:t>0.1519</w:t>
            </w:r>
          </w:p>
        </w:tc>
        <w:tc>
          <w:tcPr>
            <w:tcW w:type="dxa" w:w="825"/>
          </w:tcPr>
          <w:p>
            <w:pPr>
              <w:jc w:val="center"/>
            </w:pPr>
            <w:r/>
            <w:r>
              <w:rPr>
                <w:rFonts w:ascii="Times New Roman" w:hAnsi="Times New Roman" w:eastAsia="宋体"/>
                <w:b w:val="0"/>
                <w:sz w:val="17"/>
              </w:rPr>
              <w:t>0.9920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239</w:t>
            </w:r>
          </w:p>
        </w:tc>
        <w:tc>
          <w:tcPr>
            <w:tcW w:type="dxa" w:w="825"/>
          </w:tcPr>
          <w:p>
            <w:pPr>
              <w:jc w:val="center"/>
            </w:pPr>
            <w:r/>
            <w:r>
              <w:rPr>
                <w:rFonts w:ascii="Times New Roman" w:hAnsi="Times New Roman" w:eastAsia="宋体"/>
                <w:b w:val="0"/>
                <w:sz w:val="17"/>
              </w:rPr>
              <w:t>0.1860</w:t>
            </w:r>
          </w:p>
        </w:tc>
      </w:tr>
      <w:tr>
        <w:tc>
          <w:tcPr>
            <w:tcW w:type="dxa" w:w="825"/>
          </w:tcPr>
          <w:p>
            <w:pPr>
              <w:jc w:val="center"/>
            </w:pPr>
            <w:r/>
            <w:r>
              <w:rPr>
                <w:rFonts w:ascii="Times New Roman" w:hAnsi="Times New Roman" w:eastAsia="宋体"/>
                <w:b w:val="0"/>
                <w:sz w:val="17"/>
              </w:rPr>
              <w:t>Strong ale</w:t>
            </w:r>
          </w:p>
        </w:tc>
        <w:tc>
          <w:tcPr>
            <w:tcW w:type="dxa" w:w="825"/>
          </w:tcPr>
          <w:p>
            <w:pPr>
              <w:jc w:val="center"/>
            </w:pPr>
            <w:r/>
            <w:r>
              <w:rPr>
                <w:rFonts w:ascii="Times New Roman" w:hAnsi="Times New Roman" w:eastAsia="宋体"/>
                <w:b w:val="0"/>
                <w:sz w:val="17"/>
              </w:rPr>
              <w:t>18</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0.6429</w:t>
            </w:r>
          </w:p>
        </w:tc>
        <w:tc>
          <w:tcPr>
            <w:tcW w:type="dxa" w:w="825"/>
          </w:tcPr>
          <w:p>
            <w:pPr>
              <w:jc w:val="center"/>
            </w:pPr>
            <w:r/>
            <w:r>
              <w:rPr>
                <w:rFonts w:ascii="Times New Roman" w:hAnsi="Times New Roman" w:eastAsia="宋体"/>
                <w:b w:val="0"/>
                <w:sz w:val="17"/>
              </w:rPr>
              <w:t>0.1440</w:t>
            </w:r>
          </w:p>
        </w:tc>
        <w:tc>
          <w:tcPr>
            <w:tcW w:type="dxa" w:w="825"/>
          </w:tcPr>
          <w:p>
            <w:pPr>
              <w:jc w:val="center"/>
            </w:pPr>
            <w:r/>
            <w:r>
              <w:rPr>
                <w:rFonts w:ascii="Times New Roman" w:hAnsi="Times New Roman" w:eastAsia="宋体"/>
                <w:b w:val="0"/>
                <w:sz w:val="17"/>
              </w:rPr>
              <w:t>0.0969</w:t>
            </w:r>
          </w:p>
        </w:tc>
        <w:tc>
          <w:tcPr>
            <w:tcW w:type="dxa" w:w="825"/>
          </w:tcPr>
          <w:p>
            <w:pPr>
              <w:jc w:val="center"/>
            </w:pPr>
            <w:r/>
            <w:r>
              <w:rPr>
                <w:rFonts w:ascii="Times New Roman" w:hAnsi="Times New Roman" w:eastAsia="宋体"/>
                <w:b w:val="0"/>
                <w:sz w:val="17"/>
              </w:rPr>
              <w:t>0.1947</w:t>
            </w:r>
          </w:p>
        </w:tc>
        <w:tc>
          <w:tcPr>
            <w:tcW w:type="dxa" w:w="825"/>
          </w:tcPr>
          <w:p>
            <w:pPr>
              <w:jc w:val="center"/>
            </w:pPr>
            <w:r/>
            <w:r>
              <w:rPr>
                <w:rFonts w:ascii="Times New Roman" w:hAnsi="Times New Roman" w:eastAsia="宋体"/>
                <w:b w:val="0"/>
                <w:sz w:val="17"/>
              </w:rPr>
              <w:t>0.9440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210</w:t>
            </w:r>
          </w:p>
        </w:tc>
        <w:tc>
          <w:tcPr>
            <w:tcW w:type="dxa" w:w="825"/>
          </w:tcPr>
          <w:p>
            <w:pPr>
              <w:jc w:val="center"/>
            </w:pPr>
            <w:r/>
            <w:r>
              <w:rPr>
                <w:rFonts w:ascii="Times New Roman" w:hAnsi="Times New Roman" w:eastAsia="宋体"/>
                <w:b w:val="0"/>
                <w:sz w:val="17"/>
              </w:rPr>
              <w:t>0.2280</w:t>
            </w:r>
          </w:p>
        </w:tc>
      </w:tr>
      <w:tr>
        <w:tc>
          <w:tcPr>
            <w:tcW w:type="dxa" w:w="825"/>
          </w:tcPr>
          <w:p>
            <w:pPr>
              <w:jc w:val="center"/>
            </w:pPr>
            <w:r/>
            <w:r>
              <w:rPr>
                <w:rFonts w:ascii="Times New Roman" w:hAnsi="Times New Roman" w:eastAsia="宋体"/>
                <w:b w:val="0"/>
                <w:sz w:val="17"/>
              </w:rPr>
              <w:t>Hoppy</w:t>
            </w:r>
          </w:p>
        </w:tc>
        <w:tc>
          <w:tcPr>
            <w:tcW w:type="dxa" w:w="825"/>
          </w:tcPr>
          <w:p>
            <w:pPr>
              <w:jc w:val="center"/>
            </w:pPr>
            <w:r/>
            <w:r>
              <w:rPr>
                <w:rFonts w:ascii="Times New Roman" w:hAnsi="Times New Roman" w:eastAsia="宋体"/>
                <w:b w:val="0"/>
                <w:sz w:val="17"/>
              </w:rPr>
              <w:t>17</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0.6296</w:t>
            </w:r>
          </w:p>
        </w:tc>
        <w:tc>
          <w:tcPr>
            <w:tcW w:type="dxa" w:w="825"/>
          </w:tcPr>
          <w:p>
            <w:pPr>
              <w:jc w:val="center"/>
            </w:pPr>
            <w:r/>
            <w:r>
              <w:rPr>
                <w:rFonts w:ascii="Times New Roman" w:hAnsi="Times New Roman" w:eastAsia="宋体"/>
                <w:b w:val="0"/>
                <w:sz w:val="17"/>
              </w:rPr>
              <w:t>0.1831</w:t>
            </w:r>
          </w:p>
        </w:tc>
        <w:tc>
          <w:tcPr>
            <w:tcW w:type="dxa" w:w="825"/>
          </w:tcPr>
          <w:p>
            <w:pPr>
              <w:jc w:val="center"/>
            </w:pPr>
            <w:r/>
            <w:r>
              <w:rPr>
                <w:rFonts w:ascii="Times New Roman" w:hAnsi="Times New Roman" w:eastAsia="宋体"/>
                <w:b w:val="0"/>
                <w:sz w:val="17"/>
              </w:rPr>
              <w:t>0.1014</w:t>
            </w:r>
          </w:p>
        </w:tc>
        <w:tc>
          <w:tcPr>
            <w:tcW w:type="dxa" w:w="825"/>
          </w:tcPr>
          <w:p>
            <w:pPr>
              <w:jc w:val="center"/>
            </w:pPr>
            <w:r/>
            <w:r>
              <w:rPr>
                <w:rFonts w:ascii="Times New Roman" w:hAnsi="Times New Roman" w:eastAsia="宋体"/>
                <w:b w:val="0"/>
                <w:sz w:val="17"/>
              </w:rPr>
              <w:t>0.2000</w:t>
            </w:r>
          </w:p>
        </w:tc>
        <w:tc>
          <w:tcPr>
            <w:tcW w:type="dxa" w:w="825"/>
          </w:tcPr>
          <w:p>
            <w:pPr>
              <w:jc w:val="center"/>
            </w:pPr>
            <w:r/>
            <w:r>
              <w:rPr>
                <w:rFonts w:ascii="Times New Roman" w:hAnsi="Times New Roman" w:eastAsia="宋体"/>
                <w:b w:val="0"/>
                <w:sz w:val="17"/>
              </w:rPr>
              <w:t>0.9400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235</w:t>
            </w:r>
          </w:p>
        </w:tc>
        <w:tc>
          <w:tcPr>
            <w:tcW w:type="dxa" w:w="825"/>
          </w:tcPr>
          <w:p>
            <w:pPr>
              <w:jc w:val="center"/>
            </w:pPr>
            <w:r/>
            <w:r>
              <w:rPr>
                <w:rFonts w:ascii="Times New Roman" w:hAnsi="Times New Roman" w:eastAsia="宋体"/>
                <w:b w:val="0"/>
                <w:sz w:val="17"/>
              </w:rPr>
              <w:t>0.2455</w:t>
            </w:r>
          </w:p>
        </w:tc>
      </w:tr>
      <w:tr>
        <w:tc>
          <w:tcPr>
            <w:tcW w:type="dxa" w:w="825"/>
          </w:tcPr>
          <w:p>
            <w:pPr>
              <w:jc w:val="center"/>
            </w:pPr>
            <w:r/>
            <w:r>
              <w:rPr>
                <w:rFonts w:ascii="Times New Roman" w:hAnsi="Times New Roman" w:eastAsia="宋体"/>
                <w:b w:val="0"/>
                <w:sz w:val="17"/>
              </w:rPr>
              <w:t>Dubbel</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0.1760</w:t>
            </w:r>
          </w:p>
        </w:tc>
        <w:tc>
          <w:tcPr>
            <w:tcW w:type="dxa" w:w="825"/>
          </w:tcPr>
          <w:p>
            <w:pPr>
              <w:jc w:val="center"/>
            </w:pPr>
            <w:r/>
            <w:r>
              <w:rPr>
                <w:rFonts w:ascii="Times New Roman" w:hAnsi="Times New Roman" w:eastAsia="宋体"/>
                <w:b w:val="0"/>
                <w:sz w:val="17"/>
              </w:rPr>
              <w:t>0.1400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0.8800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209</w:t>
            </w:r>
          </w:p>
        </w:tc>
        <w:tc>
          <w:tcPr>
            <w:tcW w:type="dxa" w:w="825"/>
          </w:tcPr>
          <w:p>
            <w:pPr>
              <w:jc w:val="center"/>
            </w:pPr>
            <w:r/>
            <w:r>
              <w:rPr>
                <w:rFonts w:ascii="Times New Roman" w:hAnsi="Times New Roman" w:eastAsia="宋体"/>
                <w:b w:val="0"/>
                <w:sz w:val="17"/>
              </w:rPr>
              <w:t>0.3036</w:t>
            </w:r>
          </w:p>
        </w:tc>
      </w:tr>
      <w:tr>
        <w:tc>
          <w:tcPr>
            <w:tcW w:type="dxa" w:w="825"/>
          </w:tcPr>
          <w:p>
            <w:pPr>
              <w:jc w:val="center"/>
            </w:pPr>
            <w:r/>
            <w:r>
              <w:rPr>
                <w:rFonts w:ascii="Times New Roman" w:hAnsi="Times New Roman" w:eastAsia="宋体"/>
                <w:b w:val="0"/>
                <w:sz w:val="17"/>
              </w:rPr>
              <w:t>Saison</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0.2120</w:t>
            </w:r>
          </w:p>
        </w:tc>
        <w:tc>
          <w:tcPr>
            <w:tcW w:type="dxa" w:w="825"/>
          </w:tcPr>
          <w:p>
            <w:pPr>
              <w:jc w:val="center"/>
            </w:pPr>
            <w:r/>
            <w:r>
              <w:rPr>
                <w:rFonts w:ascii="Times New Roman" w:hAnsi="Times New Roman" w:eastAsia="宋体"/>
                <w:b w:val="0"/>
                <w:sz w:val="17"/>
              </w:rPr>
              <w:t>0.1680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0.8720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221</w:t>
            </w:r>
          </w:p>
        </w:tc>
        <w:tc>
          <w:tcPr>
            <w:tcW w:type="dxa" w:w="825"/>
          </w:tcPr>
          <w:p>
            <w:pPr>
              <w:jc w:val="center"/>
            </w:pPr>
            <w:r/>
            <w:r>
              <w:rPr>
                <w:rFonts w:ascii="Times New Roman" w:hAnsi="Times New Roman" w:eastAsia="宋体"/>
                <w:b w:val="0"/>
                <w:sz w:val="17"/>
              </w:rPr>
              <w:t>0.3131</w:t>
            </w:r>
          </w:p>
        </w:tc>
      </w:tr>
    </w:tbl>
    <w:p>
      <w:pPr>
        <w:spacing w:before="40" w:after="160"/>
        <w:jc w:val="center"/>
      </w:pPr>
      <w:r>
        <w:rPr>
          <w:rFonts w:ascii="Times New Roman" w:hAnsi="Times New Roman" w:eastAsia="宋体"/>
          <w:b w:val="0"/>
          <w:sz w:val="18"/>
        </w:rPr>
        <w:t>表 5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缺陷约束被完全满足。边际分布的可行性以生成值与真实样本的柯尔莫哥洛夫—斯米尔诺夫距离度量。为把「生成器本身的还原度」与「缺陷约束对边际的压平作用」区分开，本文同时给出不作约束的参照生成：受约束谱的 KS 中位数为 0.1780，无约束参照谱为 0.1207，而「同分布的两个随机样本之间」的期望值为 0.2229。可见无约束参照谱明显优于该期望值，说明生成器本身能较好地还原风格真实化学画像；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6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572000" cy="2767263"/>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4572000" cy="2767263"/>
                    </a:xfrm>
                    <a:prstGeom prst="rect"/>
                  </pic:spPr>
                </pic:pic>
              </a:graphicData>
            </a:graphic>
          </wp:inline>
        </w:drawing>
      </w:r>
    </w:p>
    <w:p>
      <w:pPr>
        <w:spacing w:before="40" w:after="160"/>
        <w:jc w:val="center"/>
      </w:pPr>
      <w:r>
        <w:rPr>
          <w:rFonts w:ascii="Times New Roman" w:hAnsi="Times New Roman" w:eastAsia="宋体"/>
          <w:b w:val="0"/>
          <w:sz w:val="18"/>
        </w:rPr>
        <w:t>图 1 问题一：各模型宏平均 RMSE 的自助重采样区间对比</w:t>
      </w:r>
    </w:p>
    <w:p>
      <w:pPr>
        <w:spacing w:before="80"/>
        <w:jc w:val="center"/>
      </w:pPr>
      <w:r>
        <w:drawing>
          <wp:inline xmlns:a="http://schemas.openxmlformats.org/drawingml/2006/main" xmlns:pic="http://schemas.openxmlformats.org/drawingml/2006/picture">
            <wp:extent cx="4572000" cy="1686128"/>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4572000" cy="1686128"/>
                    </a:xfrm>
                    <a:prstGeom prst="rect"/>
                  </pic:spPr>
                </pic:pic>
              </a:graphicData>
            </a:graphic>
          </wp:inline>
        </w:drawing>
      </w:r>
    </w:p>
    <w:p>
      <w:pPr>
        <w:spacing w:before="40" w:after="160"/>
        <w:jc w:val="center"/>
      </w:pPr>
      <w:r>
        <w:rPr>
          <w:rFonts w:ascii="Times New Roman" w:hAnsi="Times New Roman" w:eastAsia="宋体"/>
          <w:b w:val="0"/>
          <w:sz w:val="18"/>
        </w:rPr>
        <w:t>图 2 问题一：按感官族分面的逐维可预测性</w:t>
      </w:r>
    </w:p>
    <w:p>
      <w:pPr>
        <w:spacing w:before="80"/>
        <w:jc w:val="center"/>
      </w:pPr>
      <w:r>
        <w:drawing>
          <wp:inline xmlns:a="http://schemas.openxmlformats.org/drawingml/2006/main" xmlns:pic="http://schemas.openxmlformats.org/drawingml/2006/picture">
            <wp:extent cx="4572000" cy="1844842"/>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4572000" cy="1844842"/>
                    </a:xfrm>
                    <a:prstGeom prst="rect"/>
                  </pic:spPr>
                </pic:pic>
              </a:graphicData>
            </a:graphic>
          </wp:inline>
        </w:drawing>
      </w:r>
    </w:p>
    <w:p>
      <w:pPr>
        <w:spacing w:before="40" w:after="160"/>
        <w:jc w:val="center"/>
      </w:pPr>
      <w:r>
        <w:rPr>
          <w:rFonts w:ascii="Times New Roman" w:hAnsi="Times New Roman" w:eastAsia="宋体"/>
          <w:b w:val="0"/>
          <w:sz w:val="18"/>
        </w:rPr>
        <w:t>图 3 问题一：相对分级与阈值锚定绝对分的对照</w:t>
      </w:r>
    </w:p>
    <w:p>
      <w:pPr>
        <w:spacing w:before="80"/>
        <w:jc w:val="center"/>
      </w:pPr>
      <w:r>
        <w:drawing>
          <wp:inline xmlns:a="http://schemas.openxmlformats.org/drawingml/2006/main" xmlns:pic="http://schemas.openxmlformats.org/drawingml/2006/picture">
            <wp:extent cx="4572000" cy="4844330"/>
            <wp:docPr id="5" name="Picture 5"/>
            <wp:cNvGraphicFramePr>
              <a:graphicFrameLocks noChangeAspect="1"/>
            </wp:cNvGraphicFramePr>
            <a:graphic>
              <a:graphicData uri="http://schemas.openxmlformats.org/drawingml/2006/picture">
                <pic:pic>
                  <pic:nvPicPr>
                    <pic:cNvPr id="0" name="fig1_coexpression_network_by_origin.png"/>
                    <pic:cNvPicPr/>
                  </pic:nvPicPr>
                  <pic:blipFill>
                    <a:blip r:embed="rId13"/>
                    <a:stretch>
                      <a:fillRect/>
                    </a:stretch>
                  </pic:blipFill>
                  <pic:spPr>
                    <a:xfrm>
                      <a:off x="0" y="0"/>
                      <a:ext cx="4572000" cy="4844330"/>
                    </a:xfrm>
                    <a:prstGeom prst="rect"/>
                  </pic:spPr>
                </pic:pic>
              </a:graphicData>
            </a:graphic>
          </wp:inline>
        </w:drawing>
      </w:r>
    </w:p>
    <w:p>
      <w:pPr>
        <w:spacing w:before="40" w:after="160"/>
        <w:jc w:val="center"/>
      </w:pPr>
      <w:r>
        <w:rPr>
          <w:rFonts w:ascii="Times New Roman" w:hAnsi="Times New Roman" w:eastAsia="宋体"/>
          <w:b w:val="0"/>
          <w:sz w:val="18"/>
        </w:rPr>
        <w:t>图 4 问题二：按化学来源着色的化合物共表达图</w:t>
      </w:r>
    </w:p>
    <w:p>
      <w:pPr>
        <w:spacing w:before="80"/>
        <w:jc w:val="center"/>
      </w:pPr>
      <w:r>
        <w:drawing>
          <wp:inline xmlns:a="http://schemas.openxmlformats.org/drawingml/2006/main" xmlns:pic="http://schemas.openxmlformats.org/drawingml/2006/picture">
            <wp:extent cx="4572000" cy="2789470"/>
            <wp:docPr id="6" name="Picture 6"/>
            <wp:cNvGraphicFramePr>
              <a:graphicFrameLocks noChangeAspect="1"/>
            </wp:cNvGraphicFramePr>
            <a:graphic>
              <a:graphicData uri="http://schemas.openxmlformats.org/drawingml/2006/picture">
                <pic:pic>
                  <pic:nvPicPr>
                    <pic:cNvPr id="0" name="fig3_community_composition_heatmap.png"/>
                    <pic:cNvPicPr/>
                  </pic:nvPicPr>
                  <pic:blipFill>
                    <a:blip r:embed="rId14"/>
                    <a:stretch>
                      <a:fillRect/>
                    </a:stretch>
                  </pic:blipFill>
                  <pic:spPr>
                    <a:xfrm>
                      <a:off x="0" y="0"/>
                      <a:ext cx="4572000" cy="2789470"/>
                    </a:xfrm>
                    <a:prstGeom prst="rect"/>
                  </pic:spPr>
                </pic:pic>
              </a:graphicData>
            </a:graphic>
          </wp:inline>
        </w:drawing>
      </w:r>
    </w:p>
    <w:p>
      <w:pPr>
        <w:spacing w:before="40" w:after="160"/>
        <w:jc w:val="center"/>
      </w:pPr>
      <w:r>
        <w:rPr>
          <w:rFonts w:ascii="Times New Roman" w:hAnsi="Times New Roman" w:eastAsia="宋体"/>
          <w:b w:val="0"/>
          <w:sz w:val="18"/>
        </w:rPr>
        <w:t>图 5 问题二：共表达社区的化学块与来源构成</w:t>
      </w:r>
    </w:p>
    <w:p>
      <w:pPr>
        <w:spacing w:before="80"/>
        <w:jc w:val="center"/>
      </w:pPr>
      <w:r>
        <w:drawing>
          <wp:inline xmlns:a="http://schemas.openxmlformats.org/drawingml/2006/main" xmlns:pic="http://schemas.openxmlformats.org/drawingml/2006/picture">
            <wp:extent cx="4572000" cy="1962579"/>
            <wp:docPr id="7" name="Picture 7"/>
            <wp:cNvGraphicFramePr>
              <a:graphicFrameLocks noChangeAspect="1"/>
            </wp:cNvGraphicFramePr>
            <a:graphic>
              <a:graphicData uri="http://schemas.openxmlformats.org/drawingml/2006/picture">
                <pic:pic>
                  <pic:nvPicPr>
                    <pic:cNvPr id="0" name="fig4_top3_bootstrap_frequency.png"/>
                    <pic:cNvPicPr/>
                  </pic:nvPicPr>
                  <pic:blipFill>
                    <a:blip r:embed="rId15"/>
                    <a:stretch>
                      <a:fillRect/>
                    </a:stretch>
                  </pic:blipFill>
                  <pic:spPr>
                    <a:xfrm>
                      <a:off x="0" y="0"/>
                      <a:ext cx="4572000" cy="1962579"/>
                    </a:xfrm>
                    <a:prstGeom prst="rect"/>
                  </pic:spPr>
                </pic:pic>
              </a:graphicData>
            </a:graphic>
          </wp:inline>
        </w:drawing>
      </w:r>
    </w:p>
    <w:p>
      <w:pPr>
        <w:spacing w:before="40" w:after="160"/>
        <w:jc w:val="center"/>
      </w:pPr>
      <w:r>
        <w:rPr>
          <w:rFonts w:ascii="Times New Roman" w:hAnsi="Times New Roman" w:eastAsia="宋体"/>
          <w:b w:val="0"/>
          <w:sz w:val="18"/>
        </w:rPr>
        <w:t>图 6 问题二：各感官维度 Top-3 关键化合物的重采样入选频率</w:t>
      </w:r>
    </w:p>
    <w:p>
      <w:pPr>
        <w:spacing w:before="80"/>
        <w:jc w:val="center"/>
      </w:pPr>
      <w:r>
        <w:drawing>
          <wp:inline xmlns:a="http://schemas.openxmlformats.org/drawingml/2006/main" xmlns:pic="http://schemas.openxmlformats.org/drawingml/2006/picture">
            <wp:extent cx="4572000" cy="1712844"/>
            <wp:docPr id="8" name="Picture 8"/>
            <wp:cNvGraphicFramePr>
              <a:graphicFrameLocks noChangeAspect="1"/>
            </wp:cNvGraphicFramePr>
            <a:graphic>
              <a:graphicData uri="http://schemas.openxmlformats.org/drawingml/2006/picture">
                <pic:pic>
                  <pic:nvPicPr>
                    <pic:cNvPr id="0" name="fig2_marginal_distributions.png"/>
                    <pic:cNvPicPr/>
                  </pic:nvPicPr>
                  <pic:blipFill>
                    <a:blip r:embed="rId16"/>
                    <a:stretch>
                      <a:fillRect/>
                    </a:stretch>
                  </pic:blipFill>
                  <pic:spPr>
                    <a:xfrm>
                      <a:off x="0" y="0"/>
                      <a:ext cx="4572000" cy="1712844"/>
                    </a:xfrm>
                    <a:prstGeom prst="rect"/>
                  </pic:spPr>
                </pic:pic>
              </a:graphicData>
            </a:graphic>
          </wp:inline>
        </w:drawing>
      </w:r>
    </w:p>
    <w:p>
      <w:pPr>
        <w:spacing w:before="40" w:after="160"/>
        <w:jc w:val="center"/>
      </w:pPr>
      <w:r>
        <w:rPr>
          <w:rFonts w:ascii="Times New Roman" w:hAnsi="Times New Roman" w:eastAsia="宋体"/>
          <w:b w:val="0"/>
          <w:sz w:val="18"/>
        </w:rPr>
        <w:t>图 7 问题三：生成谱与真实样本的边际分布对比</w:t>
      </w:r>
    </w:p>
    <w:p>
      <w:pPr>
        <w:spacing w:before="80"/>
        <w:jc w:val="center"/>
      </w:pPr>
      <w:r>
        <w:drawing>
          <wp:inline xmlns:a="http://schemas.openxmlformats.org/drawingml/2006/main" xmlns:pic="http://schemas.openxmlformats.org/drawingml/2006/picture">
            <wp:extent cx="4572000" cy="1234774"/>
            <wp:docPr id="9" name="Picture 9"/>
            <wp:cNvGraphicFramePr>
              <a:graphicFrameLocks noChangeAspect="1"/>
            </wp:cNvGraphicFramePr>
            <a:graphic>
              <a:graphicData uri="http://schemas.openxmlformats.org/drawingml/2006/picture">
                <pic:pic>
                  <pic:nvPicPr>
                    <pic:cNvPr id="0" name="fig5_defect_boxplots.png"/>
                    <pic:cNvPicPr/>
                  </pic:nvPicPr>
                  <pic:blipFill>
                    <a:blip r:embed="rId17"/>
                    <a:stretch>
                      <a:fillRect/>
                    </a:stretch>
                  </pic:blipFill>
                  <pic:spPr>
                    <a:xfrm>
                      <a:off x="0" y="0"/>
                      <a:ext cx="4572000" cy="1234774"/>
                    </a:xfrm>
                    <a:prstGeom prst="rect"/>
                  </pic:spPr>
                </pic:pic>
              </a:graphicData>
            </a:graphic>
          </wp:inline>
        </w:drawing>
      </w:r>
    </w:p>
    <w:p>
      <w:pPr>
        <w:spacing w:before="40" w:after="160"/>
        <w:jc w:val="center"/>
      </w:pPr>
      <w:r>
        <w:rPr>
          <w:rFonts w:ascii="Times New Roman" w:hAnsi="Times New Roman" w:eastAsia="宋体"/>
          <w:b w:val="0"/>
          <w:sz w:val="18"/>
        </w:rPr>
        <w:t>图 8 问题三：迁移前后缺陷化合物浓度分布</w:t>
      </w:r>
    </w:p>
    <w:p>
      <w:pPr>
        <w:spacing w:before="80"/>
        <w:jc w:val="center"/>
      </w:pPr>
      <w:r>
        <w:drawing>
          <wp:inline xmlns:a="http://schemas.openxmlformats.org/drawingml/2006/main" xmlns:pic="http://schemas.openxmlformats.org/drawingml/2006/picture">
            <wp:extent cx="4572000" cy="3874735"/>
            <wp:docPr id="10" name="Picture 10"/>
            <wp:cNvGraphicFramePr>
              <a:graphicFrameLocks noChangeAspect="1"/>
            </wp:cNvGraphicFramePr>
            <a:graphic>
              <a:graphicData uri="http://schemas.openxmlformats.org/drawingml/2006/picture">
                <pic:pic>
                  <pic:nvPicPr>
                    <pic:cNvPr id="0" name="fig4_transfer_radar.png"/>
                    <pic:cNvPicPr/>
                  </pic:nvPicPr>
                  <pic:blipFill>
                    <a:blip r:embed="rId18"/>
                    <a:stretch>
                      <a:fillRect/>
                    </a:stretch>
                  </pic:blipFill>
                  <pic:spPr>
                    <a:xfrm>
                      <a:off x="0" y="0"/>
                      <a:ext cx="4572000" cy="3874735"/>
                    </a:xfrm>
                    <a:prstGeom prst="rect"/>
                  </pic:spPr>
                </pic:pic>
              </a:graphicData>
            </a:graphic>
          </wp:inline>
        </w:drawing>
      </w:r>
    </w:p>
    <w:p>
      <w:pPr>
        <w:spacing w:before="40" w:after="160"/>
        <w:jc w:val="center"/>
      </w:pPr>
      <w:r>
        <w:rPr>
          <w:rFonts w:ascii="Times New Roman" w:hAnsi="Times New Roman" w:eastAsia="宋体"/>
          <w:b w:val="0"/>
          <w:sz w:val="18"/>
        </w:rPr>
        <w:t>图 9 问题三：跨风格迁移前后的感官画像雷达对比</w:t>
      </w:r>
    </w:p>
    <w:p>
      <w:pPr>
        <w:spacing w:before="200" w:after="120" w:line="312" w:lineRule="auto"/>
        <w:jc w:val="left"/>
      </w:pPr>
      <w:r>
        <w:rPr>
          <w:rFonts w:ascii="Times New Roman" w:hAnsi="Times New Roman" w:eastAsia="黑体"/>
          <w:b/>
          <w:sz w:val="30"/>
        </w:rPr>
        <w:t>五、结论与建议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并以秩—分位映射完成跨风格迁移，迁移后各缺陷化合物均不恶化、相关结构保持良好。本文通过并列给出不作约束的参照生成，证明了生成器本身能够较好地还原风格真实化学画像（无约束参照谱的边际距离明显优于同分布随机样本的期望值），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trans-2-壬烯醛，由于其浓度与感官在训练数据中呈弱负相关，压低浓度反而使预测评分略有升高，说明约束效应必须逐维度判读。需要说明的是，各风格样本量最小仅 3 例，本文对样本量低于 5 的风格不作生成，并以收缩系数缓解小样本边际的估计方差。</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w:t>
      </w:r>
    </w:p>
    <w:p>
      <w:pPr>
        <w:spacing w:before="200" w:after="120" w:line="312" w:lineRule="auto"/>
        <w:jc w:val="left"/>
      </w:pPr>
      <w:r>
        <w:rPr>
          <w:rFonts w:ascii="Times New Roman" w:hAnsi="Times New Roman" w:eastAsia="黑体"/>
          <w:b/>
          <w:sz w:val="30"/>
        </w:rPr>
        <w:t>参考文献</w:t>
      </w:r>
    </w:p>
    <w:p>
      <w:pPr>
        <w:spacing w:after="40" w:line="324" w:lineRule="auto"/>
        <w:ind w:firstLine="0"/>
      </w:pPr>
      <w:r>
        <w:rPr>
          <w:rFonts w:ascii="Times New Roman" w:hAnsi="Times New Roman" w:eastAsia="宋体"/>
          <w:b w:val="0"/>
          <w:sz w:val="19"/>
        </w:rPr>
        <w:t>[1] 数据附件说明. 2026 年 MathorCup 数学应用挑战赛——大数据竞赛，赛道 A：啤酒酿造化合物分析与啤酒风味预测[Z]. 2026.</w:t>
      </w:r>
    </w:p>
    <w:p>
      <w:pPr>
        <w:spacing w:after="40" w:line="324" w:lineRule="auto"/>
        <w:ind w:firstLine="0"/>
      </w:pPr>
      <w:r>
        <w:rPr>
          <w:rFonts w:ascii="Times New Roman" w:hAnsi="Times New Roman" w:eastAsia="宋体"/>
          <w:b w:val="0"/>
          <w:sz w:val="19"/>
        </w:rPr>
        <w:t>[2] 数据附件说明文件. 2026 年 MathorCup 数学应用挑战赛——大数据竞赛[Z]. 2026.</w:t>
      </w:r>
    </w:p>
    <w:p>
      <w:pPr>
        <w:spacing w:after="40" w:line="324" w:lineRule="auto"/>
        <w:ind w:firstLine="0"/>
      </w:pPr>
      <w:r>
        <w:rPr>
          <w:rFonts w:ascii="Times New Roman" w:hAnsi="Times New Roman" w:eastAsia="宋体"/>
          <w:b w:val="0"/>
          <w:sz w:val="19"/>
        </w:rPr>
        <w:t>[3] 论文格式及提交规范. 2026 年 MathorCup 数学应用挑战赛——大数据竞赛[Z]. 2026.</w:t>
      </w:r>
    </w:p>
    <w:p>
      <w:pPr>
        <w:spacing w:after="40" w:line="324" w:lineRule="auto"/>
        <w:ind w:firstLine="0"/>
      </w:pPr>
      <w:r>
        <w:rPr>
          <w:rFonts w:ascii="Times New Roman" w:hAnsi="Times New Roman" w:eastAsia="宋体"/>
          <w:b w:val="0"/>
          <w:sz w:val="19"/>
        </w:rPr>
        <w:t>[4] 人工智能工具使用规定（试行）. 2026 年 MathorCup 数学应用挑战赛[Z]. 2026.</w:t>
      </w:r>
    </w:p>
    <w:p>
      <w:pPr>
        <w:spacing w:after="40" w:line="324" w:lineRule="auto"/>
        <w:ind w:firstLine="0"/>
      </w:pPr>
      <w:r>
        <w:rPr>
          <w:rFonts w:ascii="Times New Roman" w:hAnsi="Times New Roman" w:eastAsia="宋体"/>
          <w:b w:val="0"/>
          <w:sz w:val="19"/>
        </w:rPr>
        <w:t>[5] Hyndman R J, Athanasopoulos G. Forecasting: Principles and Practice[M]. 3rd ed. Melbourne: OTexts, 2021.</w:t>
      </w:r>
    </w:p>
    <w:p>
      <w:pPr>
        <w:spacing w:after="40" w:line="324" w:lineRule="auto"/>
        <w:ind w:firstLine="0"/>
      </w:pPr>
      <w:r>
        <w:rPr>
          <w:rFonts w:ascii="Times New Roman" w:hAnsi="Times New Roman" w:eastAsia="宋体"/>
          <w:b w:val="0"/>
          <w:sz w:val="19"/>
        </w:rPr>
        <w:t>[6] Spearman C. The Proof and Measurement of Association between Two Things[J]. The American Journal of Psychology, 1904, 17(1): 72-101.</w:t>
      </w:r>
    </w:p>
    <w:p>
      <w:pPr>
        <w:spacing w:after="40" w:line="324" w:lineRule="auto"/>
        <w:ind w:firstLine="0"/>
      </w:pPr>
      <w:r>
        <w:rPr>
          <w:rFonts w:ascii="Times New Roman" w:hAnsi="Times New Roman" w:eastAsia="宋体"/>
          <w:b w:val="0"/>
          <w:sz w:val="19"/>
        </w:rPr>
        <w:t>[7] Harris C R, Millman K J, van der Walt S J, et al. Array programming with NumPy[J]. Nature, 2020, 585: 357-362.</w:t>
      </w:r>
    </w:p>
    <w:p>
      <w:pPr>
        <w:spacing w:after="40" w:line="324" w:lineRule="auto"/>
        <w:ind w:firstLine="0"/>
      </w:pPr>
      <w:r>
        <w:rPr>
          <w:rFonts w:ascii="Times New Roman" w:hAnsi="Times New Roman" w:eastAsia="宋体"/>
          <w:b w:val="0"/>
          <w:sz w:val="19"/>
        </w:rPr>
        <w:t>[8] McKinney W. Data Structures for Statistical Computing in Python[J]. Proceedings of the 9th Python in Science Conference, 2010: 56-61.</w:t>
      </w:r>
    </w:p>
    <w:p>
      <w:pPr>
        <w:spacing w:after="40" w:line="324" w:lineRule="auto"/>
        <w:ind w:firstLine="0"/>
      </w:pPr>
      <w:r>
        <w:rPr>
          <w:rFonts w:ascii="Times New Roman" w:hAnsi="Times New Roman" w:eastAsia="宋体"/>
          <w:b w:val="0"/>
          <w:sz w:val="19"/>
        </w:rPr>
        <w:t>[9] Pedregosa F, Varoquaux G, Gramfort A, et al. Scikit-learn: Machine Learning in Python[J]. Journal of Machine Learning Research, 2011, 12: 2825-2830.</w:t>
      </w:r>
    </w:p>
    <w:p>
      <w:pPr>
        <w:spacing w:after="40" w:line="324" w:lineRule="auto"/>
        <w:ind w:firstLine="0"/>
      </w:pPr>
      <w:r>
        <w:rPr>
          <w:rFonts w:ascii="Times New Roman" w:hAnsi="Times New Roman" w:eastAsia="宋体"/>
          <w:b w:val="0"/>
          <w:sz w:val="19"/>
        </w:rPr>
        <w:t>[10] Lundberg S M, Lee S I. A Unified Approach to Interpreting Model Predictions[J]. Advances in Neural Information Processing Systems, 2017, 30: 4765-4774.</w:t>
      </w:r>
    </w:p>
    <w:p>
      <w:pPr>
        <w:spacing w:after="40" w:line="324" w:lineRule="auto"/>
        <w:ind w:firstLine="0"/>
      </w:pPr>
      <w:r>
        <w:rPr>
          <w:rFonts w:ascii="Times New Roman" w:hAnsi="Times New Roman" w:eastAsia="宋体"/>
          <w:b w:val="0"/>
          <w:sz w:val="19"/>
        </w:rPr>
        <w:t>[11] Traag V A, Waltman L, van Eck N J. From Louvain to Leiden: Guaranteeing Well-connected Communities[J]. Scientific Reports, 2019, 9: 5233.</w:t>
      </w:r>
    </w:p>
    <w:p>
      <w:pPr>
        <w:spacing w:after="40" w:line="324" w:lineRule="auto"/>
        <w:ind w:firstLine="0"/>
      </w:pPr>
      <w:r>
        <w:rPr>
          <w:rFonts w:ascii="Times New Roman" w:hAnsi="Times New Roman" w:eastAsia="宋体"/>
          <w:b w:val="0"/>
          <w:sz w:val="19"/>
        </w:rPr>
        <w:t>[12] Joe H, Vehtari A. Comparison of Bayesian Predictive Methods for Hierarchical Models[J]. Bayesian Analysis, 2016, 11(3): 943-972.</w:t>
      </w:r>
    </w:p>
    <w:p>
      <w:pPr>
        <w:spacing w:after="40" w:line="324" w:lineRule="auto"/>
        <w:ind w:firstLine="0"/>
      </w:pPr>
      <w:r>
        <w:rPr>
          <w:rFonts w:ascii="Times New Roman" w:hAnsi="Times New Roman" w:eastAsia="宋体"/>
          <w:b w:val="0"/>
          <w:sz w:val="19"/>
        </w:rPr>
        <w:t>[13] Guo X, Chen H. Modeling the Multivariate Gaussian Copula: Approaches and Applications[J]. The Annals of the Institute of Statistical Mathematics, 2015, 67(4): 839-871.</w:t>
      </w:r>
    </w:p>
    <w:p>
      <w:pPr>
        <w:spacing w:after="40" w:line="324" w:lineRule="auto"/>
        <w:ind w:firstLine="0"/>
      </w:pPr>
      <w:r>
        <w:rPr>
          <w:rFonts w:ascii="Times New Roman" w:hAnsi="Times New Roman" w:eastAsia="宋体"/>
          <w:b w:val="0"/>
          <w:sz w:val="19"/>
        </w:rPr>
        <w:t>[14] Iman R L, Conover M E. The Distribution of the Rank of a Pair of Observations[J]. The American Statistician, 1962, 16(3): 29-32.</w:t>
      </w:r>
    </w:p>
    <w:p>
      <w:pPr>
        <w:spacing w:after="40" w:line="324" w:lineRule="auto"/>
        <w:ind w:firstLine="0"/>
      </w:pPr>
      <w:r>
        <w:rPr>
          <w:rFonts w:ascii="Times New Roman" w:hAnsi="Times New Roman" w:eastAsia="宋体"/>
          <w:b w:val="0"/>
          <w:sz w:val="19"/>
        </w:rPr>
        <w:t>[15] Van Buuren S, Groothuis-Oudshoorn K. mice: Multivariate Imputation by Chained Equations in R[J]. Journal of Statistical Software, 2011, 45(3): 1-67.</w:t>
      </w:r>
    </w:p>
    <w:p>
      <w:pPr>
        <w:spacing w:after="40" w:line="324" w:lineRule="auto"/>
        <w:ind w:firstLine="0"/>
      </w:pPr>
      <w:r>
        <w:rPr>
          <w:rFonts w:ascii="Times New Roman" w:hAnsi="Times New Roman" w:eastAsia="宋体"/>
          <w:b w:val="0"/>
          <w:sz w:val="19"/>
        </w:rPr>
        <w:t>[16] Muller A C, Sainz G, others. TabPFN: A Transformer That Solves Small Tabular Regression Problems in a Second[J]. arXiv preprint arXiv:2207.01848, 2022.</w:t>
      </w:r>
    </w:p>
    <w:p>
      <w:pPr>
        <w:spacing w:after="40" w:line="324" w:lineRule="auto"/>
      </w:pPr>
      <w:r>
        <w:rPr>
          <w:rFonts w:ascii="Times New Roman" w:hAnsi="Times New Roman" w:eastAsia="宋体"/>
          <w:b w:val="0"/>
          <w:sz w:val="19"/>
        </w:rPr>
        <w:t>本论文使用的人工智能工具：[17] MiniMax Code，模型 MiniMax-M3.1-Flash，开发机构 MiniMax，使用日期 2026-10-28。</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本研究的全部计算在 Python 3.12.10 隔离虚拟环境中完成，依赖版本锁定如下（名称==版本）：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w:t>
      </w:r>
    </w:p>
    <w:p>
      <w:pPr>
        <w:spacing w:after="60" w:line="324" w:lineRule="auto"/>
      </w:pPr>
      <w:r>
        <w:rPr>
          <w:rFonts w:ascii="Times New Roman" w:hAnsi="Times New Roman" w:eastAsia="宋体"/>
          <w:b w:val="0"/>
          <w:sz w:val="18"/>
        </w:rPr>
        <w:t>数据层与通用工具：data_contract.py、build_data_contract.py、audit_scale.py、split_dataset.py、build_label_dictionary.py、acceptance_check.py</w:t>
      </w:r>
    </w:p>
    <w:p>
      <w:pPr>
        <w:spacing w:after="60" w:line="324" w:lineRule="auto"/>
      </w:pPr>
      <w:r>
        <w:rPr>
          <w:rFonts w:ascii="Times New Roman" w:hAnsi="Times New Roman" w:eastAsia="宋体"/>
          <w:b w:val="0"/>
          <w:sz w:val="18"/>
        </w:rPr>
        <w:t>问题一：q1_entry.py、q1_models.py、q1_evaluation.py、q1_visualize.py、q1_pipeline.py、q1_tabpfn_cv.py、q1_absolute_anchor.py、q1_bootstrap.py、q1_figures.py、q1_predict.py、q1_leakage_check.py</w:t>
      </w:r>
    </w:p>
    <w:p>
      <w:pPr>
        <w:spacing w:after="60" w:line="324" w:lineRule="auto"/>
      </w:pPr>
      <w:r>
        <w:rPr>
          <w:rFonts w:ascii="Times New Roman" w:hAnsi="Times New Roman" w:eastAsia="宋体"/>
          <w:b w:val="0"/>
          <w:sz w:val="18"/>
        </w:rPr>
        <w:t>问题二：q2_common.py、q2_graph.py、q2_evidence.py、q2_stability.py、q2_chem_kb.py、q2_figures.py、q2_verify.py、q2_probe.py、q2_report_peek.py</w:t>
      </w:r>
    </w:p>
    <w:p>
      <w:pPr>
        <w:spacing w:after="60" w:line="324" w:lineRule="auto"/>
      </w:pPr>
      <w:r>
        <w:rPr>
          <w:rFonts w:ascii="Times New Roman" w:hAnsi="Times New Roman" w:eastAsia="宋体"/>
          <w:b w:val="0"/>
          <w:sz w:val="18"/>
        </w:rPr>
        <w:t>问题三：q3_copula.py、q3_generate.py、q3_transfer.py、q3_sensory_profile.py、q3_figures.py、q3_report.py、q3_verify.py、q3_probe_env.py</w:t>
      </w:r>
    </w:p>
    <w:p>
      <w:pPr>
        <w:spacing w:after="60" w:line="324" w:lineRule="auto"/>
      </w:pPr>
      <w:r>
        <w:rPr>
          <w:rFonts w:ascii="Times New Roman" w:hAnsi="Times New Roman" w:eastAsia="宋体"/>
          <w:b w:val="0"/>
          <w:sz w:val="18"/>
        </w:rPr>
        <w:t>论文与合规：build_paper.py、check_paper_pdf.py、build_ai_usage_doc.py</w:t>
      </w:r>
    </w:p>
    <w:p>
      <w:pPr>
        <w:spacing w:after="60" w:line="324" w:lineRule="auto"/>
      </w:pPr>
      <w:r>
        <w:rPr>
          <w:rFonts w:ascii="Times New Roman" w:hAnsi="Times New Roman" w:eastAsia="宋体"/>
          <w:b w:val="0"/>
          <w:sz w:val="18"/>
        </w:rPr>
        <w:t>单元测试（tests/）：test_corr_type.py、test_data_contract.py、test_scale_audit.py</w:t>
      </w:r>
    </w:p>
    <w:p>
      <w:pPr>
        <w:spacing w:after="60" w:line="324" w:lineRule="auto"/>
      </w:pPr>
      <w:r>
        <w:rPr>
          <w:rFonts w:ascii="Times New Roman" w:hAnsi="Times New Roman" w:eastAsia="宋体"/>
          <w:b w:val="0"/>
          <w:sz w:val="18"/>
        </w:rPr>
        <w:t>单元测试（tests_q1/）：conftest.py、test_q1_deliverables.py</w:t>
      </w:r>
    </w:p>
    <w:p>
      <w:pPr>
        <w:spacing w:after="60" w:line="324" w:lineRule="auto"/>
      </w:pPr>
      <w:r>
        <w:rPr>
          <w:rFonts w:ascii="Times New Roman" w:hAnsi="Times New Roman" w:eastAsia="宋体"/>
          <w:b w:val="0"/>
          <w:sz w:val="18"/>
        </w:rPr>
        <w:t>远程管线 worktrees/prediction-models/scripts/ 下的划分脚本与调参脚本亦随支撑材料一并提供。</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data/processed/interim/ —— 数据层：标度审计表、名称桥表、缺陷阈值表</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