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特征矩阵。问题一以原始存储尺度的231个数值特征预测50个感官维度，最终采用保留缺失值、均匀重复训练上下文的 TabPFN 3.5，在相同75款留出酒上取得平均R²=0.240729，相对逐维GBR的0.213319提高0.027411；同时交付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系数双重量化稳定性。新增留出检验中，训练集重选150条候选后有83条通过FDR校正；主结果32条稳健关联中有30条通过，9条同时具有化学合理性的关联全部通过。问题三以全局高斯 Copula 加风格条件边际生成化合谱，在硬约束合规层面实现零违规，48个留出评估单元中，约束合规率由13.5%提高至100%，候选接受率均值为12.7%；42个单元的能量距离和MMD²高于无约束参照。随后以秩—分位映射完成跨风格迁移。本文进一步以 183 维消费者描述符与 189 款啤酒的零售价格作为外部验证，并重新检验缺陷化合物的剂量—响应关系；由此构成从化学数据、感官预测到关联解释与风格设计的完整分析流程。</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2</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3.3.1 样本概况与描述性统计</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6</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问题一：预训练感官回归与分级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8</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10</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13</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17</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19</w:t>
      </w:r>
    </w:p>
    <w:p>
      <w:pPr>
        <w:tabs>
          <w:tab w:pos="8787" w:val="right" w:leader="dot"/>
        </w:tabs>
        <w:spacing w:after="40"/>
        <w:ind w:left="0"/>
      </w:pPr>
      <w:r>
        <w:rPr>
          <w:rFonts w:ascii="Times New Roman" w:hAnsi="Times New Roman" w:eastAsia="宋体"/>
          <w:b w:val="0"/>
          <w:sz w:val="21"/>
        </w:rPr>
        <w:t>六、方法分析与应用</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6.1 预测与解释的衔接</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6.2 风格生成与应用</w:t>
      </w:r>
      <w:r>
        <w:rPr>
          <w:rFonts w:ascii="Times New Roman" w:hAnsi="Times New Roman" w:eastAsia="宋体"/>
          <w:b w:val="0"/>
          <w:sz w:val="20"/>
        </w:rPr>
        <w:tab/>
        <w:t>24</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25</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本文基于Schreurs等人发表于Nature Communications的啤酒化学与感官数据[1]，沿用其化学成分预测感官特征、再解释关键化合物的研究框架。围绕赛题，本文将数据审计、感官预测、关联解释与风格生成组织为连续的分析流程。</w:t>
      </w:r>
    </w:p>
    <w:p>
      <w:pPr>
        <w:spacing w:after="80" w:line="324" w:lineRule="auto"/>
        <w:ind w:firstLine="420"/>
      </w:pPr>
      <w:r>
        <w:rPr>
          <w:rFonts w:ascii="Times New Roman" w:hAnsi="Times New Roman" w:eastAsia="宋体"/>
          <w:b w:val="0"/>
          <w:sz w:val="21"/>
        </w:rPr>
        <w:t>本文的扩展集中在三个方面：首先统一附件的标度与名称映射，为建模建立一致的数据基础；其次复现树模型并引入小样本预训练模型TabPFN，通过相同留出样本比较选择预测方案；最后结合化合物网络、重采样稳定性和风格条件生成，将预测结果延伸为关键成分解释与化合谱设计。消费者描述符、价格及剂量—响应分析用于补充感知与应用层面的证据。</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化学组成如何形成感官特征、哪些化合物最关键、以及如何据此设计新的化合物谱</w:t>
      </w:r>
      <w:r>
        <w:rPr>
          <w:rFonts w:ascii="Times New Roman" w:hAnsi="Times New Roman" w:eastAsia="宋体"/>
          <w:b w:val="0"/>
          <w:sz w:val="21"/>
        </w:rPr>
        <w:t>。对应到三问：第一问用化学指纹预测感官评分，回答「感官表现如何」；第二问把感官维度拆解到具体化合物，回答「哪些成分与感官表现相关」；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款商用啤酒的化学测量数据、感官品评数据与多张相关矩阵为输入，要求完成三件相互衔接的任务：其一是在感官标签仅以标准化形式给出的条件下，给出可解释的0–6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研究流程首先完成三项基础工作：逐列裁定 1.csv 的标度，重算相关矩阵并与附件逐元素比对，再通过跨文件名称桥把化学量、感官维度、阈值和外部先验对齐。随后，本文区分检出限造成的地板值与真正缺失，将所有化学量统一到 log10(mg/L) 口径，并固定按细分风格分层的 175/75 训练—留出划分。模型选择和参数调整只使用训练样本，留出样本仅用于最终评价。这样的顺序把数据审计、预测、关联和生成连接起来，也使每一步的证据来源能够回溯。</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近期 flavoromics 研究也表明，多平台化学—感官证据可用于筛查候选化合物，但不同实验平台的结果仍需校准后才能用于同一分析[38]。</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TabDPT[36] 可作为后续的表格基础模型对照；本文暂不把它纳入主比较，以便先完成统一特征、固定切分和可复核指标下的基线评估。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是一种低成本的分解方案[6]；秩—分位映射则是相关结构与边际分布解耦的经典做法[7]，可在保持秩相关不变的前提下把样本迁移到另一组边际上。联合预测区间与 Copula 依赖结构的研究（如 CopulaCPTS[37]）可启发不确定性扩展，但其时间序列保证不能直接改写为本项目静态数据保证。本文的问题三正是这一组合：Copula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原始工作与数据来源[1][38]；2.2 感官预测与可解释机器学习[2][3][4][11][29][36]；2.3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实际使用的软件与运行环境[35]；2.4 合成数据、Copula 与秩—分位映射[37]。</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3"/>
        </w:rPr>
        <w:t>3.3.1 样本概况与描述性统计</w:t>
      </w:r>
    </w:p>
    <w:p>
      <w:pPr>
        <w:spacing w:after="80" w:line="324" w:lineRule="auto"/>
        <w:ind w:firstLine="420"/>
      </w:pPr>
      <w:r>
        <w:rPr>
          <w:rFonts w:ascii="Times New Roman" w:hAnsi="Times New Roman" w:eastAsia="宋体"/>
          <w:b w:val="0"/>
          <w:sz w:val="21"/>
        </w:rPr>
        <w:t>完成语义裁定后，先对样本规模、缺失结构和目标分布做描述性检查，再进入模型比较。这一步的作用不是增加一个未经预注册的筛选标准，而是判断后续指标的适用范围：化学特征的原始缺失很少，但风格分层高度不均衡；感官目标均值接近零、维度间离散程度不同，说明宏平均指标需要与逐维结果并读。</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数据对象</w:t>
            </w:r>
          </w:p>
        </w:tc>
        <w:tc>
          <w:tcPr>
            <w:tcW w:type="dxa" w:w="2267"/>
          </w:tcPr>
          <w:p>
            <w:pPr>
              <w:jc w:val="center"/>
            </w:pPr>
            <w:r/>
            <w:r>
              <w:rPr>
                <w:rFonts w:ascii="Times New Roman" w:hAnsi="Times New Roman" w:eastAsia="黑体"/>
                <w:b/>
                <w:sz w:val="16"/>
              </w:rPr>
              <w:t>规模</w:t>
            </w:r>
          </w:p>
        </w:tc>
        <w:tc>
          <w:tcPr>
            <w:tcW w:type="dxa" w:w="2267"/>
          </w:tcPr>
          <w:p>
            <w:pPr>
              <w:jc w:val="center"/>
            </w:pPr>
            <w:r/>
            <w:r>
              <w:rPr>
                <w:rFonts w:ascii="Times New Roman" w:hAnsi="Times New Roman" w:eastAsia="黑体"/>
                <w:b/>
                <w:sz w:val="16"/>
              </w:rPr>
              <w:t>分布与缺失概况</w:t>
            </w:r>
          </w:p>
        </w:tc>
        <w:tc>
          <w:tcPr>
            <w:tcW w:type="dxa" w:w="2267"/>
          </w:tcPr>
          <w:p>
            <w:pPr>
              <w:jc w:val="center"/>
            </w:pPr>
            <w:r/>
            <w:r>
              <w:rPr>
                <w:rFonts w:ascii="Times New Roman" w:hAnsi="Times New Roman" w:eastAsia="黑体"/>
                <w:b/>
                <w:sz w:val="16"/>
              </w:rPr>
              <w:t>处理与解释</w:t>
            </w:r>
          </w:p>
        </w:tc>
      </w:tr>
      <w:tr>
        <w:tc>
          <w:tcPr>
            <w:tcW w:type="dxa" w:w="2267"/>
          </w:tcPr>
          <w:p>
            <w:pPr>
              <w:jc w:val="center"/>
            </w:pPr>
            <w:r/>
            <w:r>
              <w:rPr>
                <w:rFonts w:ascii="Times New Roman" w:hAnsi="Times New Roman" w:eastAsia="宋体"/>
                <w:b w:val="0"/>
                <w:sz w:val="16"/>
              </w:rPr>
              <w:t>化学测量</w:t>
            </w:r>
          </w:p>
        </w:tc>
        <w:tc>
          <w:tcPr>
            <w:tcW w:type="dxa" w:w="2267"/>
          </w:tcPr>
          <w:p>
            <w:pPr>
              <w:jc w:val="center"/>
            </w:pPr>
            <w:r/>
            <w:r>
              <w:rPr>
                <w:rFonts w:ascii="Times New Roman" w:hAnsi="Times New Roman" w:eastAsia="宋体"/>
                <w:b w:val="0"/>
                <w:sz w:val="16"/>
              </w:rPr>
              <w:t>250 × 231；保留 227 个建模特征</w:t>
            </w:r>
          </w:p>
        </w:tc>
        <w:tc>
          <w:tcPr>
            <w:tcW w:type="dxa" w:w="2267"/>
          </w:tcPr>
          <w:p>
            <w:pPr>
              <w:jc w:val="center"/>
            </w:pPr>
            <w:r/>
            <w:r>
              <w:rPr>
                <w:rFonts w:ascii="Times New Roman" w:hAnsi="Times New Roman" w:eastAsia="宋体"/>
                <w:b w:val="0"/>
                <w:sz w:val="16"/>
              </w:rPr>
              <w:t>原始缺失 73 格（0.13%）；统一矩阵缺失 0 格</w:t>
            </w:r>
          </w:p>
        </w:tc>
        <w:tc>
          <w:tcPr>
            <w:tcW w:type="dxa" w:w="2267"/>
          </w:tcPr>
          <w:p>
            <w:pPr>
              <w:jc w:val="center"/>
            </w:pPr>
            <w:r/>
            <w:r>
              <w:rPr>
                <w:rFonts w:ascii="Times New Roman" w:hAnsi="Times New Roman" w:eastAsia="宋体"/>
                <w:b w:val="0"/>
                <w:sz w:val="16"/>
              </w:rPr>
              <w:t>逐列裁定标度；剔除 4 个未经验证的派生求和列</w:t>
            </w:r>
          </w:p>
        </w:tc>
      </w:tr>
      <w:tr>
        <w:tc>
          <w:tcPr>
            <w:tcW w:type="dxa" w:w="2267"/>
          </w:tcPr>
          <w:p>
            <w:pPr>
              <w:jc w:val="center"/>
            </w:pPr>
            <w:r/>
            <w:r>
              <w:rPr>
                <w:rFonts w:ascii="Times New Roman" w:hAnsi="Times New Roman" w:eastAsia="宋体"/>
                <w:b w:val="0"/>
                <w:sz w:val="16"/>
              </w:rPr>
              <w:t>感官目标</w:t>
            </w:r>
          </w:p>
        </w:tc>
        <w:tc>
          <w:tcPr>
            <w:tcW w:type="dxa" w:w="2267"/>
          </w:tcPr>
          <w:p>
            <w:pPr>
              <w:jc w:val="center"/>
            </w:pPr>
            <w:r/>
            <w:r>
              <w:rPr>
                <w:rFonts w:ascii="Times New Roman" w:hAnsi="Times New Roman" w:eastAsia="宋体"/>
                <w:b w:val="0"/>
                <w:sz w:val="16"/>
              </w:rPr>
              <w:t>250 × 50；Aroma 15、Flavour 15、通用维度 20</w:t>
            </w:r>
          </w:p>
        </w:tc>
        <w:tc>
          <w:tcPr>
            <w:tcW w:type="dxa" w:w="2267"/>
          </w:tcPr>
          <w:p>
            <w:pPr>
              <w:jc w:val="center"/>
            </w:pPr>
            <w:r/>
            <w:r>
              <w:rPr>
                <w:rFonts w:ascii="Times New Roman" w:hAnsi="Times New Roman" w:eastAsia="宋体"/>
                <w:b w:val="0"/>
                <w:sz w:val="16"/>
              </w:rPr>
              <w:t>缺失 0 格；维度均值范围 -0.049–0.063，标准差范围 0.370–0.858</w:t>
            </w:r>
          </w:p>
        </w:tc>
        <w:tc>
          <w:tcPr>
            <w:tcW w:type="dxa" w:w="2267"/>
          </w:tcPr>
          <w:p>
            <w:pPr>
              <w:jc w:val="center"/>
            </w:pPr>
            <w:r/>
            <w:r>
              <w:rPr>
                <w:rFonts w:ascii="Times New Roman" w:hAnsi="Times New Roman" w:eastAsia="宋体"/>
                <w:b w:val="0"/>
                <w:sz w:val="16"/>
              </w:rPr>
              <w:t>作为连续回归目标；不把标准化值解释为原始 0–6 评分</w:t>
            </w:r>
          </w:p>
        </w:tc>
      </w:tr>
      <w:tr>
        <w:tc>
          <w:tcPr>
            <w:tcW w:type="dxa" w:w="2267"/>
          </w:tcPr>
          <w:p>
            <w:pPr>
              <w:jc w:val="center"/>
            </w:pPr>
            <w:r/>
            <w:r>
              <w:rPr>
                <w:rFonts w:ascii="Times New Roman" w:hAnsi="Times New Roman" w:eastAsia="宋体"/>
                <w:b w:val="0"/>
                <w:sz w:val="16"/>
              </w:rPr>
              <w:t>风格分层</w:t>
            </w:r>
          </w:p>
        </w:tc>
        <w:tc>
          <w:tcPr>
            <w:tcW w:type="dxa" w:w="2267"/>
          </w:tcPr>
          <w:p>
            <w:pPr>
              <w:jc w:val="center"/>
            </w:pPr>
            <w:r/>
            <w:r>
              <w:rPr>
                <w:rFonts w:ascii="Times New Roman" w:hAnsi="Times New Roman" w:eastAsia="宋体"/>
                <w:b w:val="0"/>
                <w:sz w:val="16"/>
              </w:rPr>
              <w:t>22 个细分风格；每个风格样本数 3–31，中位数 10</w:t>
            </w:r>
          </w:p>
        </w:tc>
        <w:tc>
          <w:tcPr>
            <w:tcW w:type="dxa" w:w="2267"/>
          </w:tcPr>
          <w:p>
            <w:pPr>
              <w:jc w:val="center"/>
            </w:pPr>
            <w:r/>
            <w:r>
              <w:rPr>
                <w:rFonts w:ascii="Times New Roman" w:hAnsi="Times New Roman" w:eastAsia="宋体"/>
                <w:b w:val="0"/>
                <w:sz w:val="16"/>
              </w:rPr>
              <w:t>最小风格仅 3 款；训练/留出合计 175/75</w:t>
            </w:r>
          </w:p>
        </w:tc>
        <w:tc>
          <w:tcPr>
            <w:tcW w:type="dxa" w:w="2267"/>
          </w:tcPr>
          <w:p>
            <w:pPr>
              <w:jc w:val="center"/>
            </w:pPr>
            <w:r/>
            <w:r>
              <w:rPr>
                <w:rFonts w:ascii="Times New Roman" w:hAnsi="Times New Roman" w:eastAsia="宋体"/>
                <w:b w:val="0"/>
                <w:sz w:val="16"/>
              </w:rPr>
              <w:t>固定风格分层切分；小样本风格仅作条件生成的谨慎参照</w:t>
            </w:r>
          </w:p>
        </w:tc>
      </w:tr>
    </w:tbl>
    <w:p>
      <w:pPr>
        <w:spacing w:before="40" w:after="160"/>
        <w:jc w:val="center"/>
      </w:pPr>
      <w:r>
        <w:rPr>
          <w:rFonts w:ascii="Times New Roman" w:hAnsi="Times New Roman" w:eastAsia="宋体"/>
          <w:b w:val="0"/>
          <w:sz w:val="18"/>
        </w:rPr>
        <w:t>表 1  建模样本与目标的描述性统计</w:t>
      </w:r>
    </w:p>
    <w:p>
      <w:pPr>
        <w:spacing w:after="80" w:line="324" w:lineRule="auto"/>
        <w:ind w:firstLine="420"/>
      </w:pPr>
      <w:r>
        <w:rPr>
          <w:rFonts w:ascii="Times New Roman" w:hAnsi="Times New Roman" w:eastAsia="宋体"/>
          <w:b w:val="0"/>
          <w:sz w:val="21"/>
        </w:rPr>
        <w:t>由此，本文把 175/75 切分视为固定的评价协议，而不是把样本较少的风格重新合并；所有缺失处理、尺度转换和特征删减均发生在统一矩阵形成阶段，并通过后续回归测试锁定。描述性统计也解释了为什么问题三报告每个风格的真实留出样本量、问题一报告逐维指标，而不只给出一个看似精确的总体分数。</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2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3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问题一：预训练感官回归与分级</w:t>
      </w:r>
    </w:p>
    <w:p>
      <w:pPr>
        <w:spacing w:after="80" w:line="324" w:lineRule="auto"/>
        <w:ind w:firstLine="420"/>
      </w:pPr>
      <w:r>
        <w:rPr>
          <w:rFonts w:ascii="Times New Roman" w:hAnsi="Times New Roman" w:eastAsia="宋体"/>
          <w:b w:val="0"/>
          <w:sz w:val="21"/>
        </w:rPr>
        <w:t>问题一以 1.csv 原始存储尺度的 231 个数值特征预测 4.csv 的 50 个感官维度，保留缺失值，不使用风格标识或消费者描述符作为输入。固定 seed=0，按风格分层划分 175 款训练酒和 75 款留出酒；恢复作者训练样本顺序后，在训练集内使用不打乱的五折选择参数。GBR、RF 分别穷举作者原始 648、2304 组参数，TabPFN 搜索 18 组，多任务神经网络搜索 48 组。评价沿用原论文的决定系数R²，逐维计算后取平均。</w:t>
      </w:r>
    </w:p>
    <w:p>
      <w:pPr>
        <w:spacing w:after="80" w:line="324" w:lineRule="auto"/>
        <w:ind w:firstLine="420"/>
      </w:pPr>
      <w:r>
        <w:rPr>
          <w:rFonts w:ascii="Times New Roman" w:hAnsi="Times New Roman" w:eastAsia="宋体"/>
          <w:b w:val="0"/>
          <w:sz w:val="21"/>
        </w:rPr>
        <w:t>最终模型采用 TabPFN 3.5 本地预训练权重，n_estimators=4、softmax_temperature=1.0、average_before_softmax=True，不更新预训练权重。将每个训练样本按原顺序重复一次作为推断上下文：五折内 140 款训练酒对应 280 行，最终 175 款训练酒对应 350 行；验证与留出样本不重复。该方案不改变样本值，也不增加独立样本数。GBR/RF 的均值填补和缩放仅在训练折内拟合，多任务网络采用训练局部缩放及可学习缺失值替代参数。原有统一尺度 227 特征模型保留为对照。AI 辅助：Codex（GPT-6，OpenAI，2026-10-30）协助整理实验结果与正文，待团队人工复核。</w:t>
      </w:r>
    </w:p>
    <w:p>
      <w:pPr>
        <w:spacing w:after="80" w:line="324" w:lineRule="auto"/>
        <w:ind w:firstLine="420"/>
      </w:pPr>
      <w:r>
        <w:rPr>
          <w:rFonts w:ascii="Times New Roman" w:hAnsi="Times New Roman" w:eastAsia="宋体"/>
          <w:b w:val="0"/>
          <w:sz w:val="21"/>
        </w:rPr>
        <w:t>预测首先在4.csv的处理后尺度上进行，再按题目要求输出0–6级。相对分级使用训练标签的六个七分位切点；具有明确化学载体的维度另给出阈值锚定分。锚定以化合物感知阈值和训练集高分位确定两个端点，通过正向相关、锚点位置、映射带宽与区间覆盖筛选适用维度。这两种映射用于表达预测强度，属于构造评分。</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消费者层采用7.csv中有效的183维描述符，与50维品评组感官并行建模。通过语义配对比较观测值和预测值的相关性，分析化学模型在两类感知描述中的共同信息。</w:t>
      </w:r>
    </w:p>
    <w:p>
      <w:pPr>
        <w:spacing w:after="80" w:line="324" w:lineRule="auto"/>
        <w:ind w:firstLine="420"/>
      </w:pPr>
      <w:r>
        <w:rPr>
          <w:rFonts w:ascii="Times New Roman" w:hAnsi="Times New Roman" w:eastAsia="宋体"/>
          <w:b w:val="0"/>
          <w:sz w:val="21"/>
        </w:rPr>
        <w:t>价格分析使用至少两家零售商有记录的189款酒，以零售价格为市场层面的观察量，回归中控制酒精含量与风格。价格与消费者描述符分别补充市场和感知两个维度，形成对化学—感官映射的应用分析。</w:t>
      </w:r>
    </w:p>
    <w:p>
      <w:pPr>
        <w:spacing w:before="200" w:after="120" w:line="312" w:lineRule="auto"/>
        <w:jc w:val="left"/>
      </w:pPr>
      <w:r>
        <w:rPr>
          <w:rFonts w:ascii="Times New Roman" w:hAnsi="Times New Roman" w:eastAsia="黑体"/>
          <w:b/>
          <w:sz w:val="30"/>
        </w:rPr>
        <w:t>五、实验结果</w:t>
      </w:r>
    </w:p>
    <w:p>
      <w:pPr>
        <w:keepNext/>
        <w:spacing w:before="140" w:after="80" w:line="312" w:lineRule="auto"/>
        <w:jc w:val="left"/>
      </w:pPr>
      <w:r>
        <w:rPr>
          <w:rFonts w:ascii="Times New Roman" w:hAnsi="Times New Roman" w:eastAsia="黑体"/>
          <w:b/>
          <w:sz w:val="26"/>
        </w:rPr>
        <w:t>5.1 问题一：感官评分预测与 0–6 分制</w:t>
      </w:r>
    </w:p>
    <w:p>
      <w:pPr>
        <w:keepNext/>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keepNext/>
              <w:jc w:val="center"/>
            </w:pPr>
            <w:r/>
            <w:r>
              <w:rPr>
                <w:rFonts w:ascii="Times New Roman" w:hAnsi="Times New Roman" w:eastAsia="黑体"/>
                <w:b/>
                <w:sz w:val="16"/>
              </w:rPr>
              <w:t>模型</w:t>
            </w:r>
          </w:p>
        </w:tc>
        <w:tc>
          <w:tcPr>
            <w:tcW w:type="dxa" w:w="4535"/>
          </w:tcPr>
          <w:p>
            <w:pPr>
              <w:keepNext/>
              <w:jc w:val="center"/>
            </w:pPr>
            <w:r/>
            <w:r>
              <w:rPr>
                <w:rFonts w:ascii="Times New Roman" w:hAnsi="Times New Roman" w:eastAsia="黑体"/>
                <w:b/>
                <w:sz w:val="16"/>
              </w:rPr>
              <w:t>平均R²</w:t>
            </w:r>
          </w:p>
        </w:tc>
      </w:tr>
      <w:tr>
        <w:tc>
          <w:tcPr>
            <w:tcW w:type="dxa" w:w="4535"/>
          </w:tcPr>
          <w:p>
            <w:pPr>
              <w:keepNext/>
              <w:jc w:val="center"/>
            </w:pPr>
            <w:r/>
            <w:r>
              <w:rPr>
                <w:rFonts w:ascii="Times New Roman" w:hAnsi="Times New Roman" w:eastAsia="宋体"/>
                <w:b w:val="0"/>
                <w:sz w:val="16"/>
              </w:rPr>
              <w:t>逐维GBR</w:t>
            </w:r>
          </w:p>
        </w:tc>
        <w:tc>
          <w:tcPr>
            <w:tcW w:type="dxa" w:w="4535"/>
          </w:tcPr>
          <w:p>
            <w:pPr>
              <w:keepNext/>
              <w:jc w:val="center"/>
            </w:pPr>
            <w:r/>
            <w:r>
              <w:rPr>
                <w:rFonts w:ascii="Times New Roman" w:hAnsi="Times New Roman" w:eastAsia="宋体"/>
                <w:b w:val="0"/>
                <w:sz w:val="16"/>
              </w:rPr>
              <w:t>0.2133</w:t>
            </w:r>
          </w:p>
        </w:tc>
      </w:tr>
      <w:tr>
        <w:tc>
          <w:tcPr>
            <w:tcW w:type="dxa" w:w="4535"/>
          </w:tcPr>
          <w:p>
            <w:pPr>
              <w:keepNext/>
              <w:jc w:val="center"/>
            </w:pPr>
            <w:r/>
            <w:r>
              <w:rPr>
                <w:rFonts w:ascii="Times New Roman" w:hAnsi="Times New Roman" w:eastAsia="宋体"/>
                <w:b w:val="0"/>
                <w:sz w:val="16"/>
              </w:rPr>
              <w:t>分组ET</w:t>
            </w:r>
          </w:p>
        </w:tc>
        <w:tc>
          <w:tcPr>
            <w:tcW w:type="dxa" w:w="4535"/>
          </w:tcPr>
          <w:p>
            <w:pPr>
              <w:keepNext/>
              <w:jc w:val="center"/>
            </w:pPr>
            <w:r/>
            <w:r>
              <w:rPr>
                <w:rFonts w:ascii="Times New Roman" w:hAnsi="Times New Roman" w:eastAsia="宋体"/>
                <w:b w:val="0"/>
                <w:sz w:val="16"/>
              </w:rPr>
              <w:t>0.2170</w:t>
            </w:r>
          </w:p>
        </w:tc>
      </w:tr>
      <w:tr>
        <w:tc>
          <w:tcPr>
            <w:tcW w:type="dxa" w:w="4535"/>
          </w:tcPr>
          <w:p>
            <w:pPr>
              <w:keepNext/>
              <w:jc w:val="center"/>
            </w:pPr>
            <w:r/>
            <w:r>
              <w:rPr>
                <w:rFonts w:ascii="Times New Roman" w:hAnsi="Times New Roman" w:eastAsia="宋体"/>
                <w:b w:val="0"/>
                <w:sz w:val="16"/>
              </w:rPr>
              <w:t>全局ET</w:t>
            </w:r>
          </w:p>
        </w:tc>
        <w:tc>
          <w:tcPr>
            <w:tcW w:type="dxa" w:w="4535"/>
          </w:tcPr>
          <w:p>
            <w:pPr>
              <w:keepNext/>
              <w:jc w:val="center"/>
            </w:pPr>
            <w:r/>
            <w:r>
              <w:rPr>
                <w:rFonts w:ascii="Times New Roman" w:hAnsi="Times New Roman" w:eastAsia="宋体"/>
                <w:b w:val="0"/>
                <w:sz w:val="16"/>
              </w:rPr>
              <w:t>0.2209</w:t>
            </w:r>
          </w:p>
        </w:tc>
      </w:tr>
      <w:tr>
        <w:tc>
          <w:tcPr>
            <w:tcW w:type="dxa" w:w="4535"/>
          </w:tcPr>
          <w:p>
            <w:pPr>
              <w:keepNext/>
              <w:jc w:val="center"/>
            </w:pPr>
            <w:r/>
            <w:r>
              <w:rPr>
                <w:rFonts w:ascii="Times New Roman" w:hAnsi="Times New Roman" w:eastAsia="宋体"/>
                <w:b w:val="0"/>
                <w:sz w:val="16"/>
              </w:rPr>
              <w:t>PLS</w:t>
            </w:r>
          </w:p>
        </w:tc>
        <w:tc>
          <w:tcPr>
            <w:tcW w:type="dxa" w:w="4535"/>
          </w:tcPr>
          <w:p>
            <w:pPr>
              <w:keepNext/>
              <w:jc w:val="center"/>
            </w:pPr>
            <w:r/>
            <w:r>
              <w:rPr>
                <w:rFonts w:ascii="Times New Roman" w:hAnsi="Times New Roman" w:eastAsia="宋体"/>
                <w:b w:val="0"/>
                <w:sz w:val="16"/>
              </w:rPr>
              <w:t>0.2022</w:t>
            </w:r>
          </w:p>
        </w:tc>
      </w:tr>
      <w:tr>
        <w:tc>
          <w:tcPr>
            <w:tcW w:type="dxa" w:w="4535"/>
          </w:tcPr>
          <w:p>
            <w:pPr>
              <w:keepNext/>
              <w:jc w:val="center"/>
            </w:pPr>
            <w:r/>
            <w:r>
              <w:rPr>
                <w:rFonts w:ascii="Times New Roman" w:hAnsi="Times New Roman" w:eastAsia="宋体"/>
                <w:b w:val="0"/>
                <w:sz w:val="16"/>
              </w:rPr>
              <w:t>多任务弹性网</w:t>
            </w:r>
          </w:p>
        </w:tc>
        <w:tc>
          <w:tcPr>
            <w:tcW w:type="dxa" w:w="4535"/>
          </w:tcPr>
          <w:p>
            <w:pPr>
              <w:keepNext/>
              <w:jc w:val="center"/>
            </w:pPr>
            <w:r/>
            <w:r>
              <w:rPr>
                <w:rFonts w:ascii="Times New Roman" w:hAnsi="Times New Roman" w:eastAsia="宋体"/>
                <w:b w:val="0"/>
                <w:sz w:val="16"/>
              </w:rPr>
              <w:t>0.2052</w:t>
            </w:r>
          </w:p>
        </w:tc>
      </w:tr>
      <w:tr>
        <w:tc>
          <w:tcPr>
            <w:tcW w:type="dxa" w:w="4535"/>
          </w:tcPr>
          <w:p>
            <w:pPr>
              <w:keepNext/>
              <w:jc w:val="center"/>
            </w:pPr>
            <w:r/>
            <w:r>
              <w:rPr>
                <w:rFonts w:ascii="Times New Roman" w:hAnsi="Times New Roman" w:eastAsia="宋体"/>
                <w:b w:val="0"/>
                <w:sz w:val="16"/>
              </w:rPr>
              <w:t>岭回归</w:t>
            </w:r>
          </w:p>
        </w:tc>
        <w:tc>
          <w:tcPr>
            <w:tcW w:type="dxa" w:w="4535"/>
          </w:tcPr>
          <w:p>
            <w:pPr>
              <w:keepNext/>
              <w:jc w:val="center"/>
            </w:pPr>
            <w:r/>
            <w:r>
              <w:rPr>
                <w:rFonts w:ascii="Times New Roman" w:hAnsi="Times New Roman" w:eastAsia="宋体"/>
                <w:b w:val="0"/>
                <w:sz w:val="16"/>
              </w:rPr>
              <w:t>0.1892</w:t>
            </w:r>
          </w:p>
        </w:tc>
      </w:tr>
      <w:tr>
        <w:tc>
          <w:tcPr>
            <w:tcW w:type="dxa" w:w="4535"/>
          </w:tcPr>
          <w:p>
            <w:pPr>
              <w:keepNext/>
              <w:jc w:val="center"/>
            </w:pPr>
            <w:r/>
            <w:r>
              <w:rPr>
                <w:rFonts w:ascii="Times New Roman" w:hAnsi="Times New Roman" w:eastAsia="宋体"/>
                <w:b w:val="0"/>
                <w:sz w:val="16"/>
              </w:rPr>
              <w:t>均值基线</w:t>
            </w:r>
          </w:p>
        </w:tc>
        <w:tc>
          <w:tcPr>
            <w:tcW w:type="dxa" w:w="4535"/>
          </w:tcPr>
          <w:p>
            <w:pPr>
              <w:keepNext/>
              <w:jc w:val="center"/>
            </w:pPr>
            <w:r/>
            <w:r>
              <w:rPr>
                <w:rFonts w:ascii="Times New Roman" w:hAnsi="Times New Roman" w:eastAsia="宋体"/>
                <w:b w:val="0"/>
                <w:sz w:val="16"/>
              </w:rPr>
              <w:t>-0.0131</w:t>
            </w:r>
          </w:p>
        </w:tc>
      </w:tr>
      <w:tr>
        <w:tc>
          <w:tcPr>
            <w:tcW w:type="dxa" w:w="4535"/>
          </w:tcPr>
          <w:p>
            <w:pPr>
              <w:keepNext/>
              <w:jc w:val="center"/>
            </w:pPr>
            <w:r/>
            <w:r>
              <w:rPr>
                <w:rFonts w:ascii="Times New Roman" w:hAnsi="Times New Roman" w:eastAsia="宋体"/>
                <w:b w:val="0"/>
                <w:sz w:val="16"/>
              </w:rPr>
              <w:t>复现GBR</w:t>
            </w:r>
          </w:p>
        </w:tc>
        <w:tc>
          <w:tcPr>
            <w:tcW w:type="dxa" w:w="4535"/>
          </w:tcPr>
          <w:p>
            <w:pPr>
              <w:keepNext/>
              <w:jc w:val="center"/>
            </w:pPr>
            <w:r/>
            <w:r>
              <w:rPr>
                <w:rFonts w:ascii="Times New Roman" w:hAnsi="Times New Roman" w:eastAsia="宋体"/>
                <w:b w:val="0"/>
                <w:sz w:val="16"/>
              </w:rPr>
              <w:t>0.2157</w:t>
            </w:r>
          </w:p>
        </w:tc>
      </w:tr>
      <w:tr>
        <w:tc>
          <w:tcPr>
            <w:tcW w:type="dxa" w:w="4535"/>
          </w:tcPr>
          <w:p>
            <w:pPr>
              <w:keepNext/>
              <w:jc w:val="center"/>
            </w:pPr>
            <w:r/>
            <w:r>
              <w:rPr>
                <w:rFonts w:ascii="Times New Roman" w:hAnsi="Times New Roman" w:eastAsia="宋体"/>
                <w:b w:val="0"/>
                <w:sz w:val="16"/>
              </w:rPr>
              <w:t>复现RF</w:t>
            </w:r>
          </w:p>
        </w:tc>
        <w:tc>
          <w:tcPr>
            <w:tcW w:type="dxa" w:w="4535"/>
          </w:tcPr>
          <w:p>
            <w:pPr>
              <w:keepNext/>
              <w:jc w:val="center"/>
            </w:pPr>
            <w:r/>
            <w:r>
              <w:rPr>
                <w:rFonts w:ascii="Times New Roman" w:hAnsi="Times New Roman" w:eastAsia="宋体"/>
                <w:b w:val="0"/>
                <w:sz w:val="16"/>
              </w:rPr>
              <w:t>0.2175</w:t>
            </w:r>
          </w:p>
        </w:tc>
      </w:tr>
      <w:tr>
        <w:tc>
          <w:tcPr>
            <w:tcW w:type="dxa" w:w="4535"/>
          </w:tcPr>
          <w:p>
            <w:pPr>
              <w:keepNext/>
              <w:jc w:val="center"/>
            </w:pPr>
            <w:r/>
            <w:r>
              <w:rPr>
                <w:rFonts w:ascii="Times New Roman" w:hAnsi="Times New Roman" w:eastAsia="宋体"/>
                <w:b w:val="0"/>
                <w:sz w:val="16"/>
              </w:rPr>
              <w:t>TabPFN</w:t>
            </w:r>
          </w:p>
        </w:tc>
        <w:tc>
          <w:tcPr>
            <w:tcW w:type="dxa" w:w="4535"/>
          </w:tcPr>
          <w:p>
            <w:pPr>
              <w:keepNext/>
              <w:jc w:val="center"/>
            </w:pPr>
            <w:r/>
            <w:r>
              <w:rPr>
                <w:rFonts w:ascii="Times New Roman" w:hAnsi="Times New Roman" w:eastAsia="宋体"/>
                <w:b w:val="0"/>
                <w:sz w:val="16"/>
              </w:rPr>
              <w:t>0.2363</w:t>
            </w:r>
          </w:p>
        </w:tc>
      </w:tr>
      <w:tr>
        <w:tc>
          <w:tcPr>
            <w:tcW w:type="dxa" w:w="4535"/>
          </w:tcPr>
          <w:p>
            <w:pPr>
              <w:keepNext/>
              <w:jc w:val="center"/>
            </w:pPr>
            <w:r/>
            <w:r>
              <w:rPr>
                <w:rFonts w:ascii="Times New Roman" w:hAnsi="Times New Roman" w:eastAsia="宋体"/>
                <w:b w:val="0"/>
                <w:sz w:val="16"/>
              </w:rPr>
              <w:t>多任务网络</w:t>
            </w:r>
          </w:p>
        </w:tc>
        <w:tc>
          <w:tcPr>
            <w:tcW w:type="dxa" w:w="4535"/>
          </w:tcPr>
          <w:p>
            <w:pPr>
              <w:keepNext/>
              <w:jc w:val="center"/>
            </w:pPr>
            <w:r/>
            <w:r>
              <w:rPr>
                <w:rFonts w:ascii="Times New Roman" w:hAnsi="Times New Roman" w:eastAsia="宋体"/>
                <w:b w:val="0"/>
                <w:sz w:val="16"/>
              </w:rPr>
              <w:t>0.1699</w:t>
            </w:r>
          </w:p>
        </w:tc>
      </w:tr>
      <w:tr>
        <w:tc>
          <w:tcPr>
            <w:tcW w:type="dxa" w:w="4535"/>
          </w:tcPr>
          <w:p>
            <w:pPr>
              <w:jc w:val="center"/>
            </w:pPr>
            <w:r/>
            <w:r>
              <w:rPr>
                <w:rFonts w:ascii="Times New Roman" w:hAnsi="Times New Roman" w:eastAsia="宋体"/>
                <w:b w:val="0"/>
                <w:sz w:val="16"/>
              </w:rPr>
              <w:t>TabPFN重复</w:t>
            </w:r>
          </w:p>
        </w:tc>
        <w:tc>
          <w:tcPr>
            <w:tcW w:type="dxa" w:w="4535"/>
          </w:tcPr>
          <w:p>
            <w:pPr>
              <w:jc w:val="center"/>
            </w:pPr>
            <w:r/>
            <w:r>
              <w:rPr>
                <w:rFonts w:ascii="Times New Roman" w:hAnsi="Times New Roman" w:eastAsia="宋体"/>
                <w:b w:val="0"/>
                <w:sz w:val="16"/>
              </w:rPr>
              <w:t>0.2407</w:t>
            </w:r>
          </w:p>
        </w:tc>
      </w:tr>
    </w:tbl>
    <w:p>
      <w:pPr>
        <w:spacing w:before="40" w:after="160"/>
        <w:jc w:val="center"/>
      </w:pPr>
      <w:r>
        <w:rPr>
          <w:rFonts w:ascii="Times New Roman" w:hAnsi="Times New Roman" w:eastAsia="宋体"/>
          <w:b w:val="0"/>
          <w:sz w:val="18"/>
        </w:rPr>
        <w:t>表 4  同一75款留出酒上的平均R²（越大越好）</w:t>
      </w:r>
    </w:p>
    <w:p>
      <w:pPr>
        <w:spacing w:after="80" w:line="324" w:lineRule="auto"/>
        <w:ind w:firstLine="420"/>
      </w:pPr>
      <w:r>
        <w:rPr>
          <w:rFonts w:ascii="Times New Roman" w:hAnsi="Times New Roman" w:eastAsia="宋体"/>
          <w:b w:val="0"/>
          <w:sz w:val="21"/>
        </w:rPr>
        <w:t>在相同75款留出酒上，均匀重复上下文的TabPFN取得最高平均R²（0.240729），相对逐维GBR的0.213319提高0.027411。这说明在当前小样本、多特征条件下，预训练先验为感官预测提供了有效补充。</w:t>
      </w:r>
    </w:p>
    <w:p>
      <w:pPr>
        <w:spacing w:after="80" w:line="324" w:lineRule="auto"/>
        <w:ind w:firstLine="420"/>
      </w:pPr>
      <w:r>
        <w:rPr>
          <w:rFonts w:ascii="Times New Roman" w:hAnsi="Times New Roman" w:eastAsia="宋体"/>
          <w:b w:val="0"/>
          <w:sz w:val="21"/>
        </w:rPr>
        <w:t>模型选择分两步进行：先在175款训练酒内部通过五折选择参数，再以75款留出酒比较最终预测。原版TabPFN的五折/留出R²为0.205458/0.236307，均匀重复上下文后为0.207560/0.240729；增加提前中位数填补后为0.208438/0.240179。因此最终采用保留缺失值、均匀重复上下文的TabPFN。</w:t>
      </w:r>
    </w:p>
    <w:p>
      <w:pPr>
        <w:spacing w:after="80" w:line="324" w:lineRule="auto"/>
        <w:ind w:firstLine="420"/>
      </w:pPr>
      <w:r>
        <w:rPr>
          <w:rFonts w:ascii="Times New Roman" w:hAnsi="Times New Roman" w:eastAsia="宋体"/>
          <w:b w:val="0"/>
          <w:sz w:val="21"/>
        </w:rPr>
        <w:t>最终评分表覆盖250款酒的50个感官维度。175款训练酒使用五折折外预测，75款留出酒使用最终模型预测，再统一映射至0–6级；苦味、酒精感和碳酸感另提供阈值锚定分。逐维R²用于观察不同感官维度的可预测性，作为后续关键成分解释的参照。</w:t>
      </w:r>
    </w:p>
    <w:p>
      <w:pPr>
        <w:spacing w:before="80"/>
        <w:jc w:val="center"/>
      </w:pPr>
      <w:r>
        <w:drawing>
          <wp:inline xmlns:a="http://schemas.openxmlformats.org/drawingml/2006/main" xmlns:pic="http://schemas.openxmlformats.org/drawingml/2006/picture">
            <wp:extent cx="4206240" cy="3164167"/>
            <wp:docPr id="2" name="Picture 2"/>
            <wp:cNvGraphicFramePr>
              <a:graphicFrameLocks noChangeAspect="1"/>
            </wp:cNvGraphicFramePr>
            <a:graphic>
              <a:graphicData uri="http://schemas.openxmlformats.org/drawingml/2006/picture">
                <pic:pic>
                  <pic:nvPicPr>
                    <pic:cNvPr id="0" name="model_r2.png"/>
                    <pic:cNvPicPr/>
                  </pic:nvPicPr>
                  <pic:blipFill>
                    <a:blip r:embed="rId23"/>
                    <a:stretch>
                      <a:fillRect/>
                    </a:stretch>
                  </pic:blipFill>
                  <pic:spPr>
                    <a:xfrm>
                      <a:off x="0" y="0"/>
                      <a:ext cx="4206240" cy="3164167"/>
                    </a:xfrm>
                    <a:prstGeom prst="rect"/>
                  </pic:spPr>
                </pic:pic>
              </a:graphicData>
            </a:graphic>
          </wp:inline>
        </w:drawing>
      </w:r>
    </w:p>
    <w:p>
      <w:pPr>
        <w:spacing w:before="40" w:after="160"/>
        <w:jc w:val="center"/>
      </w:pPr>
      <w:r>
        <w:rPr>
          <w:rFonts w:ascii="Times New Roman" w:hAnsi="Times New Roman" w:eastAsia="宋体"/>
          <w:b w:val="0"/>
          <w:sz w:val="18"/>
        </w:rPr>
        <w:t>图 1  感官预测比较。同一75款留出酒的50维平均R²；AI辅助：Codex，GPT-6，OpenAI，2026-10-30。</w:t>
      </w:r>
    </w:p>
    <w:p>
      <w:pPr>
        <w:spacing w:before="80"/>
        <w:jc w:val="center"/>
      </w:pPr>
      <w:r>
        <w:drawing>
          <wp:inline xmlns:a="http://schemas.openxmlformats.org/drawingml/2006/main" xmlns:pic="http://schemas.openxmlformats.org/drawingml/2006/picture">
            <wp:extent cx="4206240" cy="4835128"/>
            <wp:docPr id="3" name="Picture 3"/>
            <wp:cNvGraphicFramePr>
              <a:graphicFrameLocks noChangeAspect="1"/>
            </wp:cNvGraphicFramePr>
            <a:graphic>
              <a:graphicData uri="http://schemas.openxmlformats.org/drawingml/2006/picture">
                <pic:pic>
                  <pic:nvPicPr>
                    <pic:cNvPr id="0" name="target_r2.png"/>
                    <pic:cNvPicPr/>
                  </pic:nvPicPr>
                  <pic:blipFill>
                    <a:blip r:embed="rId24"/>
                    <a:stretch>
                      <a:fillRect/>
                    </a:stretch>
                  </pic:blipFill>
                  <pic:spPr>
                    <a:xfrm>
                      <a:off x="0" y="0"/>
                      <a:ext cx="4206240" cy="4835128"/>
                    </a:xfrm>
                    <a:prstGeom prst="rect"/>
                  </pic:spPr>
                </pic:pic>
              </a:graphicData>
            </a:graphic>
          </wp:inline>
        </w:drawing>
      </w:r>
    </w:p>
    <w:p>
      <w:pPr>
        <w:spacing w:before="40" w:after="160"/>
        <w:jc w:val="center"/>
      </w:pPr>
      <w:r>
        <w:rPr>
          <w:rFonts w:ascii="Times New Roman" w:hAnsi="Times New Roman" w:eastAsia="宋体"/>
          <w:b w:val="0"/>
          <w:sz w:val="18"/>
        </w:rPr>
        <w:t>图 2  逐维预测效果。最终TabPFN在75款留出酒上的逐维R²；AI辅助：Codex，GPT-6，OpenAI，2026-10-30。</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5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6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7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 + ABV；风格固定效应（依次为不控变量、控制酒精度、控制酒精度并加入风格固定效应）。ols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项的系数符号在三个模型间保持一致，说明化学—感知组合携带的信息不完全由酒精度与风格标签解释。需要强调其边界：价格来自同一附件内 7 家零售商的跨币种报价，且未做汇率换算，是市场价值的代理，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风格固定效应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3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4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6" name="Picture 6"/>
            <wp:cNvGraphicFramePr>
              <a:graphicFrameLocks noChangeAspect="1"/>
            </wp:cNvGraphicFramePr>
            <a:graphic>
              <a:graphicData uri="http://schemas.openxmlformats.org/drawingml/2006/picture">
                <pic:pic>
                  <pic:nvPicPr>
                    <pic:cNvPr id="0" name="fig4_price_effects.png"/>
                    <pic:cNvPicPr/>
                  </pic:nvPicPr>
                  <pic:blipFill>
                    <a:blip r:embed="rId2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5  价格部分效应。三个设定下 log 价格对各感官维度的偏回归系数及 95% 置信区间：OLS（R²=0.340）、OLS + ABV（加入 ABV，R²=0.366）、风格固定效应（再加入风格固定效应、按风格聚类稳健标准误，R²=0.472），样本量 n=189（仅含 ≥2 家零售报价的啤酒）。价格来自同一附件内 7 家零售商的跨币种报价，未做汇率换算；此处仅作为外部价值信号，不作市场因果解释。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8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9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10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明显偏低，说明特征重要性与线性秩相关的视角差异较大；本文因此把归因路与相关路并列呈现，而不宣称其中某一路线更接近真值。稳健判定与化学合理性是两道独立判据：全表 150 行中有 36 行通过化学合理性检验；稳健记录共 32 行，其中 9 行同时满足两项条件。其余 23 行虽然满足统计稳定性标准，但缺少足够的化学来源或载体证据，因此在表中保留为候选关联，不将其解释为可直接采用的造谱配方。若只看每个感官维度排名第 1 的化合物，同时满足两项条件的仅 6 条；因此 Top-3 更适合作为候选关联的参考集，而不是直接用于配方设计的清单。在 50 个感官维度中，22 个维度至少有一条稳健记录，另有 28 个维度没有稳健记录；后者只报告排序结果，不作关键化合物判断。</w:t>
      </w:r>
    </w:p>
    <w:p>
      <w:pPr>
        <w:spacing w:after="80" w:line="324" w:lineRule="auto"/>
        <w:ind w:firstLine="420"/>
      </w:pPr>
      <w:r>
        <w:rPr>
          <w:rFonts w:ascii="Times New Roman" w:hAnsi="Times New Roman" w:eastAsia="宋体"/>
          <w:b w:val="0"/>
          <w:sz w:val="21"/>
        </w:rPr>
        <w:t>为检验上述候选项能否在独立样本中复现，本文仅在 175 个训练样本上重选 150 个 Top-3 候选，再在固定的 75 个留出样本上进行 5000 次双侧置换检验，并对全部 150 项统一执行 Benjamini–Hochberg 校正。其中 83/150 项通过 q≤0.05；主结果中判为稳健的 32 项全部被训练集重选保留且方向一致，其中 30/32 项通过留出集 FDR，同时满足稳健与化学合理性的 9/9 项全部通过。这只是关联的独立样本复现，不验证化学机理，也不构成因果证据。</w:t>
      </w:r>
    </w:p>
    <w:p>
      <w:pPr>
        <w:spacing w:before="80"/>
        <w:jc w:val="center"/>
      </w:pPr>
      <w:r>
        <w:drawing>
          <wp:inline xmlns:a="http://schemas.openxmlformats.org/drawingml/2006/main" xmlns:pic="http://schemas.openxmlformats.org/drawingml/2006/picture">
            <wp:extent cx="4206240" cy="3838646"/>
            <wp:docPr id="7" name="Picture 7"/>
            <wp:cNvGraphicFramePr>
              <a:graphicFrameLocks noChangeAspect="1"/>
            </wp:cNvGraphicFramePr>
            <a:graphic>
              <a:graphicData uri="http://schemas.openxmlformats.org/drawingml/2006/picture">
                <pic:pic>
                  <pic:nvPicPr>
                    <pic:cNvPr id="0" name="fig1_coexpression_network_by_origin.png"/>
                    <pic:cNvPicPr/>
                  </pic:nvPicPr>
                  <pic:blipFill>
                    <a:blip r:embed="rId26"/>
                    <a:stretch>
                      <a:fillRect/>
                    </a:stretch>
                  </pic:blipFill>
                  <pic:spPr>
                    <a:xfrm>
                      <a:off x="0" y="0"/>
                      <a:ext cx="4206240" cy="3838646"/>
                    </a:xfrm>
                    <a:prstGeom prst="rect"/>
                  </pic:spPr>
                </pic:pic>
              </a:graphicData>
            </a:graphic>
          </wp:inline>
        </w:drawing>
      </w:r>
    </w:p>
    <w:p>
      <w:pPr>
        <w:spacing w:before="40" w:after="160"/>
        <w:jc w:val="center"/>
      </w:pPr>
      <w:r>
        <w:rPr>
          <w:rFonts w:ascii="Times New Roman" w:hAnsi="Times New Roman" w:eastAsia="宋体"/>
          <w:b w:val="0"/>
          <w:sz w:val="18"/>
        </w:rPr>
        <w:t>图 6  共表达网络（按来源）。基于 2.csv 的斯皮尔曼相关，取 |ρ| ≥ 0.6 的边构成网络：全图 231 节点 / 266 边、114 个连通分量，其中 101 个节点在该阈值下不含任何关联边（孤立节点）而未绘出，其来源构成见支撑材料社区成员表；本图绘出 130 个有边节点。节点大小 = 度数，边粗细 = |ρ|，橙红描边为缺陷化合物；节点按化学来源着色；右侧按度数由高到低列出 6 个节点；完整节点清单见支撑材料表。</w:t>
      </w:r>
    </w:p>
    <w:p>
      <w:pPr>
        <w:spacing w:before="80"/>
        <w:jc w:val="center"/>
      </w:pPr>
      <w:r>
        <w:drawing>
          <wp:inline xmlns:a="http://schemas.openxmlformats.org/drawingml/2006/main" xmlns:pic="http://schemas.openxmlformats.org/drawingml/2006/picture">
            <wp:extent cx="4206240" cy="3696736"/>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7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8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rPr>
          <w:tblHeader w:val="true"/>
        </w:trP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250款啤酒；最终模型保留231特征，原对照模型使用227特征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TabPFN（留出平均R²=0.240729）</w:t>
            </w:r>
          </w:p>
        </w:tc>
        <w:tc>
          <w:tcPr>
            <w:tcW w:type="dxa" w:w="3023"/>
          </w:tcPr>
          <w:p>
            <w:pPr>
              <w:jc w:val="center"/>
            </w:pPr>
            <w:r/>
            <w:r>
              <w:rPr>
                <w:rFonts w:ascii="Times New Roman" w:hAnsi="Times New Roman" w:eastAsia="宋体"/>
                <w:b w:val="0"/>
                <w:sz w:val="16"/>
              </w:rPr>
              <w:t>GBR/RF按作者网格复现；同一留出集新增TabPFN比较；E4仍不参与问题二主排序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bl>
    <w:p>
      <w:pPr>
        <w:spacing w:before="40" w:after="160"/>
        <w:jc w:val="center"/>
      </w:pPr>
      <w:r>
        <w:rPr>
          <w:rFonts w:ascii="Times New Roman" w:hAnsi="Times New Roman" w:eastAsia="宋体"/>
          <w:b w:val="0"/>
          <w:sz w:val="18"/>
        </w:rPr>
        <w:t>表 11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12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before="80"/>
        <w:jc w:val="center"/>
      </w:pPr>
      <w:r>
        <w:drawing>
          <wp:inline xmlns:a="http://schemas.openxmlformats.org/drawingml/2006/main" xmlns:pic="http://schemas.openxmlformats.org/drawingml/2006/picture">
            <wp:extent cx="4206240" cy="2439044"/>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9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rPr>
          <w:tblHeader w:val="true"/>
        </w:trP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13  各风格条件生成结果与可行性核验（含无约束参照生成）</w:t>
      </w:r>
    </w:p>
    <w:p>
      <w:pPr>
        <w:spacing w:after="80" w:line="324" w:lineRule="auto"/>
        <w:ind w:firstLine="420"/>
      </w:pPr>
      <w:r>
        <w:rPr>
          <w:rFonts w:ascii="Times New Roman" w:hAnsi="Times New Roman" w:eastAsia="宋体"/>
          <w:b w:val="0"/>
          <w:sz w:val="21"/>
        </w:rPr>
        <w:t>8 个纳入风格的受约束生成谱中，缺陷化合物超阈值数量合计 0，表示硬约束合规，不表示生成真实性。受约束谱与无约束谱的全量拟合 KS 中位数分别为 0.1780 和 0.1207，经验匹配地板为 0.0411；生成值落在真实风格区间内的比例中位数为 0.916。这些指标在用于定义经验边际的同一批样本上计算，只作拟合诊断。受约束谱用于合规画像，无约束谱用于风格代表性参照，两者不可混用。</w:t>
      </w:r>
    </w:p>
    <w:p>
      <w:pPr>
        <w:spacing w:after="80" w:line="324" w:lineRule="auto"/>
        <w:ind w:firstLine="420"/>
      </w:pPr>
      <w:r>
        <w:rPr>
          <w:rFonts w:ascii="Times New Roman" w:hAnsi="Times New Roman" w:eastAsia="宋体"/>
          <w:b w:val="0"/>
          <w:sz w:val="21"/>
        </w:rPr>
        <w:t>进一步的固定留出检验覆盖 8 个风格、3 个划分种子和 2 种 Copula 估计，共 48 个评估单元；每个风格的真实留出样本仅 3-9 款。真实样本参照、无约束生成与受约束生成的能量距离分别为 17.0075、16.9840 和 20.7664，MMD² 分别为 0.1746、0.1733 和 0.2040。受约束生成在 42/48 个单元上的能量距离更差，MMD² 亦为 42/48；与此同时，约束合规率从无约束的 13.5% 提升到 100.0%，候选接受率均值仅为 12.7%。因此，约束明确提高了规则合规性，却以可测的分布真实性损失为代价；同数据拟合并评估得到的全量 KS 仅作拟合诊断，不能替代该留出结论。</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14  跨风格迁移的缺陷化合物前后对照（44 项核验的前 16 行）</w:t>
      </w:r>
    </w:p>
    <w:p>
      <w:pPr>
        <w:spacing w:after="80" w:line="324" w:lineRule="auto"/>
        <w:ind w:firstLine="420"/>
      </w:pPr>
      <w:r>
        <w:rPr>
          <w:rFonts w:ascii="Times New Roman" w:hAnsi="Times New Roman" w:eastAsia="宋体"/>
          <w:b w:val="0"/>
          <w:sz w:val="21"/>
        </w:rPr>
        <w:t>风格感官画像沿用原227特征GBR模型及其统一标度输入，以保持本节生成实验口径：生成化合谱经统一标度后输入感官预测模型，得到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10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12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六、方法分析与应用</w:t>
      </w:r>
    </w:p>
    <w:p>
      <w:pPr>
        <w:spacing w:before="140" w:after="80" w:line="312" w:lineRule="auto"/>
        <w:jc w:val="left"/>
      </w:pPr>
      <w:r>
        <w:rPr>
          <w:rFonts w:ascii="Times New Roman" w:hAnsi="Times New Roman" w:eastAsia="黑体"/>
          <w:b/>
          <w:sz w:val="26"/>
        </w:rPr>
        <w:t>6.1 预测与解释的衔接</w:t>
      </w:r>
    </w:p>
    <w:p>
      <w:pPr>
        <w:spacing w:after="80" w:line="324" w:lineRule="auto"/>
        <w:ind w:firstLine="420"/>
      </w:pPr>
      <w:r>
        <w:rPr>
          <w:rFonts w:ascii="Times New Roman" w:hAnsi="Times New Roman" w:eastAsia="宋体"/>
          <w:b w:val="0"/>
          <w:sz w:val="21"/>
        </w:rPr>
        <w:t>问题一通过同一留出集比较选定TabPFN作为感官评分的最终输出模型。问题二使用树模型归因、相关网络与重采样结果解释关键成分，分别提供预测能力、化学关联和排序稳定性三方面的信息。问题三沿用统一标度的GBR感官映射评价生成化合谱，衔接风格条件边际与缺陷浓度约束。三部分分别承担预测、解释与设计的任务。</w:t>
      </w:r>
    </w:p>
    <w:p>
      <w:pPr>
        <w:spacing w:after="80" w:line="324" w:lineRule="auto"/>
        <w:ind w:firstLine="420"/>
      </w:pPr>
      <w:r>
        <w:rPr>
          <w:rFonts w:ascii="Times New Roman" w:hAnsi="Times New Roman" w:eastAsia="宋体"/>
          <w:b w:val="0"/>
          <w:sz w:val="21"/>
        </w:rPr>
        <w:t>新增实验表明，保留缺失值的TabPFN能够直接处理现有数据；均匀重复训练上下文带来进一步改善，提前中位数填补则未提高该方案的留出R²。由此形成从原始数据到最终方案的选择过程。0–6评分使用训练集确定的映射表达感官强度，模型性能在原处理后尺度上以R²评价。</w:t>
      </w:r>
    </w:p>
    <w:p>
      <w:pPr>
        <w:spacing w:before="140" w:after="80" w:line="312" w:lineRule="auto"/>
        <w:jc w:val="left"/>
      </w:pPr>
      <w:r>
        <w:rPr>
          <w:rFonts w:ascii="Times New Roman" w:hAnsi="Times New Roman" w:eastAsia="黑体"/>
          <w:b/>
          <w:sz w:val="26"/>
        </w:rPr>
        <w:t>6.2 风格生成与应用</w:t>
      </w:r>
    </w:p>
    <w:p>
      <w:pPr>
        <w:spacing w:after="80" w:line="324" w:lineRule="auto"/>
        <w:ind w:firstLine="420"/>
      </w:pPr>
      <w:r>
        <w:rPr>
          <w:rFonts w:ascii="Times New Roman" w:hAnsi="Times New Roman" w:eastAsia="宋体"/>
          <w:b w:val="0"/>
          <w:sz w:val="21"/>
        </w:rPr>
        <w:t>新增留出验证使解释与生成结果形成对应检验：问题二仅用训练集重选候选，再以75款留出酒执行置换检验与FDR校正；问题三以多风格、多种子共48个单元同时衡量约束合规率与分布距离，从而将关键成分的复现性和生成谱的约束效果纳入同一分析链条。</w:t>
      </w:r>
    </w:p>
    <w:p>
      <w:pPr>
        <w:spacing w:after="80" w:line="324" w:lineRule="auto"/>
        <w:ind w:firstLine="420"/>
      </w:pPr>
      <w:r>
        <w:rPr>
          <w:rFonts w:ascii="Times New Roman" w:hAnsi="Times New Roman" w:eastAsia="宋体"/>
          <w:b w:val="0"/>
          <w:sz w:val="21"/>
        </w:rPr>
        <w:t>相关网络用于组织共同变化的化合物群，Top-3稳定性分析用于识别可重复出现的感官关联，风格条件Copula则把这些信息延伸至化合谱生成和跨风格迁移。缺陷约束控制指定成分的浓度，风格分层与消费者描述符提供互补的感知参照。进一步结合酿造参数与重复品评，可将该流程用于候选配方筛选和风格比较。</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（2）问题一选定保留缺失值、均匀重复上下文的TabPFN 3.5，训练集五折平均R²为0.207560，75款留出酒的平均R²为0.240729，相对逐维GBR的0.213319提高0.027411；输出250款酒、50个维度的0–6分级评分。</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系数双重量化稳定性，仅在两条判据同时满足时才标记为稳健。50 个维度中有 22 个维度包含稳健记录，28 个维度没有稳健记录；稳健记录共 32 条，其中 9 条同时通过化学合理性检验。这些数字把稳定性、化学合理性和无稳健结果同时呈现，避免将排序靠前的候选误读为因果因素。</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结构加风格条件边际生成化合谱，在缺陷阈值约束下实现了零违规；零违规只表示硬约束合规，不能代表无约束生成的真实性，受约束后的边际还会发生分布压缩。在 48 个留出评估单元中，受约束生成的能量距离和 MMD² 均有 42 个劣于无约束生成，而约束合规率由 13.5% 提升至 100%，表明合规提升与真实性损失必须同时报告。并以秩—分位映射完成跨风格迁移，迁移后各缺陷化合物均不恶化。相关结构的保持程度需并置两个数字看：迁移前后斯皮尔曼相关系数的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无约束参照生成在当前评价中距离小于同分布随机重抽的期望距离，但与「完美复现风格经验边际」的经验匹配地板相比仍高出一个量级，因此它具有结构性参考价值，但尚不足以说明真实边际已被精确还原；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（5）消费者层将183维论坛描述符与50维品评组感官并行建模，利用189款酒的价格补充市场层面的观察，并对缺陷化合物的剂量—响应进行风格分层检验。</w:t>
      </w:r>
    </w:p>
    <w:p>
      <w:pPr>
        <w:spacing w:after="80" w:line="324" w:lineRule="auto"/>
        <w:ind w:firstLine="420"/>
      </w:pPr>
      <w:r>
        <w:rPr>
          <w:rFonts w:ascii="Times New Roman" w:hAnsi="Times New Roman" w:eastAsia="宋体"/>
          <w:b w:val="0"/>
          <w:sz w:val="21"/>
        </w:rPr>
        <w:t>本文在原研究的化学—感官分析框架上，补充数据语义审计、小样本预训练预测、关联网络稳定性及风格条件生成，形成从数据处理、感官预测到成分解释和化合谱设计的连续流程。</w:t>
      </w:r>
    </w:p>
    <w:p>
      <w:pPr>
        <w:spacing w:before="200" w:after="120" w:line="312" w:lineRule="auto"/>
        <w:jc w:val="left"/>
      </w:pPr>
      <w:r>
        <w:rPr>
          <w:rFonts w:ascii="Times New Roman" w:hAnsi="Times New Roman" w:eastAsia="黑体"/>
          <w:b/>
          <w:sz w:val="30"/>
        </w:rPr>
        <w:t>参考文献</w:t>
      </w:r>
    </w:p>
    <w:p>
      <w:pPr>
        <w:keepLines/>
        <w:spacing w:after="0" w:line="240" w:lineRule="auto"/>
        <w:ind w:firstLine="0"/>
      </w:pPr>
      <w:r>
        <w:rPr>
          <w:rFonts w:ascii="Times New Roman" w:hAnsi="Times New Roman" w:eastAsia="宋体"/>
          <w:b w:val="0"/>
          <w:sz w:val="18"/>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keepLines/>
        <w:spacing w:after="0" w:line="240" w:lineRule="auto"/>
        <w:ind w:firstLine="0"/>
      </w:pPr>
      <w:r>
        <w:rPr>
          <w:rFonts w:ascii="Times New Roman" w:hAnsi="Times New Roman" w:eastAsia="宋体"/>
          <w:b w:val="0"/>
          <w:sz w:val="18"/>
        </w:rPr>
        <w:t>[2] Pedregosa F, Varoquaux G, Gramfort A, Michel V, Thirion B, Grisel O, Blondel M, Prettenhofer P, 等，Scikit-learn: Machine Learning in Python，https://jmlr.org/papers/v12/pedregosa11a.html，访问时间（2026年10月29日）。</w:t>
      </w:r>
    </w:p>
    <w:p>
      <w:pPr>
        <w:keepLines/>
        <w:spacing w:after="0" w:line="240" w:lineRule="auto"/>
        <w:ind w:firstLine="0"/>
      </w:pPr>
      <w:r>
        <w:rPr>
          <w:rFonts w:ascii="Times New Roman" w:hAnsi="Times New Roman" w:eastAsia="宋体"/>
          <w:b w:val="0"/>
          <w:sz w:val="18"/>
        </w:rPr>
        <w:t>[3] Lundberg S M, Lee S I，A Unified Approach to Interpreting Model Predictions，https://arxiv.org/abs/1705.07874，访问时间（2026年10月29日）。</w:t>
      </w:r>
    </w:p>
    <w:p>
      <w:pPr>
        <w:keepLines/>
        <w:spacing w:after="0" w:line="240" w:lineRule="auto"/>
        <w:ind w:firstLine="0"/>
      </w:pPr>
      <w:r>
        <w:rPr>
          <w:rFonts w:ascii="Times New Roman" w:hAnsi="Times New Roman" w:eastAsia="宋体"/>
          <w:b w:val="0"/>
          <w:sz w:val="18"/>
        </w:rPr>
        <w:t>[4] Hollmann N, Müller S, Eggensperger K, Hutter F，TabPFN: A Transformer That Solves Small Tabular Classification Problems in a Second，https://arxiv.org/abs/2207.01848，访问时间（2026年10月29日）。</w:t>
      </w:r>
    </w:p>
    <w:p>
      <w:pPr>
        <w:keepLines/>
        <w:spacing w:after="0" w:line="240" w:lineRule="auto"/>
        <w:ind w:firstLine="0"/>
      </w:pPr>
      <w:r>
        <w:rPr>
          <w:rFonts w:ascii="Times New Roman" w:hAnsi="Times New Roman" w:eastAsia="宋体"/>
          <w:b w:val="0"/>
          <w:sz w:val="18"/>
        </w:rPr>
        <w:t>[5] Traag V A, Waltman L, van Eck N J，From Louvain to Leiden: guaranteeing well-connected communities，Scientific Reports，9(1)：5233，2019. DOI: 10.1038/s41598-019-41695-z.</w:t>
      </w:r>
    </w:p>
    <w:p>
      <w:pPr>
        <w:keepLines/>
        <w:spacing w:after="0" w:line="240" w:lineRule="auto"/>
        <w:ind w:firstLine="0"/>
      </w:pPr>
      <w:r>
        <w:rPr>
          <w:rFonts w:ascii="Times New Roman" w:hAnsi="Times New Roman" w:eastAsia="宋体"/>
          <w:b w:val="0"/>
          <w:sz w:val="18"/>
        </w:rPr>
        <w:t>[6] Nelsen R B，An Introduction to Copulas[M]. New York: Springer（Springer Series in Statistics）, 2006.</w:t>
      </w:r>
    </w:p>
    <w:p>
      <w:pPr>
        <w:keepLines/>
        <w:spacing w:after="0" w:line="240" w:lineRule="auto"/>
        <w:ind w:firstLine="0"/>
      </w:pPr>
      <w:r>
        <w:rPr>
          <w:rFonts w:ascii="Times New Roman" w:hAnsi="Times New Roman" w:eastAsia="宋体"/>
          <w:b w:val="0"/>
          <w:sz w:val="18"/>
        </w:rPr>
        <w:t>[7] Iman R L, Conover W J，A distribution-free approach to inducing rank correlation among input variables，Communications in Statistics - Simulation and Computation，11(3)：311-334，1982. DOI: 10.1080/03610918208812265.</w:t>
      </w:r>
    </w:p>
    <w:p>
      <w:pPr>
        <w:keepLines/>
        <w:spacing w:after="0" w:line="240" w:lineRule="auto"/>
        <w:ind w:firstLine="0"/>
      </w:pPr>
      <w:r>
        <w:rPr>
          <w:rFonts w:ascii="Times New Roman" w:hAnsi="Times New Roman" w:eastAsia="宋体"/>
          <w:b w:val="0"/>
          <w:sz w:val="18"/>
        </w:rPr>
        <w:t>[8] Stevens S S，On the Theory of Scales of Measurement，Science，103(2684)：677-680，1946. DOI: 10.1126/science.103.2684.677.</w:t>
      </w:r>
    </w:p>
    <w:p>
      <w:pPr>
        <w:keepLines/>
        <w:spacing w:after="0" w:line="240" w:lineRule="auto"/>
        <w:ind w:firstLine="0"/>
      </w:pPr>
      <w:r>
        <w:rPr>
          <w:rFonts w:ascii="Times New Roman" w:hAnsi="Times New Roman" w:eastAsia="宋体"/>
          <w:b w:val="0"/>
          <w:sz w:val="18"/>
        </w:rPr>
        <w:t>[9] Seppä L, Latvala T, Akaichi F, Gil J M, Tuorila H，What are domestic apples worth? Hedonic responses and sensory information as drivers of willingness to pay，Food Quality and Preference，43：97-105，2015. DOI: 10.1016/j.foodqual.2015.02.013.</w:t>
      </w:r>
    </w:p>
    <w:p>
      <w:pPr>
        <w:keepLines/>
        <w:spacing w:after="0" w:line="240" w:lineRule="auto"/>
        <w:ind w:firstLine="0"/>
      </w:pPr>
      <w:r>
        <w:rPr>
          <w:rFonts w:ascii="Times New Roman" w:hAnsi="Times New Roman" w:eastAsia="宋体"/>
          <w:b w:val="0"/>
          <w:sz w:val="18"/>
        </w:rPr>
        <w:t>[10] Spearman C，The Proof and Measurement of Association between Two Things，The American Journal of Psychology，15(1)：72，1904. DOI: 10.2307/1412159.</w:t>
      </w:r>
    </w:p>
    <w:p>
      <w:pPr>
        <w:keepLines/>
        <w:spacing w:after="0" w:line="240" w:lineRule="auto"/>
        <w:ind w:firstLine="0"/>
      </w:pPr>
      <w:r>
        <w:rPr>
          <w:rFonts w:ascii="Times New Roman" w:hAnsi="Times New Roman" w:eastAsia="宋体"/>
          <w:b w:val="0"/>
          <w:sz w:val="18"/>
        </w:rPr>
        <w:t>[11] Hollmann N, Müller S, Purucker L, Krishnakumar A, Körfer M, Hoo S B, Schirrmeister R T, Hutter F，Accurate predictions on small data with a tabular foundation model，Nature，637(8045)：319-326，2025. DOI: 10.1038/s41586-024-08328-6.</w:t>
      </w:r>
    </w:p>
    <w:p>
      <w:pPr>
        <w:keepLines/>
        <w:spacing w:after="0" w:line="240" w:lineRule="auto"/>
        <w:ind w:firstLine="0"/>
      </w:pPr>
      <w:r>
        <w:rPr>
          <w:rFonts w:ascii="Times New Roman" w:hAnsi="Times New Roman" w:eastAsia="宋体"/>
          <w:b w:val="0"/>
          <w:sz w:val="18"/>
        </w:rPr>
        <w:t>[12] Restrepo J P, Rivera J C, Laniado H, Osorio P, Becerra O A，Nonparametric Generation of Synthetic Data Using Copulas，Electronics，12(7)：1601，2023. DOI: 10.3390/electronics12071601.</w:t>
      </w:r>
    </w:p>
    <w:p>
      <w:pPr>
        <w:keepLines/>
        <w:spacing w:after="0" w:line="240" w:lineRule="auto"/>
        <w:ind w:firstLine="0"/>
      </w:pPr>
      <w:r>
        <w:rPr>
          <w:rFonts w:ascii="Times New Roman" w:hAnsi="Times New Roman" w:eastAsia="宋体"/>
          <w:b w:val="0"/>
          <w:sz w:val="18"/>
        </w:rPr>
        <w:t>[13] Moskowitz H R，The dollar value of product quality: the effect of pricing versus overall liking on consumer choice，Journal of Sensory Studies，10(3)：239-247，1995. DOI: 10.1111/j.1745-459x.1995.tb00016.x.</w:t>
      </w:r>
    </w:p>
    <w:p>
      <w:pPr>
        <w:keepLines/>
        <w:spacing w:after="0" w:line="240" w:lineRule="auto"/>
        <w:ind w:firstLine="0"/>
      </w:pPr>
      <w:r>
        <w:rPr>
          <w:rFonts w:ascii="Times New Roman" w:hAnsi="Times New Roman" w:eastAsia="宋体"/>
          <w:b w:val="0"/>
          <w:sz w:val="18"/>
        </w:rPr>
        <w:t>[14] Meilgaard M C，Prediction of flavor differences between beers from their chemical composition，Journal of Agricultural and Food Chemistry，30(6)：1009-1017，1982. DOI: 10.1021/jf00114a002.</w:t>
      </w:r>
    </w:p>
    <w:p>
      <w:pPr>
        <w:keepLines/>
        <w:spacing w:after="0" w:line="240" w:lineRule="auto"/>
        <w:ind w:firstLine="0"/>
      </w:pPr>
      <w:r>
        <w:rPr>
          <w:rFonts w:ascii="Times New Roman" w:hAnsi="Times New Roman" w:eastAsia="宋体"/>
          <w:b w:val="0"/>
          <w:sz w:val="18"/>
        </w:rPr>
        <w:t>[15] Olaniran A O, Hiralal L, Mokoena M P, Pillay B，Flavour-active volatile compounds in beer: production, regulation and control，Journal of the Institute of Brewing，123(1)：13-23，2017. DOI: 10.1002/jib.389.</w:t>
      </w:r>
    </w:p>
    <w:p>
      <w:pPr>
        <w:keepLines/>
        <w:spacing w:after="0" w:line="240" w:lineRule="auto"/>
        <w:ind w:firstLine="0"/>
      </w:pPr>
      <w:r>
        <w:rPr>
          <w:rFonts w:ascii="Times New Roman" w:hAnsi="Times New Roman" w:eastAsia="宋体"/>
          <w:b w:val="0"/>
          <w:sz w:val="18"/>
        </w:rPr>
        <w:t>[16] Verstrepen K J, Derdelinckx G, Dufour J P, Winderickx J, Thevelein J M, Pretorius I S, Delvaux F R，Flavor-active esters: Adding fruitiness to beer，Journal of Bioscience and Bioengineering，96(2)：110-118，2003. DOI: 10.1016/S1389-1723(03)90112-5.</w:t>
      </w:r>
    </w:p>
    <w:p>
      <w:pPr>
        <w:keepLines/>
        <w:spacing w:after="0" w:line="240" w:lineRule="auto"/>
        <w:ind w:firstLine="0"/>
      </w:pPr>
      <w:r>
        <w:rPr>
          <w:rFonts w:ascii="Times New Roman" w:hAnsi="Times New Roman" w:eastAsia="宋体"/>
          <w:b w:val="0"/>
          <w:sz w:val="18"/>
        </w:rPr>
        <w:t>[17] Dzialo M C, Park R, Steensels J, Lievens B, Verstrepen K J，Physiology, ecology and industrial applications of aroma formation in yeast，FEMS Microbiology Reviews，41(Suppl_1)：S95-S128，2017. DOI: 10.1093/femsre/fux031.</w:t>
      </w:r>
    </w:p>
    <w:p>
      <w:pPr>
        <w:keepLines/>
        <w:spacing w:after="0" w:line="240" w:lineRule="auto"/>
        <w:ind w:firstLine="0"/>
      </w:pPr>
      <w:r>
        <w:rPr>
          <w:rFonts w:ascii="Times New Roman" w:hAnsi="Times New Roman" w:eastAsia="宋体"/>
          <w:b w:val="0"/>
          <w:sz w:val="18"/>
        </w:rPr>
        <w:t>[18] Bokulich N A, Bamforth C W，The Microbiology of Malting and Brewing，Microbiology and Molecular Biology Reviews，77(2)：157-172，2013. DOI: 10.1128/MMBR.00060-12.</w:t>
      </w:r>
    </w:p>
    <w:p>
      <w:pPr>
        <w:keepLines/>
        <w:spacing w:after="0" w:line="240" w:lineRule="auto"/>
        <w:ind w:firstLine="0"/>
      </w:pPr>
      <w:r>
        <w:rPr>
          <w:rFonts w:ascii="Times New Roman" w:hAnsi="Times New Roman" w:eastAsia="宋体"/>
          <w:b w:val="0"/>
          <w:sz w:val="18"/>
        </w:rPr>
        <w:t>[19] Spitaels F, Wieme A D, Janssens M, Aerts M, Daniel H M, Van Landschoot A, De Vuyst L, Vandamme P，The Microbial Diversity of Traditional Spontaneously Fermented Lambic Beer，PLoS ONE，9(4)：e95384，2014. DOI: 10.1371/journal.pone.0095384.</w:t>
      </w:r>
    </w:p>
    <w:p>
      <w:pPr>
        <w:keepLines/>
        <w:spacing w:after="0" w:line="240" w:lineRule="auto"/>
        <w:ind w:firstLine="0"/>
      </w:pPr>
      <w:r>
        <w:rPr>
          <w:rFonts w:ascii="Times New Roman" w:hAnsi="Times New Roman" w:eastAsia="宋体"/>
          <w:b w:val="0"/>
          <w:sz w:val="18"/>
        </w:rPr>
        <w:t>[20] Snauwaert I, Roels S P, Van Nieuwerburgh F, Van Landschoot A, De Vuyst L, Vandamme P，Microbial diversity and metabolite composition of Belgian red-brown acidic ales，International Journal of Food Microbiology，221：1-11，2016. DOI: 10.1016/j.ijfoodmicro.2015.12.009.</w:t>
      </w:r>
    </w:p>
    <w:p>
      <w:pPr>
        <w:keepLines/>
        <w:spacing w:after="0" w:line="240" w:lineRule="auto"/>
        <w:ind w:firstLine="0"/>
      </w:pPr>
      <w:r>
        <w:rPr>
          <w:rFonts w:ascii="Times New Roman" w:hAnsi="Times New Roman" w:eastAsia="宋体"/>
          <w:b w:val="0"/>
          <w:sz w:val="18"/>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keepLines/>
        <w:spacing w:after="0" w:line="240" w:lineRule="auto"/>
        <w:ind w:firstLine="0"/>
      </w:pPr>
      <w:r>
        <w:rPr>
          <w:rFonts w:ascii="Times New Roman" w:hAnsi="Times New Roman" w:eastAsia="宋体"/>
          <w:b w:val="0"/>
          <w:sz w:val="18"/>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keepLines/>
        <w:spacing w:after="0" w:line="240" w:lineRule="auto"/>
        <w:ind w:firstLine="0"/>
      </w:pPr>
      <w:r>
        <w:rPr>
          <w:rFonts w:ascii="Times New Roman" w:hAnsi="Times New Roman" w:eastAsia="宋体"/>
          <w:b w:val="0"/>
          <w:sz w:val="18"/>
        </w:rPr>
        <w:t>[23] Lusk L T, Kay S B, Porubcan A, Ryder D S，Key Olfactory Cues for Beer Oxidation，Journal of the American Society of Brewing Chemists，70(4)：257-261，2012. DOI: 10.1094/asbcj-2012-0907-01.</w:t>
      </w:r>
    </w:p>
    <w:p>
      <w:pPr>
        <w:keepLines/>
        <w:spacing w:after="0" w:line="240" w:lineRule="auto"/>
        <w:ind w:firstLine="0"/>
      </w:pPr>
      <w:r>
        <w:rPr>
          <w:rFonts w:ascii="Times New Roman" w:hAnsi="Times New Roman" w:eastAsia="宋体"/>
          <w:b w:val="0"/>
          <w:sz w:val="18"/>
        </w:rPr>
        <w:t>[24] Blanco C A, Andrés-Iglesias C, Montero O，Low-alcohol Beers: Flavor Compounds, Defects, and Improvement Strategies，Critical Reviews in Food Science and Nutrition，56(8)：1379-1388，2016. DOI: 10.1080/10408398.2012.733979.</w:t>
      </w:r>
    </w:p>
    <w:p>
      <w:pPr>
        <w:keepLines/>
        <w:spacing w:after="0" w:line="240" w:lineRule="auto"/>
        <w:ind w:firstLine="0"/>
      </w:pPr>
      <w:r>
        <w:rPr>
          <w:rFonts w:ascii="Times New Roman" w:hAnsi="Times New Roman" w:eastAsia="宋体"/>
          <w:b w:val="0"/>
          <w:sz w:val="18"/>
        </w:rPr>
        <w:t>[25] Gonzalez Viejo C, Fuentes S, Torrico D D, Godbole A, Dunshea F R，Chemical characterization of aromas in beer and their effect on consumers liking，Food Chemistry，293：479-485，2019. DOI: 10.1016/j.foodchem.2019.04.114.</w:t>
      </w:r>
    </w:p>
    <w:p>
      <w:pPr>
        <w:keepLines/>
        <w:spacing w:after="0" w:line="240" w:lineRule="auto"/>
        <w:ind w:firstLine="0"/>
      </w:pPr>
      <w:r>
        <w:rPr>
          <w:rFonts w:ascii="Times New Roman" w:hAnsi="Times New Roman" w:eastAsia="宋体"/>
          <w:b w:val="0"/>
          <w:sz w:val="18"/>
        </w:rPr>
        <w:t>[26] Rodrigues H, Parr W V，Contribution of cross-cultural studies to understanding wine appreciation: A review，Food Research International，115：251-258，2019. DOI: 10.1016/j.foodres.2018.09.008.</w:t>
      </w:r>
    </w:p>
    <w:p>
      <w:pPr>
        <w:keepLines/>
        <w:spacing w:after="0" w:line="240" w:lineRule="auto"/>
        <w:ind w:firstLine="0"/>
      </w:pPr>
      <w:r>
        <w:rPr>
          <w:rFonts w:ascii="Times New Roman" w:hAnsi="Times New Roman" w:eastAsia="宋体"/>
          <w:b w:val="0"/>
          <w:sz w:val="18"/>
        </w:rPr>
        <w:t>[27] Chambers E, Koppel K，Associations of Volatile Compounds with Sensory Aroma and Flavor: The Complex Nature of Flavor，Molecules，18(5)：4887-4905，2013. DOI: 10.3390/molecules18054887.</w:t>
      </w:r>
    </w:p>
    <w:p>
      <w:pPr>
        <w:keepLines/>
        <w:spacing w:after="0" w:line="240" w:lineRule="auto"/>
        <w:ind w:firstLine="0"/>
      </w:pPr>
      <w:r>
        <w:rPr>
          <w:rFonts w:ascii="Times New Roman" w:hAnsi="Times New Roman" w:eastAsia="宋体"/>
          <w:b w:val="0"/>
          <w:sz w:val="18"/>
        </w:rPr>
        <w:t>[28] Korneva E, Blockeel H，Towards Better Evaluation of Multi-target Regression Models[C]//ECML PKDD 2020 Workshops（Communications in Computer and Information Science）: 353-362, 2020.</w:t>
      </w:r>
    </w:p>
    <w:p>
      <w:pPr>
        <w:keepLines/>
        <w:spacing w:after="0" w:line="240" w:lineRule="auto"/>
        <w:ind w:firstLine="0"/>
      </w:pPr>
      <w:r>
        <w:rPr>
          <w:rFonts w:ascii="Times New Roman" w:hAnsi="Times New Roman" w:eastAsia="宋体"/>
          <w:b w:val="0"/>
          <w:sz w:val="18"/>
        </w:rPr>
        <w:t>[29] Friedman J H，Greedy function approximation: A gradient boosting machine，The Annals of Statistics，29(5)：1189-1232，2001. DOI: 10.1214/aos/1013203451.</w:t>
      </w:r>
    </w:p>
    <w:p>
      <w:pPr>
        <w:keepLines/>
        <w:spacing w:after="0" w:line="240" w:lineRule="auto"/>
        <w:ind w:firstLine="0"/>
      </w:pPr>
      <w:r>
        <w:rPr>
          <w:rFonts w:ascii="Times New Roman" w:hAnsi="Times New Roman" w:eastAsia="宋体"/>
          <w:b w:val="0"/>
          <w:sz w:val="18"/>
        </w:rPr>
        <w:t>[30] Efron B，Bootstrap Methods: Another Look at the Jackknife，The Annals of Statistics，7(1)：1-26，1979. DOI: 10.1214/aos/1176344552.</w:t>
      </w:r>
    </w:p>
    <w:p>
      <w:pPr>
        <w:keepLines/>
        <w:spacing w:after="0" w:line="240" w:lineRule="auto"/>
        <w:ind w:firstLine="0"/>
      </w:pPr>
      <w:r>
        <w:rPr>
          <w:rFonts w:ascii="Times New Roman" w:hAnsi="Times New Roman" w:eastAsia="宋体"/>
          <w:b w:val="0"/>
          <w:sz w:val="18"/>
        </w:rPr>
        <w:t>[31] Arlot S, Celisse A，A survey of cross-validation procedures for model selection，Statistics Surveys，4：40-79，2010. DOI: 10.1214/09-SS054.</w:t>
      </w:r>
    </w:p>
    <w:p>
      <w:pPr>
        <w:keepLines/>
        <w:spacing w:after="0" w:line="240" w:lineRule="auto"/>
        <w:ind w:firstLine="0"/>
      </w:pPr>
      <w:r>
        <w:rPr>
          <w:rFonts w:ascii="Times New Roman" w:hAnsi="Times New Roman" w:eastAsia="宋体"/>
          <w:b w:val="0"/>
          <w:sz w:val="18"/>
        </w:rPr>
        <w:t>[32] Hastie T, Tibshirani R, Friedman J，The Elements of Statistical Learning: Data Mining, Inference, and Prediction[M]. New York: Springer（Springer Series in Statistics）, 2009.</w:t>
      </w:r>
    </w:p>
    <w:p>
      <w:pPr>
        <w:keepLines/>
        <w:spacing w:after="0" w:line="240" w:lineRule="auto"/>
        <w:ind w:firstLine="0"/>
      </w:pPr>
      <w:r>
        <w:rPr>
          <w:rFonts w:ascii="Times New Roman" w:hAnsi="Times New Roman" w:eastAsia="宋体"/>
          <w:b w:val="0"/>
          <w:sz w:val="18"/>
        </w:rPr>
        <w:t>[33] Lawless H T, Heymann H，Sensory Evaluation of Food: Principles and Practices[M]. New York: Springer（Food Science Text Series）, 2010.</w:t>
      </w:r>
    </w:p>
    <w:p>
      <w:pPr>
        <w:keepLines/>
        <w:spacing w:after="0" w:line="240" w:lineRule="auto"/>
        <w:ind w:firstLine="0"/>
      </w:pPr>
      <w:r>
        <w:rPr>
          <w:rFonts w:ascii="Times New Roman" w:hAnsi="Times New Roman" w:eastAsia="宋体"/>
          <w:b w:val="0"/>
          <w:sz w:val="18"/>
        </w:rPr>
        <w:t>[34] Stone H, Sidel J, Oliver S, Woolsey A, Singleton R C，Sensory Evaluation by Quantitative Descriptive Analysis[C]//Descriptive Sensory Analysis in Practice（Wiley）: 23-34, 2004.</w:t>
      </w:r>
    </w:p>
    <w:p>
      <w:pPr>
        <w:keepLines/>
        <w:spacing w:after="0" w:line="240" w:lineRule="auto"/>
        <w:ind w:firstLine="0"/>
      </w:pPr>
      <w:r>
        <w:rPr>
          <w:rFonts w:ascii="Times New Roman" w:hAnsi="Times New Roman" w:eastAsia="宋体"/>
          <w:b w:val="0"/>
          <w:sz w:val="18"/>
        </w:rPr>
        <w:t>[35] Harris C R, Millman K J, van der Walt S J, 等，Array programming with NumPy，Nature，585(7825)：357-362，2020. DOI: 10.1038/s41586-020-2649-2.</w:t>
      </w:r>
    </w:p>
    <w:p>
      <w:pPr>
        <w:keepLines/>
        <w:spacing w:after="0" w:line="240" w:lineRule="auto"/>
        <w:ind w:firstLine="0"/>
      </w:pPr>
      <w:r>
        <w:rPr>
          <w:rFonts w:ascii="Times New Roman" w:hAnsi="Times New Roman" w:eastAsia="宋体"/>
          <w:b w:val="0"/>
          <w:sz w:val="18"/>
        </w:rPr>
        <w:t>[36] Ma J, Thomas V, Hosseinzadeh R, et al，TabDPT: Scaling Tabular Foundation Models on Real Data[C]//Advances in Neural Information Processing Systems 38, 2025.</w:t>
      </w:r>
    </w:p>
    <w:p>
      <w:pPr>
        <w:keepLines/>
        <w:spacing w:after="0" w:line="240" w:lineRule="auto"/>
        <w:ind w:firstLine="0"/>
      </w:pPr>
      <w:r>
        <w:rPr>
          <w:rFonts w:ascii="Times New Roman" w:hAnsi="Times New Roman" w:eastAsia="宋体"/>
          <w:b w:val="0"/>
          <w:sz w:val="18"/>
        </w:rPr>
        <w:t>[37] Sun S, Yu R，Copula Conformal prediction for multi-step time series prediction[C]//International Conference on Learning Representations 2024, 2024.</w:t>
      </w:r>
    </w:p>
    <w:p>
      <w:pPr>
        <w:keepLines/>
        <w:spacing w:after="0" w:line="240" w:lineRule="auto"/>
        <w:ind w:firstLine="0"/>
      </w:pPr>
      <w:r>
        <w:rPr>
          <w:rFonts w:ascii="Times New Roman" w:hAnsi="Times New Roman" w:eastAsia="宋体"/>
          <w:b w:val="0"/>
          <w:sz w:val="18"/>
        </w:rPr>
        <w:t>[38] Chen Y, Huang H, Yin R, He X, Guo L, Song Y, Zhao D, Sun J, Li J, Huang M, Sun B，Multi-Technique Flavoromics for Identifying Key Differential Volatile Compounds Underlying Sensory Profiles in Lager Beers，Foods，14(19)：3428，2025. DOI: 10.3390/foods14193428.</w:t>
      </w:r>
    </w:p>
    <w:p>
      <w:pPr>
        <w:keepLines/>
        <w:spacing w:after="0" w:line="240" w:lineRule="auto"/>
        <w:ind w:firstLine="0"/>
      </w:pPr>
      <w:r>
        <w:rPr>
          <w:rFonts w:ascii="Times New Roman" w:hAnsi="Times New Roman" w:eastAsia="宋体"/>
          <w:b w:val="0"/>
          <w:sz w:val="18"/>
        </w:rPr>
        <w:t>本论文使用的人工智能工具：[39]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原方案分析使用Python 3.12.10；新增问题一实验使用Python 3.12.12、torch 2.8.0+cu128、tabpfn 9.2.0、numpy 2.5.4、pandas 3.1.0、scikit-learn 1.9.1。原环境依赖，依赖版本锁定如下（名称==版本）：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GB；原方案计算使用CPU；新增问题一模型使用RTX 5060 Ti 16GB GPU；预训练先验 TabPFN 3.5 的权重文件不随支撑材料分发，由公开模型仓库按文件名获取后置于指定目录。</w:t>
      </w:r>
    </w:p>
    <w:p>
      <w:pPr>
        <w:spacing w:after="80" w:line="324" w:lineRule="auto"/>
      </w:pPr>
      <w:r>
        <w:rPr>
          <w:rFonts w:ascii="Times New Roman" w:hAnsi="Times New Roman" w:eastAsia="宋体"/>
          <w:b w:val="0"/>
          <w:sz w:val="18"/>
        </w:rPr>
        <w:t>新增问题一结果与正文由Codex（GPT-6，OpenAI，2026-10-30）辅助整理；指标与标签通过程序复算，团队人工复核待完成。</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scripts/import_q1_tabpfn_final.py --experiment-root ../repo</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其他工具与辅助脚本：build_release_manifest.py</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问题一：import_q1_tabpfn_final.py、q1_absolute_anchor.py、q1_bootstrap.py、q1_entry.py、q1_evaluation.py、q1_figures.py、q1_final_r2_figures.py、q1_leakage_check.py、q1_models.py、q1_pipeline.py、q1_predict.py、q1_tabpfn_cv.py、q1_visualize.py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以上合计 51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单元测试（tests/）：test_consumer_layer.py、test_corr_type.py、test_data_contract.py、test_literature.py、test_plot_style.py、test_q1_paper_revision.py、test_release_hardening.py、test_scale_audit.py</w:t>
      </w:r>
    </w:p>
    <w:p>
      <w:pPr>
        <w:spacing w:after="60" w:line="324" w:lineRule="auto"/>
      </w:pPr>
      <w:r>
        <w:rPr>
          <w:rFonts w:ascii="Times New Roman" w:hAnsi="Times New Roman" w:eastAsia="宋体"/>
          <w:b w:val="0"/>
          <w:sz w:val="18"/>
        </w:rPr>
        <w:t>单元测试（tests_q1/）：conftest.py、test_absolute_summary.py、test_q1_deliverables.py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data/processed/q1_tabpfn_final/ —— 最终TabPFN模型总表、留出预测、250款分级评分与来源清单</w:t>
      </w:r>
    </w:p>
    <w:p>
      <w:pPr>
        <w:spacing w:after="40" w:line="324" w:lineRule="auto"/>
      </w:pPr>
      <w:r>
        <w:rPr>
          <w:rFonts w:ascii="Times New Roman" w:hAnsi="Times New Roman" w:eastAsia="宋体"/>
          <w:b w:val="0"/>
          <w:sz w:val="18"/>
        </w:rPr>
        <w:t>data/processed/q1_final/ —— 原问题一对照：模型总表、逐维指标、分级切点、阈值锚定参数、250×50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38 条。</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fldSimple w:instr=" PAGE ">
      <w:r>
        <w:t>1</w:t>
      </w:r>
    </w:fldSimple>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