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 227 个化学特征（统一矩阵 231 列中剔除 4 个派生求和列）预测 50 个感官维度，七个模型族在固定的 175/75 风格分层留出集上取得相对全局均值基线约 15% 的宏平均 RMSE 改善，并另行保留原始 231 特征、KFold 协议下的 TabPFN 3.5 队友复现作为协议核对，不将其与主模型直接比较；同时交付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系数双重量化稳定性。问题三以全局高斯 Copula 加风格条件边际生成化合谱，在硬约束合规层面实现零违规，同时报告无约束真实性参照与受约束后的分布压缩，并以秩—分位映射完成跨风格迁移。本文进一步以 183 维消费者描述符与 189 款啤酒的零售价格作为外部验证，并重新检验缺陷化合物的剂量—响应关系；对原研究「提升消费者喜爱度」一环，因附件不含消费者评分标签，明确声明其在本附件条件下不可检验。</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3</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5</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问题一：多任务回归与双轨分级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8</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12</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15</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19</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22</w:t>
      </w:r>
    </w:p>
    <w:p>
      <w:pPr>
        <w:tabs>
          <w:tab w:pos="8787" w:val="right" w:leader="dot"/>
        </w:tabs>
        <w:spacing w:after="40"/>
        <w:ind w:left="0"/>
      </w:pPr>
      <w:r>
        <w:rPr>
          <w:rFonts w:ascii="Times New Roman" w:hAnsi="Times New Roman" w:eastAsia="宋体"/>
          <w:b w:val="0"/>
          <w:sz w:val="21"/>
        </w:rPr>
        <w:t>六、讨论：局限与改进</w:t>
      </w:r>
      <w:r>
        <w:rPr>
          <w:rFonts w:ascii="Times New Roman" w:hAnsi="Times New Roman" w:eastAsia="宋体"/>
          <w:b w:val="0"/>
          <w:sz w:val="20"/>
        </w:rPr>
        <w:tab/>
        <w:t>26</w:t>
      </w:r>
    </w:p>
    <w:p>
      <w:pPr>
        <w:tabs>
          <w:tab w:pos="8787" w:val="right" w:leader="dot"/>
        </w:tabs>
        <w:spacing w:after="40"/>
        <w:ind w:left="360"/>
      </w:pPr>
      <w:r>
        <w:rPr>
          <w:rFonts w:ascii="Times New Roman" w:hAnsi="Times New Roman" w:eastAsia="宋体"/>
          <w:b w:val="0"/>
          <w:sz w:val="20"/>
        </w:rPr>
        <w:t>6.1 主要局限</w:t>
      </w:r>
      <w:r>
        <w:rPr>
          <w:rFonts w:ascii="Times New Roman" w:hAnsi="Times New Roman" w:eastAsia="宋体"/>
          <w:b w:val="0"/>
          <w:sz w:val="20"/>
        </w:rPr>
        <w:tab/>
        <w:t>26</w:t>
      </w:r>
    </w:p>
    <w:p>
      <w:pPr>
        <w:tabs>
          <w:tab w:pos="8787" w:val="right" w:leader="dot"/>
        </w:tabs>
        <w:spacing w:after="40"/>
        <w:ind w:left="360"/>
      </w:pPr>
      <w:r>
        <w:rPr>
          <w:rFonts w:ascii="Times New Roman" w:hAnsi="Times New Roman" w:eastAsia="宋体"/>
          <w:b w:val="0"/>
          <w:sz w:val="20"/>
        </w:rPr>
        <w:t>6.2 改进方向</w:t>
      </w:r>
      <w:r>
        <w:rPr>
          <w:rFonts w:ascii="Times New Roman" w:hAnsi="Times New Roman" w:eastAsia="宋体"/>
          <w:b w:val="0"/>
          <w:sz w:val="20"/>
        </w:rPr>
        <w:tab/>
        <w:t>27</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27</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赛题附件是 Schreurs M、Verstrepen P J 等人发表在 Nature Communications 的原始研究的公开数据与补充材料 [1]：其正文以 250 款商用啤酒的化学测量与受训品评小组的感官结果为核心数据，并公开了化合物—化合物、感官—感官与化合物—感官三张相关矩阵、感官品评卡、论坛评述派生描述符以及阈值与名称参考表。本文</w:t>
      </w:r>
      <w:r>
        <w:rPr>
          <w:rFonts w:ascii="Times New Roman" w:hAnsi="Times New Roman" w:eastAsia="宋体"/>
          <w:b/>
          <w:sz w:val="21"/>
        </w:rPr>
        <w:t>不是对该研究的重复报道</w:t>
      </w:r>
      <w:r>
        <w:rPr>
          <w:rFonts w:ascii="Times New Roman" w:hAnsi="Times New Roman" w:eastAsia="宋体"/>
          <w:b w:val="0"/>
          <w:sz w:val="21"/>
        </w:rPr>
        <w:t>，而是对其公开数据的一次</w:t>
      </w:r>
      <w:r>
        <w:rPr>
          <w:rFonts w:ascii="Times New Roman" w:hAnsi="Times New Roman" w:eastAsia="宋体"/>
          <w:b/>
          <w:sz w:val="21"/>
        </w:rPr>
        <w:t>独立复现与再分析</w:t>
      </w:r>
      <w:r>
        <w:rPr>
          <w:rFonts w:ascii="Times New Roman" w:hAnsi="Times New Roman" w:eastAsia="宋体"/>
          <w:b w:val="0"/>
          <w:sz w:val="21"/>
        </w:rPr>
        <w:t>：所有量纲裁定、相关类型裁定、名称桥、建模与评估均由本文重新实现与复算，附件中未被明示的语义一律以可复算的证据裁定，而不是沿用原文结论。</w:t>
      </w:r>
    </w:p>
    <w:p>
      <w:pPr>
        <w:spacing w:after="80" w:line="324" w:lineRule="auto"/>
        <w:ind w:firstLine="420"/>
      </w:pPr>
      <w:r>
        <w:rPr>
          <w:rFonts w:ascii="Times New Roman" w:hAnsi="Times New Roman" w:eastAsia="宋体"/>
          <w:b w:val="0"/>
          <w:sz w:val="21"/>
        </w:rPr>
        <w:t>据此，本文相对原文的增量贡献有三点。其一，识别并给出三处与官方赛题文本表述不一致的数据语义问题——三张相关矩阵的相关系数类型、品评卡模板的实际内容、1.csv 的标度结构——并逐条附上复算证据；其二，在原研究面向消费者偏好、而附件并未提供任何消费者评分标签的前提下，本文以 183 维论坛派生消费者描述符与 189 款啤酒的零售价格为外部代理，构造「化学→消费者感知」与「化学→市场价值」两条验证路径；其三，在原始剂量—响应证据不可得的条件下，重新检验缺陷化合物的剂量—响应关系。必须明确声明的是：</w:t>
      </w:r>
      <w:r>
        <w:rPr>
          <w:rFonts w:ascii="Times New Roman" w:hAnsi="Times New Roman" w:eastAsia="宋体"/>
          <w:b/>
          <w:sz w:val="21"/>
        </w:rPr>
        <w:t>附件未提供任何消费者评分或喜爱度标签，因此本文不声称复现原研究对消费者喜爱度的预测</w:t>
      </w:r>
      <w:r>
        <w:rPr>
          <w:rFonts w:ascii="Times New Roman" w:hAnsi="Times New Roman" w:eastAsia="宋体"/>
          <w:b w:val="0"/>
          <w:sz w:val="21"/>
        </w:rPr>
        <w:t>，只在可观测的描述符与价格代理上做验证，并把「喜爱度是否可提升」明确标注为在本附件条件下不可检验的一环。</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什么样的啤酒好喝、为什么好喝、以及如何据此设计出新的化合物谱</w:t>
      </w:r>
      <w:r>
        <w:rPr>
          <w:rFonts w:ascii="Times New Roman" w:hAnsi="Times New Roman" w:eastAsia="宋体"/>
          <w:b w:val="0"/>
          <w:sz w:val="21"/>
        </w:rPr>
        <w:t>。对应到三问：第一问用化学指纹预测感官评分，回答「什么样的啤酒好喝」；第二问把感官维度拆解到具体化合物，回答「为什么好喝」；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款商用啤酒的化学测量数据、感官品评数据与多张相关矩阵为输入，要求完成三件本质上互不相同的任务：三其一是在感官标签仅以标准化形式给出的条件下，还原并给出可解释的0–6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本文的总体应对是：先用一套可复算的证据把数据的真实语义钉死，再让三个问题共享同一份经过审计的特征矩阵。具体而言，(1) 逐列裁定 1.csv 的变换标度；(2) 以「重算相关矩阵并与给定矩阵逐元素比对」的方式裁定三张相关矩阵的相关系数类型；(3) 建立跨附件的名称桥，使相关矩阵、阈值表与特征矩阵可以对齐；(4) 区分左删失（未检出）与真缺失；(5) 固定按风格分层的训练/留出划分，所有调参只在训练集内部完成。</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近期 flavoromics 研究也表明，多平台化学—感官证据可用于筛查候选化合物，但跨平台结果不能未经校准地并入本项目训练集[38]。</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TabDPT[36] 可作为后续的表格基础模型对照，但不作为本项目当前提交的必做主线。本文在问题一同时使用这三类归纳偏置，并在问题二把归因与秩相关并列作为证据，避免以单一视角替代真值。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是一种低成本的分解方案[6]；秩—分位映射则是相关结构与边际分布解耦的经典做法[7]，可在保持秩相关不变的前提下把样本迁移到另一组边际上。联合预测区间与 Copula 依赖结构的研究（如 CopulaCPTS[37]）可启发不确定性扩展，但其时间序列保证不能直接改写为本项目静态数据保证。本文的问题三正是这一组合：Copula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原始工作与数据来源[1][38]；2.2 感官预测与可解释机器学习[2][3][4][11][29][36]；2.3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实际使用的软件与运行环境[35]；2.4 合成数据、Copula 与秩—分位映射[37]。</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QWK</w:t>
            </w:r>
          </w:p>
        </w:tc>
        <w:tc>
          <w:tcPr>
            <w:tcW w:type="dxa" w:w="4535"/>
          </w:tcPr>
          <w:p>
            <w:pPr>
              <w:jc w:val="center"/>
            </w:pPr>
            <w:r/>
            <w:r>
              <w:rPr>
                <w:rFonts w:ascii="Times New Roman" w:hAnsi="Times New Roman" w:eastAsia="宋体"/>
                <w:b w:val="0"/>
                <w:sz w:val="17"/>
              </w:rPr>
              <w:t>二次加权 Kappa，衡量 0–6 相对分级与感官真值的一致性</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1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2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问题一：多任务回归与双轨分级</w:t>
      </w:r>
    </w:p>
    <w:p>
      <w:pPr>
        <w:spacing w:after="80" w:line="324" w:lineRule="auto"/>
        <w:ind w:firstLine="420"/>
      </w:pPr>
      <w:r>
        <w:rPr>
          <w:rFonts w:ascii="Times New Roman" w:hAnsi="Times New Roman" w:eastAsia="宋体"/>
          <w:b w:val="0"/>
          <w:sz w:val="21"/>
        </w:rPr>
        <w:t>问题一以 1.csv 的化合物特征预测 50 个感官维度。特征取统一标度后的 227 个化学量，剔除 4 个公式未经验证的派生求和列；模型采用岭回归、偏最小二乘回归、多任务弹性网络、全局与分组极端随机树、逐指标梯度提升回归共七个主模型族；另保留 TabPFN 3.5 的队友协议五折复现，以覆盖线性低秩、强稀疏与树形非线性三类归纳偏置。该复现使用 231 个原始特征和 KFold，与主模型的 227 特征、固定 175/75 留出协议不同，只作协议核对，不参与主模型优劣排序。主指标为宏平均均方根误差，并同时报告宏平均绝对误差、逐维决定系数中位数、斯皮尔曼相关系数中位数。</w:t>
      </w:r>
    </w:p>
    <w:p>
      <w:pPr>
        <w:spacing w:after="80" w:line="324" w:lineRule="auto"/>
        <w:ind w:firstLine="420"/>
      </w:pPr>
      <w:r>
        <w:rPr>
          <w:rFonts w:ascii="Times New Roman" w:hAnsi="Times New Roman" w:eastAsia="宋体"/>
          <w:b w:val="0"/>
          <w:sz w:val="21"/>
        </w:rPr>
        <w:t>由于附件未提供原始 0–6 分数，0–6 分制必须显式构造。本文采用双轨：</w:t>
      </w:r>
      <w:r>
        <w:rPr>
          <w:rFonts w:ascii="Times New Roman" w:hAnsi="Times New Roman" w:eastAsia="宋体"/>
          <w:b/>
          <w:sz w:val="21"/>
        </w:rPr>
        <w:t>主轨为相对分级</w:t>
      </w:r>
      <w:r>
        <w:rPr>
          <w:rFonts w:ascii="Times New Roman" w:hAnsi="Times New Roman" w:eastAsia="宋体"/>
          <w:b w:val="0"/>
          <w:sz w:val="21"/>
        </w:rPr>
        <w:t>，对每个维度取训练集的六等分位数作为切点，真实值与预测值用同一组切点离散化为 0–6 级，切点只由训练集学习以避免信息泄漏，并报告等级平均绝对误差、精确命中率、相邻一级命中率与二次加权 Kappa；</w:t>
      </w:r>
      <w:r>
        <w:rPr>
          <w:rFonts w:ascii="Times New Roman" w:hAnsi="Times New Roman" w:eastAsia="宋体"/>
          <w:b/>
          <w:sz w:val="21"/>
        </w:rPr>
        <w:t>副轨为阈值锚定的绝对分</w:t>
      </w:r>
      <w:r>
        <w:rPr>
          <w:rFonts w:ascii="Times New Roman" w:hAnsi="Times New Roman" w:eastAsia="宋体"/>
          <w:b w:val="0"/>
          <w:sz w:val="21"/>
        </w:rPr>
        <w:t>，对存在明确化学载体的维度（苦味—异构 α 酸、酒精—乙醇、硫醚—二甲基硫醚、4-乙烯基愈创木酚、糊精—双乙酰、trans-2-壬烯醛、金属感—铁、酸感—乳酸、酒体—蛋白、甜度—残糖、碳酸—二氧化碳）尝试以「化合物低于感知阈值对应 0 分」与「化合物达到训练集高分位对应 6 分」两点确定仿射映射，再把标准化标签反解为绝对分。</w:t>
      </w:r>
    </w:p>
    <w:p>
      <w:pPr>
        <w:spacing w:after="80" w:line="324" w:lineRule="auto"/>
        <w:ind w:firstLine="420"/>
      </w:pPr>
      <w:r>
        <w:rPr>
          <w:rFonts w:ascii="Times New Roman" w:hAnsi="Times New Roman" w:eastAsia="宋体"/>
          <w:b w:val="0"/>
          <w:sz w:val="21"/>
        </w:rPr>
        <w:t>由于逐维度条件苛刻，副轨设置了明确的</w:t>
      </w:r>
      <w:r>
        <w:rPr>
          <w:rFonts w:ascii="Times New Roman" w:hAnsi="Times New Roman" w:eastAsia="宋体"/>
          <w:b/>
          <w:sz w:val="21"/>
        </w:rPr>
        <w:t>有效性护栏</w:t>
      </w:r>
      <w:r>
        <w:rPr>
          <w:rFonts w:ascii="Times New Roman" w:hAnsi="Times New Roman" w:eastAsia="宋体"/>
          <w:b w:val="0"/>
          <w:sz w:val="21"/>
        </w:rPr>
        <w:t>，五条须同时满足：载体在参考表中存在感知阈值；载体与该感官维度的斯皮尔曼相关系数不低于 0.3 且为正；0 分锚点对应的训练集分位不高于 0.6；两个锚点的标准分带宽不小于 0.5；映射后落在 0 至 6 区间内的比例不低于 0.3。任一条不满足即判定该维度的绝对锚定不成立，其绝对分留空，仅提供相对分级，并在参数表中逐条记录失效原因。需要强调：副轨是</w:t>
      </w:r>
      <w:r>
        <w:rPr>
          <w:rFonts w:ascii="Times New Roman" w:hAnsi="Times New Roman" w:eastAsia="宋体"/>
          <w:b/>
          <w:sz w:val="21"/>
        </w:rPr>
        <w:t>本文提出的、基于感官阈值的一阶近似</w:t>
      </w:r>
      <w:r>
        <w:rPr>
          <w:rFonts w:ascii="Times New Roman" w:hAnsi="Times New Roman" w:eastAsia="宋体"/>
          <w:b w:val="0"/>
          <w:sz w:val="21"/>
        </w:rPr>
        <w:t>，不等价于实测的原始评分；护栏的存在本身也说明，在本数据集上化学信号与感官评分的联系只在少数维度上足以支撑绝对标定。</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附件没有提供任何消费者评分或喜爱度标签：4.csv 给出的是受训品评小组的感官结果，7.csv 给出的是论坛评论派生的描述符特征，二者都不是「消费者喜爱度」。因此本文</w:t>
      </w:r>
      <w:r>
        <w:rPr>
          <w:rFonts w:ascii="Times New Roman" w:hAnsi="Times New Roman" w:eastAsia="宋体"/>
          <w:b/>
          <w:sz w:val="21"/>
        </w:rPr>
        <w:t>不构造喜爱度目标</w:t>
      </w:r>
      <w:r>
        <w:rPr>
          <w:rFonts w:ascii="Times New Roman" w:hAnsi="Times New Roman" w:eastAsia="宋体"/>
          <w:b w:val="0"/>
          <w:sz w:val="21"/>
        </w:rPr>
        <w:t>，而是把消费者层建模限定为两件可检验的事。第一，描述符的可用性：7.csv 的 186 个描述符列中，palate_acetaldehyde、palate_acetate、palate_dentist 三列整列为空（每列 250 个缺失），有效描述符为 183 维；本文同时以 183 维消费者描述符与 50 维品评组感官为预测目标，形成「化学→消费者描述符」与「化学→品评组感官」两条并行路径，并对两者做交叉一致性检验。第二，是否可把多维感知压缩成单一喜爱度轴：183 维描述符经标准化后的第一主成分解释率仅为 10.4%，远不足以支撑把多维感知压成一维喜爱度，因此本文不做降维造标签，只把多维描述符整体作为目标。</w:t>
      </w:r>
    </w:p>
    <w:p>
      <w:pPr>
        <w:spacing w:after="80" w:line="324" w:lineRule="auto"/>
        <w:ind w:firstLine="420"/>
      </w:pPr>
      <w:r>
        <w:rPr>
          <w:rFonts w:ascii="Times New Roman" w:hAnsi="Times New Roman" w:eastAsia="宋体"/>
          <w:b w:val="0"/>
          <w:sz w:val="21"/>
        </w:rPr>
        <w:t>第三，外部价值信号：8.xlsx 给出 7 个零售来源的逐款价格，其中覆盖 ≥2 家零售商的共 189 款可计算几何均价（GM）；本文以价格为外部价值代理，回归中控制酒精度与风格，并明确其局限——价格来自同一附件内 7 家零售商的跨币种报价，未做汇率换算，是市场价值的代理而非消费者效用本身。</w:t>
      </w:r>
      <w:r>
        <w:rPr>
          <w:rFonts w:ascii="Times New Roman" w:hAnsi="Times New Roman" w:eastAsia="宋体"/>
          <w:b/>
          <w:sz w:val="21"/>
        </w:rPr>
        <w:t>另需披露一项附件层面的限制</w:t>
      </w:r>
      <w:r>
        <w:rPr>
          <w:rFonts w:ascii="Times New Roman" w:hAnsi="Times New Roman" w:eastAsia="宋体"/>
          <w:b w:val="0"/>
          <w:sz w:val="21"/>
        </w:rPr>
        <w:t>：这 7 个来源分别位于美国、英国、比利时与面向全球的网店，标价币种涵盖美元、英镑与欧元，而附件未提供汇率列，本文因此</w:t>
      </w:r>
      <w:r>
        <w:rPr>
          <w:rFonts w:ascii="Times New Roman" w:hAnsi="Times New Roman" w:eastAsia="宋体"/>
          <w:b/>
          <w:sz w:val="21"/>
        </w:rPr>
        <w:t>未做任何币种换算</w:t>
      </w:r>
      <w:r>
        <w:rPr>
          <w:rFonts w:ascii="Times New Roman" w:hAnsi="Times New Roman" w:eastAsia="宋体"/>
          <w:b w:val="0"/>
          <w:sz w:val="21"/>
        </w:rPr>
        <w:t>；这使得 log 价格同时包含「真实品质溢价」与「币种/卖方价格水平差异」两部分，构成价格回归解释力的一个下界，本文的价格结论只作方向性参考。这一设计与原研究「提升消费者喜爱度」的结论形成对照：在本附件条件下，</w:t>
      </w:r>
      <w:r>
        <w:rPr>
          <w:rFonts w:ascii="Times New Roman" w:hAnsi="Times New Roman" w:eastAsia="宋体"/>
          <w:b/>
          <w:sz w:val="21"/>
        </w:rPr>
        <w:t>消费者喜爱度这一环不可检验</w:t>
      </w:r>
      <w:r>
        <w:rPr>
          <w:rFonts w:ascii="Times New Roman" w:hAnsi="Times New Roman" w:eastAsia="宋体"/>
          <w:b w:val="0"/>
          <w:sz w:val="21"/>
        </w:rPr>
        <w:t>，可检验的是消费者感知描述符的可预测性与化学谱的市场价值解释力。</w:t>
      </w:r>
    </w:p>
    <w:p>
      <w:pPr>
        <w:spacing w:before="200" w:after="120" w:line="312" w:lineRule="auto"/>
        <w:jc w:val="left"/>
      </w:pPr>
      <w:r>
        <w:rPr>
          <w:rFonts w:ascii="Times New Roman" w:hAnsi="Times New Roman" w:eastAsia="黑体"/>
          <w:b/>
          <w:sz w:val="30"/>
        </w:rPr>
        <w:t>五、实验结果</w:t>
      </w:r>
    </w:p>
    <w:p>
      <w:pPr>
        <w:spacing w:before="140" w:after="80" w:line="312" w:lineRule="auto"/>
        <w:jc w:val="left"/>
      </w:pPr>
      <w:r>
        <w:rPr>
          <w:rFonts w:ascii="Times New Roman" w:hAnsi="Times New Roman" w:eastAsia="黑体"/>
          <w:b/>
          <w:sz w:val="26"/>
        </w:rPr>
        <w:t>5.1 问题一：感官评分预测与 0–6 分制</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7"/>
              </w:rPr>
              <w:t>model</w:t>
            </w:r>
          </w:p>
        </w:tc>
        <w:tc>
          <w:tcPr>
            <w:tcW w:type="dxa" w:w="1008"/>
          </w:tcPr>
          <w:p>
            <w:pPr>
              <w:jc w:val="center"/>
            </w:pPr>
            <w:r/>
            <w:r>
              <w:rPr>
                <w:rFonts w:ascii="Times New Roman" w:hAnsi="Times New Roman" w:eastAsia="黑体"/>
                <w:b/>
                <w:sz w:val="17"/>
              </w:rPr>
              <w:t>Macro_RMSE</w:t>
            </w:r>
          </w:p>
        </w:tc>
        <w:tc>
          <w:tcPr>
            <w:tcW w:type="dxa" w:w="1008"/>
          </w:tcPr>
          <w:p>
            <w:pPr>
              <w:jc w:val="center"/>
            </w:pPr>
            <w:r/>
            <w:r>
              <w:rPr>
                <w:rFonts w:ascii="Times New Roman" w:hAnsi="Times New Roman" w:eastAsia="黑体"/>
                <w:b/>
                <w:sz w:val="17"/>
              </w:rPr>
              <w:t>Macro_MAE</w:t>
            </w:r>
          </w:p>
        </w:tc>
        <w:tc>
          <w:tcPr>
            <w:tcW w:type="dxa" w:w="1008"/>
          </w:tcPr>
          <w:p>
            <w:pPr>
              <w:jc w:val="center"/>
            </w:pPr>
            <w:r/>
            <w:r>
              <w:rPr>
                <w:rFonts w:ascii="Times New Roman" w:hAnsi="Times New Roman" w:eastAsia="黑体"/>
                <w:b/>
                <w:sz w:val="17"/>
              </w:rPr>
              <w:t>R2_median</w:t>
            </w:r>
          </w:p>
        </w:tc>
        <w:tc>
          <w:tcPr>
            <w:tcW w:type="dxa" w:w="1008"/>
          </w:tcPr>
          <w:p>
            <w:pPr>
              <w:jc w:val="center"/>
            </w:pPr>
            <w:r/>
            <w:r>
              <w:rPr>
                <w:rFonts w:ascii="Times New Roman" w:hAnsi="Times New Roman" w:eastAsia="黑体"/>
                <w:b/>
                <w:sz w:val="17"/>
              </w:rPr>
              <w:t>Spearman_median</w:t>
            </w:r>
          </w:p>
        </w:tc>
        <w:tc>
          <w:tcPr>
            <w:tcW w:type="dxa" w:w="1008"/>
          </w:tcPr>
          <w:p>
            <w:pPr>
              <w:jc w:val="center"/>
            </w:pPr>
            <w:r/>
            <w:r>
              <w:rPr>
                <w:rFonts w:ascii="Times New Roman" w:hAnsi="Times New Roman" w:eastAsia="黑体"/>
                <w:b/>
                <w:sz w:val="17"/>
              </w:rPr>
              <w:t>proxy_grade_MAE</w:t>
            </w:r>
          </w:p>
        </w:tc>
        <w:tc>
          <w:tcPr>
            <w:tcW w:type="dxa" w:w="1008"/>
          </w:tcPr>
          <w:p>
            <w:pPr>
              <w:jc w:val="center"/>
            </w:pPr>
            <w:r/>
            <w:r>
              <w:rPr>
                <w:rFonts w:ascii="Times New Roman" w:hAnsi="Times New Roman" w:eastAsia="黑体"/>
                <w:b/>
                <w:sz w:val="17"/>
              </w:rPr>
              <w:t>proxy_exact_accuracy</w:t>
            </w:r>
          </w:p>
        </w:tc>
        <w:tc>
          <w:tcPr>
            <w:tcW w:type="dxa" w:w="1008"/>
          </w:tcPr>
          <w:p>
            <w:pPr>
              <w:jc w:val="center"/>
            </w:pPr>
            <w:r/>
            <w:r>
              <w:rPr>
                <w:rFonts w:ascii="Times New Roman" w:hAnsi="Times New Roman" w:eastAsia="黑体"/>
                <w:b/>
                <w:sz w:val="17"/>
              </w:rPr>
              <w:t>proxy_within_one_accuracy</w:t>
            </w:r>
          </w:p>
        </w:tc>
        <w:tc>
          <w:tcPr>
            <w:tcW w:type="dxa" w:w="1008"/>
          </w:tcPr>
          <w:p>
            <w:pPr>
              <w:jc w:val="center"/>
            </w:pPr>
            <w:r/>
            <w:r>
              <w:rPr>
                <w:rFonts w:ascii="Times New Roman" w:hAnsi="Times New Roman" w:eastAsia="黑体"/>
                <w:b/>
                <w:sz w:val="17"/>
              </w:rPr>
              <w:t>proxy_quadratic_kappa</w:t>
            </w:r>
          </w:p>
        </w:tc>
      </w:tr>
      <w:tr>
        <w:tc>
          <w:tcPr>
            <w:tcW w:type="dxa" w:w="1008"/>
          </w:tcPr>
          <w:p>
            <w:pPr>
              <w:jc w:val="center"/>
            </w:pPr>
            <w:r/>
            <w:r>
              <w:rPr>
                <w:rFonts w:ascii="Times New Roman" w:hAnsi="Times New Roman" w:eastAsia="宋体"/>
                <w:b w:val="0"/>
                <w:sz w:val="17"/>
              </w:rPr>
              <w:t>independent_gbr</w:t>
            </w:r>
          </w:p>
        </w:tc>
        <w:tc>
          <w:tcPr>
            <w:tcW w:type="dxa" w:w="1008"/>
          </w:tcPr>
          <w:p>
            <w:pPr>
              <w:jc w:val="center"/>
            </w:pPr>
            <w:r/>
            <w:r>
              <w:rPr>
                <w:rFonts w:ascii="Times New Roman" w:hAnsi="Times New Roman" w:eastAsia="宋体"/>
                <w:b w:val="0"/>
                <w:sz w:val="17"/>
              </w:rPr>
              <w:t>0.4880</w:t>
            </w:r>
          </w:p>
        </w:tc>
        <w:tc>
          <w:tcPr>
            <w:tcW w:type="dxa" w:w="1008"/>
          </w:tcPr>
          <w:p>
            <w:pPr>
              <w:jc w:val="center"/>
            </w:pPr>
            <w:r/>
            <w:r>
              <w:rPr>
                <w:rFonts w:ascii="Times New Roman" w:hAnsi="Times New Roman" w:eastAsia="宋体"/>
                <w:b w:val="0"/>
                <w:sz w:val="17"/>
              </w:rPr>
              <w:t>0.3505</w:t>
            </w:r>
          </w:p>
        </w:tc>
        <w:tc>
          <w:tcPr>
            <w:tcW w:type="dxa" w:w="1008"/>
          </w:tcPr>
          <w:p>
            <w:pPr>
              <w:jc w:val="center"/>
            </w:pPr>
            <w:r/>
            <w:r>
              <w:rPr>
                <w:rFonts w:ascii="Times New Roman" w:hAnsi="Times New Roman" w:eastAsia="宋体"/>
                <w:b w:val="0"/>
                <w:sz w:val="17"/>
              </w:rPr>
              <w:t>0.1833</w:t>
            </w:r>
          </w:p>
        </w:tc>
        <w:tc>
          <w:tcPr>
            <w:tcW w:type="dxa" w:w="1008"/>
          </w:tcPr>
          <w:p>
            <w:pPr>
              <w:jc w:val="center"/>
            </w:pPr>
            <w:r/>
            <w:r>
              <w:rPr>
                <w:rFonts w:ascii="Times New Roman" w:hAnsi="Times New Roman" w:eastAsia="宋体"/>
                <w:b w:val="0"/>
                <w:sz w:val="17"/>
              </w:rPr>
              <w:t>0.3819</w:t>
            </w:r>
          </w:p>
        </w:tc>
        <w:tc>
          <w:tcPr>
            <w:tcW w:type="dxa" w:w="1008"/>
          </w:tcPr>
          <w:p>
            <w:pPr>
              <w:jc w:val="center"/>
            </w:pPr>
            <w:r/>
            <w:r>
              <w:rPr>
                <w:rFonts w:ascii="Times New Roman" w:hAnsi="Times New Roman" w:eastAsia="宋体"/>
                <w:b w:val="0"/>
                <w:sz w:val="17"/>
              </w:rPr>
              <w:t>1.6085</w:t>
            </w:r>
          </w:p>
        </w:tc>
        <w:tc>
          <w:tcPr>
            <w:tcW w:type="dxa" w:w="1008"/>
          </w:tcPr>
          <w:p>
            <w:pPr>
              <w:jc w:val="center"/>
            </w:pPr>
            <w:r/>
            <w:r>
              <w:rPr>
                <w:rFonts w:ascii="Times New Roman" w:hAnsi="Times New Roman" w:eastAsia="宋体"/>
                <w:b w:val="0"/>
                <w:sz w:val="17"/>
              </w:rPr>
              <w:t>0.2067</w:t>
            </w:r>
          </w:p>
        </w:tc>
        <w:tc>
          <w:tcPr>
            <w:tcW w:type="dxa" w:w="1008"/>
          </w:tcPr>
          <w:p>
            <w:pPr>
              <w:jc w:val="center"/>
            </w:pPr>
            <w:r/>
            <w:r>
              <w:rPr>
                <w:rFonts w:ascii="Times New Roman" w:hAnsi="Times New Roman" w:eastAsia="宋体"/>
                <w:b w:val="0"/>
                <w:sz w:val="17"/>
              </w:rPr>
              <w:t>0.5397</w:t>
            </w:r>
          </w:p>
        </w:tc>
        <w:tc>
          <w:tcPr>
            <w:tcW w:type="dxa" w:w="1008"/>
          </w:tcPr>
          <w:p>
            <w:pPr>
              <w:jc w:val="center"/>
            </w:pPr>
            <w:r/>
            <w:r>
              <w:rPr>
                <w:rFonts w:ascii="Times New Roman" w:hAnsi="Times New Roman" w:eastAsia="宋体"/>
                <w:b w:val="0"/>
                <w:sz w:val="17"/>
              </w:rPr>
              <w:t>0.3048</w:t>
            </w:r>
          </w:p>
        </w:tc>
      </w:tr>
      <w:tr>
        <w:tc>
          <w:tcPr>
            <w:tcW w:type="dxa" w:w="1008"/>
          </w:tcPr>
          <w:p>
            <w:pPr>
              <w:jc w:val="center"/>
            </w:pPr>
            <w:r/>
            <w:r>
              <w:rPr>
                <w:rFonts w:ascii="Times New Roman" w:hAnsi="Times New Roman" w:eastAsia="宋体"/>
                <w:b w:val="0"/>
                <w:sz w:val="17"/>
              </w:rPr>
              <w:t>grouped_extra_trees</w:t>
            </w:r>
          </w:p>
        </w:tc>
        <w:tc>
          <w:tcPr>
            <w:tcW w:type="dxa" w:w="1008"/>
          </w:tcPr>
          <w:p>
            <w:pPr>
              <w:jc w:val="center"/>
            </w:pPr>
            <w:r/>
            <w:r>
              <w:rPr>
                <w:rFonts w:ascii="Times New Roman" w:hAnsi="Times New Roman" w:eastAsia="宋体"/>
                <w:b w:val="0"/>
                <w:sz w:val="17"/>
              </w:rPr>
              <w:t>0.4881</w:t>
            </w:r>
          </w:p>
        </w:tc>
        <w:tc>
          <w:tcPr>
            <w:tcW w:type="dxa" w:w="1008"/>
          </w:tcPr>
          <w:p>
            <w:pPr>
              <w:jc w:val="center"/>
            </w:pPr>
            <w:r/>
            <w:r>
              <w:rPr>
                <w:rFonts w:ascii="Times New Roman" w:hAnsi="Times New Roman" w:eastAsia="宋体"/>
                <w:b w:val="0"/>
                <w:sz w:val="17"/>
              </w:rPr>
              <w:t>0.3475</w:t>
            </w:r>
          </w:p>
        </w:tc>
        <w:tc>
          <w:tcPr>
            <w:tcW w:type="dxa" w:w="1008"/>
          </w:tcPr>
          <w:p>
            <w:pPr>
              <w:jc w:val="center"/>
            </w:pPr>
            <w:r/>
            <w:r>
              <w:rPr>
                <w:rFonts w:ascii="Times New Roman" w:hAnsi="Times New Roman" w:eastAsia="宋体"/>
                <w:b w:val="0"/>
                <w:sz w:val="17"/>
              </w:rPr>
              <w:t>0.1883</w:t>
            </w:r>
          </w:p>
        </w:tc>
        <w:tc>
          <w:tcPr>
            <w:tcW w:type="dxa" w:w="1008"/>
          </w:tcPr>
          <w:p>
            <w:pPr>
              <w:jc w:val="center"/>
            </w:pPr>
            <w:r/>
            <w:r>
              <w:rPr>
                <w:rFonts w:ascii="Times New Roman" w:hAnsi="Times New Roman" w:eastAsia="宋体"/>
                <w:b w:val="0"/>
                <w:sz w:val="17"/>
              </w:rPr>
              <w:t>0.4164</w:t>
            </w:r>
          </w:p>
        </w:tc>
        <w:tc>
          <w:tcPr>
            <w:tcW w:type="dxa" w:w="1008"/>
          </w:tcPr>
          <w:p>
            <w:pPr>
              <w:jc w:val="center"/>
            </w:pPr>
            <w:r/>
            <w:r>
              <w:rPr>
                <w:rFonts w:ascii="Times New Roman" w:hAnsi="Times New Roman" w:eastAsia="宋体"/>
                <w:b w:val="0"/>
                <w:sz w:val="17"/>
              </w:rPr>
              <w:t>1.6056</w:t>
            </w:r>
          </w:p>
        </w:tc>
        <w:tc>
          <w:tcPr>
            <w:tcW w:type="dxa" w:w="1008"/>
          </w:tcPr>
          <w:p>
            <w:pPr>
              <w:jc w:val="center"/>
            </w:pPr>
            <w:r/>
            <w:r>
              <w:rPr>
                <w:rFonts w:ascii="Times New Roman" w:hAnsi="Times New Roman" w:eastAsia="宋体"/>
                <w:b w:val="0"/>
                <w:sz w:val="17"/>
              </w:rPr>
              <w:t>0.2040</w:t>
            </w:r>
          </w:p>
        </w:tc>
        <w:tc>
          <w:tcPr>
            <w:tcW w:type="dxa" w:w="1008"/>
          </w:tcPr>
          <w:p>
            <w:pPr>
              <w:jc w:val="center"/>
            </w:pPr>
            <w:r/>
            <w:r>
              <w:rPr>
                <w:rFonts w:ascii="Times New Roman" w:hAnsi="Times New Roman" w:eastAsia="宋体"/>
                <w:b w:val="0"/>
                <w:sz w:val="17"/>
              </w:rPr>
              <w:t>0.5336</w:t>
            </w:r>
          </w:p>
        </w:tc>
        <w:tc>
          <w:tcPr>
            <w:tcW w:type="dxa" w:w="1008"/>
          </w:tcPr>
          <w:p>
            <w:pPr>
              <w:jc w:val="center"/>
            </w:pPr>
            <w:r/>
            <w:r>
              <w:rPr>
                <w:rFonts w:ascii="Times New Roman" w:hAnsi="Times New Roman" w:eastAsia="宋体"/>
                <w:b w:val="0"/>
                <w:sz w:val="17"/>
              </w:rPr>
              <w:t>0.2941</w:t>
            </w:r>
          </w:p>
        </w:tc>
      </w:tr>
      <w:tr>
        <w:tc>
          <w:tcPr>
            <w:tcW w:type="dxa" w:w="1008"/>
          </w:tcPr>
          <w:p>
            <w:pPr>
              <w:jc w:val="center"/>
            </w:pPr>
            <w:r/>
            <w:r>
              <w:rPr>
                <w:rFonts w:ascii="Times New Roman" w:hAnsi="Times New Roman" w:eastAsia="宋体"/>
                <w:b w:val="0"/>
                <w:sz w:val="17"/>
              </w:rPr>
              <w:t>global_extra_trees</w:t>
            </w:r>
          </w:p>
        </w:tc>
        <w:tc>
          <w:tcPr>
            <w:tcW w:type="dxa" w:w="1008"/>
          </w:tcPr>
          <w:p>
            <w:pPr>
              <w:jc w:val="center"/>
            </w:pPr>
            <w:r/>
            <w:r>
              <w:rPr>
                <w:rFonts w:ascii="Times New Roman" w:hAnsi="Times New Roman" w:eastAsia="宋体"/>
                <w:b w:val="0"/>
                <w:sz w:val="17"/>
              </w:rPr>
              <w:t>0.4893</w:t>
            </w:r>
          </w:p>
        </w:tc>
        <w:tc>
          <w:tcPr>
            <w:tcW w:type="dxa" w:w="1008"/>
          </w:tcPr>
          <w:p>
            <w:pPr>
              <w:jc w:val="center"/>
            </w:pPr>
            <w:r/>
            <w:r>
              <w:rPr>
                <w:rFonts w:ascii="Times New Roman" w:hAnsi="Times New Roman" w:eastAsia="宋体"/>
                <w:b w:val="0"/>
                <w:sz w:val="17"/>
              </w:rPr>
              <w:t>0.3486</w:t>
            </w:r>
          </w:p>
        </w:tc>
        <w:tc>
          <w:tcPr>
            <w:tcW w:type="dxa" w:w="1008"/>
          </w:tcPr>
          <w:p>
            <w:pPr>
              <w:jc w:val="center"/>
            </w:pPr>
            <w:r/>
            <w:r>
              <w:rPr>
                <w:rFonts w:ascii="Times New Roman" w:hAnsi="Times New Roman" w:eastAsia="宋体"/>
                <w:b w:val="0"/>
                <w:sz w:val="17"/>
              </w:rPr>
              <w:t>0.1652</w:t>
            </w:r>
          </w:p>
        </w:tc>
        <w:tc>
          <w:tcPr>
            <w:tcW w:type="dxa" w:w="1008"/>
          </w:tcPr>
          <w:p>
            <w:pPr>
              <w:jc w:val="center"/>
            </w:pPr>
            <w:r/>
            <w:r>
              <w:rPr>
                <w:rFonts w:ascii="Times New Roman" w:hAnsi="Times New Roman" w:eastAsia="宋体"/>
                <w:b w:val="0"/>
                <w:sz w:val="17"/>
              </w:rPr>
              <w:t>0.4112</w:t>
            </w:r>
          </w:p>
        </w:tc>
        <w:tc>
          <w:tcPr>
            <w:tcW w:type="dxa" w:w="1008"/>
          </w:tcPr>
          <w:p>
            <w:pPr>
              <w:jc w:val="center"/>
            </w:pPr>
            <w:r/>
            <w:r>
              <w:rPr>
                <w:rFonts w:ascii="Times New Roman" w:hAnsi="Times New Roman" w:eastAsia="宋体"/>
                <w:b w:val="0"/>
                <w:sz w:val="17"/>
              </w:rPr>
              <w:t>1.6115</w:t>
            </w:r>
          </w:p>
        </w:tc>
        <w:tc>
          <w:tcPr>
            <w:tcW w:type="dxa" w:w="1008"/>
          </w:tcPr>
          <w:p>
            <w:pPr>
              <w:jc w:val="center"/>
            </w:pPr>
            <w:r/>
            <w:r>
              <w:rPr>
                <w:rFonts w:ascii="Times New Roman" w:hAnsi="Times New Roman" w:eastAsia="宋体"/>
                <w:b w:val="0"/>
                <w:sz w:val="17"/>
              </w:rPr>
              <w:t>0.2056</w:t>
            </w:r>
          </w:p>
        </w:tc>
        <w:tc>
          <w:tcPr>
            <w:tcW w:type="dxa" w:w="1008"/>
          </w:tcPr>
          <w:p>
            <w:pPr>
              <w:jc w:val="center"/>
            </w:pPr>
            <w:r/>
            <w:r>
              <w:rPr>
                <w:rFonts w:ascii="Times New Roman" w:hAnsi="Times New Roman" w:eastAsia="宋体"/>
                <w:b w:val="0"/>
                <w:sz w:val="17"/>
              </w:rPr>
              <w:t>0.5304</w:t>
            </w:r>
          </w:p>
        </w:tc>
        <w:tc>
          <w:tcPr>
            <w:tcW w:type="dxa" w:w="1008"/>
          </w:tcPr>
          <w:p>
            <w:pPr>
              <w:jc w:val="center"/>
            </w:pPr>
            <w:r/>
            <w:r>
              <w:rPr>
                <w:rFonts w:ascii="Times New Roman" w:hAnsi="Times New Roman" w:eastAsia="宋体"/>
                <w:b w:val="0"/>
                <w:sz w:val="17"/>
              </w:rPr>
              <w:t>0.2787</w:t>
            </w:r>
          </w:p>
        </w:tc>
      </w:tr>
      <w:tr>
        <w:tc>
          <w:tcPr>
            <w:tcW w:type="dxa" w:w="1008"/>
          </w:tcPr>
          <w:p>
            <w:pPr>
              <w:jc w:val="center"/>
            </w:pPr>
            <w:r/>
            <w:r>
              <w:rPr>
                <w:rFonts w:ascii="Times New Roman" w:hAnsi="Times New Roman" w:eastAsia="宋体"/>
                <w:b w:val="0"/>
                <w:sz w:val="17"/>
              </w:rPr>
              <w:t>pls2</w:t>
            </w:r>
          </w:p>
        </w:tc>
        <w:tc>
          <w:tcPr>
            <w:tcW w:type="dxa" w:w="1008"/>
          </w:tcPr>
          <w:p>
            <w:pPr>
              <w:jc w:val="center"/>
            </w:pPr>
            <w:r/>
            <w:r>
              <w:rPr>
                <w:rFonts w:ascii="Times New Roman" w:hAnsi="Times New Roman" w:eastAsia="宋体"/>
                <w:b w:val="0"/>
                <w:sz w:val="17"/>
              </w:rPr>
              <w:t>0.4915</w:t>
            </w:r>
          </w:p>
        </w:tc>
        <w:tc>
          <w:tcPr>
            <w:tcW w:type="dxa" w:w="1008"/>
          </w:tcPr>
          <w:p>
            <w:pPr>
              <w:jc w:val="center"/>
            </w:pPr>
            <w:r/>
            <w:r>
              <w:rPr>
                <w:rFonts w:ascii="Times New Roman" w:hAnsi="Times New Roman" w:eastAsia="宋体"/>
                <w:b w:val="0"/>
                <w:sz w:val="17"/>
              </w:rPr>
              <w:t>0.3576</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0.4033</w:t>
            </w:r>
          </w:p>
        </w:tc>
        <w:tc>
          <w:tcPr>
            <w:tcW w:type="dxa" w:w="1008"/>
          </w:tcPr>
          <w:p>
            <w:pPr>
              <w:jc w:val="center"/>
            </w:pPr>
            <w:r/>
            <w:r>
              <w:rPr>
                <w:rFonts w:ascii="Times New Roman" w:hAnsi="Times New Roman" w:eastAsia="宋体"/>
                <w:b w:val="0"/>
                <w:sz w:val="17"/>
              </w:rPr>
              <w:t>1.6067</w:t>
            </w:r>
          </w:p>
        </w:tc>
        <w:tc>
          <w:tcPr>
            <w:tcW w:type="dxa" w:w="1008"/>
          </w:tcPr>
          <w:p>
            <w:pPr>
              <w:jc w:val="center"/>
            </w:pPr>
            <w:r/>
            <w:r>
              <w:rPr>
                <w:rFonts w:ascii="Times New Roman" w:hAnsi="Times New Roman" w:eastAsia="宋体"/>
                <w:b w:val="0"/>
                <w:sz w:val="17"/>
              </w:rPr>
              <w:t>0.2141</w:t>
            </w:r>
          </w:p>
        </w:tc>
        <w:tc>
          <w:tcPr>
            <w:tcW w:type="dxa" w:w="1008"/>
          </w:tcPr>
          <w:p>
            <w:pPr>
              <w:jc w:val="center"/>
            </w:pPr>
            <w:r/>
            <w:r>
              <w:rPr>
                <w:rFonts w:ascii="Times New Roman" w:hAnsi="Times New Roman" w:eastAsia="宋体"/>
                <w:b w:val="0"/>
                <w:sz w:val="17"/>
              </w:rPr>
              <w:t>0.5488</w:t>
            </w:r>
          </w:p>
        </w:tc>
        <w:tc>
          <w:tcPr>
            <w:tcW w:type="dxa" w:w="1008"/>
          </w:tcPr>
          <w:p>
            <w:pPr>
              <w:jc w:val="center"/>
            </w:pPr>
            <w:r/>
            <w:r>
              <w:rPr>
                <w:rFonts w:ascii="Times New Roman" w:hAnsi="Times New Roman" w:eastAsia="宋体"/>
                <w:b w:val="0"/>
                <w:sz w:val="17"/>
              </w:rPr>
              <w:t>0.3459</w:t>
            </w:r>
          </w:p>
        </w:tc>
      </w:tr>
      <w:tr>
        <w:tc>
          <w:tcPr>
            <w:tcW w:type="dxa" w:w="1008"/>
          </w:tcPr>
          <w:p>
            <w:pPr>
              <w:jc w:val="center"/>
            </w:pPr>
            <w:r/>
            <w:r>
              <w:rPr>
                <w:rFonts w:ascii="Times New Roman" w:hAnsi="Times New Roman" w:eastAsia="宋体"/>
                <w:b w:val="0"/>
                <w:sz w:val="17"/>
              </w:rPr>
              <w:t>multitask_elastic_net</w:t>
            </w:r>
          </w:p>
        </w:tc>
        <w:tc>
          <w:tcPr>
            <w:tcW w:type="dxa" w:w="1008"/>
          </w:tcPr>
          <w:p>
            <w:pPr>
              <w:jc w:val="center"/>
            </w:pPr>
            <w:r/>
            <w:r>
              <w:rPr>
                <w:rFonts w:ascii="Times New Roman" w:hAnsi="Times New Roman" w:eastAsia="宋体"/>
                <w:b w:val="0"/>
                <w:sz w:val="17"/>
              </w:rPr>
              <w:t>0.4929</w:t>
            </w:r>
          </w:p>
        </w:tc>
        <w:tc>
          <w:tcPr>
            <w:tcW w:type="dxa" w:w="1008"/>
          </w:tcPr>
          <w:p>
            <w:pPr>
              <w:jc w:val="center"/>
            </w:pPr>
            <w:r/>
            <w:r>
              <w:rPr>
                <w:rFonts w:ascii="Times New Roman" w:hAnsi="Times New Roman" w:eastAsia="宋体"/>
                <w:b w:val="0"/>
                <w:sz w:val="17"/>
              </w:rPr>
              <w:t>0.3542</w:t>
            </w:r>
          </w:p>
        </w:tc>
        <w:tc>
          <w:tcPr>
            <w:tcW w:type="dxa" w:w="1008"/>
          </w:tcPr>
          <w:p>
            <w:pPr>
              <w:jc w:val="center"/>
            </w:pPr>
            <w:r/>
            <w:r>
              <w:rPr>
                <w:rFonts w:ascii="Times New Roman" w:hAnsi="Times New Roman" w:eastAsia="宋体"/>
                <w:b w:val="0"/>
                <w:sz w:val="17"/>
              </w:rPr>
              <w:t>0.1422</w:t>
            </w:r>
          </w:p>
        </w:tc>
        <w:tc>
          <w:tcPr>
            <w:tcW w:type="dxa" w:w="1008"/>
          </w:tcPr>
          <w:p>
            <w:pPr>
              <w:jc w:val="center"/>
            </w:pPr>
            <w:r/>
            <w:r>
              <w:rPr>
                <w:rFonts w:ascii="Times New Roman" w:hAnsi="Times New Roman" w:eastAsia="宋体"/>
                <w:b w:val="0"/>
                <w:sz w:val="17"/>
              </w:rPr>
              <w:t>0.4143</w:t>
            </w:r>
          </w:p>
        </w:tc>
        <w:tc>
          <w:tcPr>
            <w:tcW w:type="dxa" w:w="1008"/>
          </w:tcPr>
          <w:p>
            <w:pPr>
              <w:jc w:val="center"/>
            </w:pPr>
            <w:r/>
            <w:r>
              <w:rPr>
                <w:rFonts w:ascii="Times New Roman" w:hAnsi="Times New Roman" w:eastAsia="宋体"/>
                <w:b w:val="0"/>
                <w:sz w:val="17"/>
              </w:rPr>
              <w:t>1.6165</w:t>
            </w:r>
          </w:p>
        </w:tc>
        <w:tc>
          <w:tcPr>
            <w:tcW w:type="dxa" w:w="1008"/>
          </w:tcPr>
          <w:p>
            <w:pPr>
              <w:jc w:val="center"/>
            </w:pPr>
            <w:r/>
            <w:r>
              <w:rPr>
                <w:rFonts w:ascii="Times New Roman" w:hAnsi="Times New Roman" w:eastAsia="宋体"/>
                <w:b w:val="0"/>
                <w:sz w:val="17"/>
              </w:rPr>
              <w:t>0.1955</w:t>
            </w:r>
          </w:p>
        </w:tc>
        <w:tc>
          <w:tcPr>
            <w:tcW w:type="dxa" w:w="1008"/>
          </w:tcPr>
          <w:p>
            <w:pPr>
              <w:jc w:val="center"/>
            </w:pPr>
            <w:r/>
            <w:r>
              <w:rPr>
                <w:rFonts w:ascii="Times New Roman" w:hAnsi="Times New Roman" w:eastAsia="宋体"/>
                <w:b w:val="0"/>
                <w:sz w:val="17"/>
              </w:rPr>
              <w:t>0.5333</w:t>
            </w:r>
          </w:p>
        </w:tc>
        <w:tc>
          <w:tcPr>
            <w:tcW w:type="dxa" w:w="1008"/>
          </w:tcPr>
          <w:p>
            <w:pPr>
              <w:jc w:val="center"/>
            </w:pPr>
            <w:r/>
            <w:r>
              <w:rPr>
                <w:rFonts w:ascii="Times New Roman" w:hAnsi="Times New Roman" w:eastAsia="宋体"/>
                <w:b w:val="0"/>
                <w:sz w:val="17"/>
              </w:rPr>
              <w:t>0.2996</w:t>
            </w:r>
          </w:p>
        </w:tc>
      </w:tr>
      <w:tr>
        <w:tc>
          <w:tcPr>
            <w:tcW w:type="dxa" w:w="1008"/>
          </w:tcPr>
          <w:p>
            <w:pPr>
              <w:jc w:val="center"/>
            </w:pPr>
            <w:r/>
            <w:r>
              <w:rPr>
                <w:rFonts w:ascii="Times New Roman" w:hAnsi="Times New Roman" w:eastAsia="宋体"/>
                <w:b w:val="0"/>
                <w:sz w:val="17"/>
              </w:rPr>
              <w:t>ridge</w:t>
            </w:r>
          </w:p>
        </w:tc>
        <w:tc>
          <w:tcPr>
            <w:tcW w:type="dxa" w:w="1008"/>
          </w:tcPr>
          <w:p>
            <w:pPr>
              <w:jc w:val="center"/>
            </w:pPr>
            <w:r/>
            <w:r>
              <w:rPr>
                <w:rFonts w:ascii="Times New Roman" w:hAnsi="Times New Roman" w:eastAsia="宋体"/>
                <w:b w:val="0"/>
                <w:sz w:val="17"/>
              </w:rPr>
              <w:t>0.4976</w:t>
            </w:r>
          </w:p>
        </w:tc>
        <w:tc>
          <w:tcPr>
            <w:tcW w:type="dxa" w:w="1008"/>
          </w:tcPr>
          <w:p>
            <w:pPr>
              <w:jc w:val="center"/>
            </w:pPr>
            <w:r/>
            <w:r>
              <w:rPr>
                <w:rFonts w:ascii="Times New Roman" w:hAnsi="Times New Roman" w:eastAsia="宋体"/>
                <w:b w:val="0"/>
                <w:sz w:val="17"/>
              </w:rPr>
              <w:t>0.3593</w:t>
            </w:r>
          </w:p>
        </w:tc>
        <w:tc>
          <w:tcPr>
            <w:tcW w:type="dxa" w:w="1008"/>
          </w:tcPr>
          <w:p>
            <w:pPr>
              <w:jc w:val="center"/>
            </w:pPr>
            <w:r/>
            <w:r>
              <w:rPr>
                <w:rFonts w:ascii="Times New Roman" w:hAnsi="Times New Roman" w:eastAsia="宋体"/>
                <w:b w:val="0"/>
                <w:sz w:val="17"/>
              </w:rPr>
              <w:t>0.1766</w:t>
            </w:r>
          </w:p>
        </w:tc>
        <w:tc>
          <w:tcPr>
            <w:tcW w:type="dxa" w:w="1008"/>
          </w:tcPr>
          <w:p>
            <w:pPr>
              <w:jc w:val="center"/>
            </w:pPr>
            <w:r/>
            <w:r>
              <w:rPr>
                <w:rFonts w:ascii="Times New Roman" w:hAnsi="Times New Roman" w:eastAsia="宋体"/>
                <w:b w:val="0"/>
                <w:sz w:val="17"/>
              </w:rPr>
              <w:t>0.3669</w:t>
            </w:r>
          </w:p>
        </w:tc>
        <w:tc>
          <w:tcPr>
            <w:tcW w:type="dxa" w:w="1008"/>
          </w:tcPr>
          <w:p>
            <w:pPr>
              <w:jc w:val="center"/>
            </w:pPr>
            <w:r/>
            <w:r>
              <w:rPr>
                <w:rFonts w:ascii="Times New Roman" w:hAnsi="Times New Roman" w:eastAsia="宋体"/>
                <w:b w:val="0"/>
                <w:sz w:val="17"/>
              </w:rPr>
              <w:t>1.6245</w:t>
            </w:r>
          </w:p>
        </w:tc>
        <w:tc>
          <w:tcPr>
            <w:tcW w:type="dxa" w:w="1008"/>
          </w:tcPr>
          <w:p>
            <w:pPr>
              <w:jc w:val="center"/>
            </w:pPr>
            <w:r/>
            <w:r>
              <w:rPr>
                <w:rFonts w:ascii="Times New Roman" w:hAnsi="Times New Roman" w:eastAsia="宋体"/>
                <w:b w:val="0"/>
                <w:sz w:val="17"/>
              </w:rPr>
              <w:t>0.2027</w:t>
            </w:r>
          </w:p>
        </w:tc>
        <w:tc>
          <w:tcPr>
            <w:tcW w:type="dxa" w:w="1008"/>
          </w:tcPr>
          <w:p>
            <w:pPr>
              <w:jc w:val="center"/>
            </w:pPr>
            <w:r/>
            <w:r>
              <w:rPr>
                <w:rFonts w:ascii="Times New Roman" w:hAnsi="Times New Roman" w:eastAsia="宋体"/>
                <w:b w:val="0"/>
                <w:sz w:val="17"/>
              </w:rPr>
              <w:t>0.5320</w:t>
            </w:r>
          </w:p>
        </w:tc>
        <w:tc>
          <w:tcPr>
            <w:tcW w:type="dxa" w:w="1008"/>
          </w:tcPr>
          <w:p>
            <w:pPr>
              <w:jc w:val="center"/>
            </w:pPr>
            <w:r/>
            <w:r>
              <w:rPr>
                <w:rFonts w:ascii="Times New Roman" w:hAnsi="Times New Roman" w:eastAsia="宋体"/>
                <w:b w:val="0"/>
                <w:sz w:val="17"/>
              </w:rPr>
              <w:t>0.3105</w:t>
            </w:r>
          </w:p>
        </w:tc>
      </w:tr>
      <w:tr>
        <w:tc>
          <w:tcPr>
            <w:tcW w:type="dxa" w:w="1008"/>
          </w:tcPr>
          <w:p>
            <w:pPr>
              <w:jc w:val="center"/>
            </w:pPr>
            <w:r/>
            <w:r>
              <w:rPr>
                <w:rFonts w:ascii="Times New Roman" w:hAnsi="Times New Roman" w:eastAsia="宋体"/>
                <w:b w:val="0"/>
                <w:sz w:val="17"/>
              </w:rPr>
              <w:t>global_mean</w:t>
            </w:r>
          </w:p>
        </w:tc>
        <w:tc>
          <w:tcPr>
            <w:tcW w:type="dxa" w:w="1008"/>
          </w:tcPr>
          <w:p>
            <w:pPr>
              <w:jc w:val="center"/>
            </w:pPr>
            <w:r/>
            <w:r>
              <w:rPr>
                <w:rFonts w:ascii="Times New Roman" w:hAnsi="Times New Roman" w:eastAsia="宋体"/>
                <w:b w:val="0"/>
                <w:sz w:val="17"/>
              </w:rPr>
              <w:t>0.5762</w:t>
            </w:r>
          </w:p>
        </w:tc>
        <w:tc>
          <w:tcPr>
            <w:tcW w:type="dxa" w:w="1008"/>
          </w:tcPr>
          <w:p>
            <w:pPr>
              <w:jc w:val="center"/>
            </w:pPr>
            <w:r/>
            <w:r>
              <w:rPr>
                <w:rFonts w:ascii="Times New Roman" w:hAnsi="Times New Roman" w:eastAsia="宋体"/>
                <w:b w:val="0"/>
                <w:sz w:val="17"/>
              </w:rPr>
              <w:t>0.4205</w:t>
            </w:r>
          </w:p>
        </w:tc>
        <w:tc>
          <w:tcPr>
            <w:tcW w:type="dxa" w:w="1008"/>
          </w:tcPr>
          <w:p>
            <w:pPr>
              <w:jc w:val="center"/>
            </w:pPr>
            <w:r/>
            <w:r>
              <w:rPr>
                <w:rFonts w:ascii="Times New Roman" w:hAnsi="Times New Roman" w:eastAsia="宋体"/>
                <w:b w:val="0"/>
                <w:sz w:val="17"/>
              </w:rPr>
              <w:t>-0.0066</w:t>
            </w:r>
          </w:p>
        </w:tc>
        <w:tc>
          <w:tcPr>
            <w:tcW w:type="dxa" w:w="1008"/>
          </w:tcPr>
          <w:p>
            <w:pPr>
              <w:jc w:val="center"/>
            </w:pPr>
            <w:r/>
            <w:r>
              <w:rPr>
                <w:rFonts w:ascii="Times New Roman" w:hAnsi="Times New Roman" w:eastAsia="宋体"/>
                <w:b w:val="0"/>
                <w:sz w:val="17"/>
              </w:rPr>
              <w:t>—</w:t>
            </w:r>
          </w:p>
        </w:tc>
        <w:tc>
          <w:tcPr>
            <w:tcW w:type="dxa" w:w="1008"/>
          </w:tcPr>
          <w:p>
            <w:pPr>
              <w:jc w:val="center"/>
            </w:pPr>
            <w:r/>
            <w:r>
              <w:rPr>
                <w:rFonts w:ascii="Times New Roman" w:hAnsi="Times New Roman" w:eastAsia="宋体"/>
                <w:b w:val="0"/>
                <w:sz w:val="17"/>
              </w:rPr>
              <w:t>1.8792</w:t>
            </w:r>
          </w:p>
        </w:tc>
        <w:tc>
          <w:tcPr>
            <w:tcW w:type="dxa" w:w="1008"/>
          </w:tcPr>
          <w:p>
            <w:pPr>
              <w:jc w:val="center"/>
            </w:pPr>
            <w:r/>
            <w:r>
              <w:rPr>
                <w:rFonts w:ascii="Times New Roman" w:hAnsi="Times New Roman" w:eastAsia="宋体"/>
                <w:b w:val="0"/>
                <w:sz w:val="17"/>
              </w:rPr>
              <w:t>0.1547</w:t>
            </w:r>
          </w:p>
        </w:tc>
        <w:tc>
          <w:tcPr>
            <w:tcW w:type="dxa" w:w="1008"/>
          </w:tcPr>
          <w:p>
            <w:pPr>
              <w:jc w:val="center"/>
            </w:pPr>
            <w:r/>
            <w:r>
              <w:rPr>
                <w:rFonts w:ascii="Times New Roman" w:hAnsi="Times New Roman" w:eastAsia="宋体"/>
                <w:b w:val="0"/>
                <w:sz w:val="17"/>
              </w:rPr>
              <w:t>0.4280</w:t>
            </w:r>
          </w:p>
        </w:tc>
        <w:tc>
          <w:tcPr>
            <w:tcW w:type="dxa" w:w="1008"/>
          </w:tcPr>
          <w:p>
            <w:pPr>
              <w:jc w:val="center"/>
            </w:pPr>
            <w:r/>
            <w:r>
              <w:rPr>
                <w:rFonts w:ascii="Times New Roman" w:hAnsi="Times New Roman" w:eastAsia="宋体"/>
                <w:b w:val="0"/>
                <w:sz w:val="17"/>
              </w:rPr>
              <w:t>0.0000</w:t>
            </w:r>
          </w:p>
        </w:tc>
      </w:tr>
    </w:tbl>
    <w:p>
      <w:pPr>
        <w:spacing w:before="40" w:after="160"/>
        <w:jc w:val="center"/>
      </w:pPr>
      <w:r>
        <w:rPr>
          <w:rFonts w:ascii="Times New Roman" w:hAnsi="Times New Roman" w:eastAsia="宋体"/>
          <w:b w:val="0"/>
          <w:sz w:val="18"/>
        </w:rPr>
        <w:t>表 3  各模型在留出集上的连续指标与相对分级指标（seed=0，175/75 分层切分）</w:t>
      </w:r>
    </w:p>
    <w:p>
      <w:pPr>
        <w:spacing w:after="80" w:line="324" w:lineRule="auto"/>
        <w:ind w:firstLine="420"/>
      </w:pPr>
      <w:r>
        <w:rPr>
          <w:rFonts w:ascii="Times New Roman" w:hAnsi="Times New Roman" w:eastAsia="宋体"/>
          <w:b w:val="0"/>
          <w:sz w:val="21"/>
        </w:rPr>
        <w:t>以全局均值为基线（宏平均 RMSE = 0.5762），最优模型的宏平均 RMSE 为 0.4880，相对基线改善约 15.3%。各模型头部的宏平均 RMSE 差距在 0.001 量级，经自助重采样比较其置信区间明显重叠，因此本文不以单点指标断言模型优劣，而是并列表述并以自助重采样区间说明。</w:t>
      </w:r>
    </w:p>
    <w:p>
      <w:pPr>
        <w:spacing w:after="80" w:line="324" w:lineRule="auto"/>
        <w:ind w:firstLine="420"/>
      </w:pPr>
      <w:r>
        <w:rPr>
          <w:rFonts w:ascii="Times New Roman" w:hAnsi="Times New Roman" w:eastAsia="宋体"/>
          <w:b w:val="0"/>
          <w:sz w:val="21"/>
        </w:rPr>
        <w:t>最终交付的 0–6 分制分级评分表覆盖 250 款啤酒 × 50 个感官维度，主轨给出相对分级，副轨对具备化学载体的维度给出阈值锚定的绝对分；表中等级均落在 0 至 6 区间内且无缺失。</w:t>
      </w:r>
    </w:p>
    <w:p>
      <w:pPr>
        <w:spacing w:after="80" w:line="324" w:lineRule="auto"/>
        <w:ind w:firstLine="420"/>
      </w:pPr>
      <w:r>
        <w:rPr>
          <w:rFonts w:ascii="Times New Roman" w:hAnsi="Times New Roman" w:eastAsia="宋体"/>
          <w:b w:val="0"/>
          <w:sz w:val="21"/>
        </w:rPr>
        <w:t>阈值锚定共考察 11 个具备明确化学载体的维度，经上述五条护栏后有 3 个维度成立（bitternes、alcohol、co2），锚定后落在 0–6 区间内的比例中位数为 0.891；其余 8 个维度因载体无感知阈值、载体与感官维度相关性不足或方向相反、或锚点区间退化而判定不成立，其绝对分留空、仅提供相对分级，失效原因在参数表中逐条记录。这一结果本身说明：在本数据集上，化学信号与感官评分的联系只在少数维度上足以支撑绝对标定。需要再次强调，该轨是本文提出的一阶近似而非实测原分。</w:t>
      </w:r>
    </w:p>
    <w:p>
      <w:pPr>
        <w:spacing w:before="80"/>
        <w:jc w:val="center"/>
      </w:pPr>
      <w:r>
        <w:drawing>
          <wp:inline xmlns:a="http://schemas.openxmlformats.org/drawingml/2006/main" xmlns:pic="http://schemas.openxmlformats.org/drawingml/2006/picture">
            <wp:extent cx="4206240" cy="2856054"/>
            <wp:docPr id="2" name="Picture 2"/>
            <wp:cNvGraphicFramePr>
              <a:graphicFrameLocks noChangeAspect="1"/>
            </wp:cNvGraphicFramePr>
            <a:graphic>
              <a:graphicData uri="http://schemas.openxmlformats.org/drawingml/2006/picture">
                <pic:pic>
                  <pic:nvPicPr>
                    <pic:cNvPr id="0" name="01_model_comparison_bootstrap_ci.png"/>
                    <pic:cNvPicPr/>
                  </pic:nvPicPr>
                  <pic:blipFill>
                    <a:blip r:embed="rId10"/>
                    <a:stretch>
                      <a:fillRect/>
                    </a:stretch>
                  </pic:blipFill>
                  <pic:spPr>
                    <a:xfrm>
                      <a:off x="0" y="0"/>
                      <a:ext cx="4206240" cy="2856054"/>
                    </a:xfrm>
                    <a:prstGeom prst="rect"/>
                  </pic:spPr>
                </pic:pic>
              </a:graphicData>
            </a:graphic>
          </wp:inline>
        </w:drawing>
      </w:r>
    </w:p>
    <w:p>
      <w:pPr>
        <w:spacing w:before="40" w:after="160"/>
        <w:jc w:val="center"/>
      </w:pPr>
      <w:r>
        <w:rPr>
          <w:rFonts w:ascii="Times New Roman" w:hAnsi="Times New Roman" w:eastAsia="宋体"/>
          <w:b w:val="0"/>
          <w:sz w:val="18"/>
        </w:rPr>
        <w:t>图 1  模型对比。留出集 Macro-RMSE 与 2000 次配对 bootstrap 的 95% 置信区间（区间重叠即不可宣称某模型显著更优），竖虚线为全局均值基线。</w:t>
      </w:r>
    </w:p>
    <w:p>
      <w:pPr>
        <w:spacing w:before="80"/>
        <w:jc w:val="center"/>
      </w:pPr>
      <w:r>
        <w:drawing>
          <wp:inline xmlns:a="http://schemas.openxmlformats.org/drawingml/2006/main" xmlns:pic="http://schemas.openxmlformats.org/drawingml/2006/picture">
            <wp:extent cx="4206240" cy="7602934"/>
            <wp:docPr id="3" name="Picture 3"/>
            <wp:cNvGraphicFramePr>
              <a:graphicFrameLocks noChangeAspect="1"/>
            </wp:cNvGraphicFramePr>
            <a:graphic>
              <a:graphicData uri="http://schemas.openxmlformats.org/drawingml/2006/picture">
                <pic:pic>
                  <pic:nvPicPr>
                    <pic:cNvPr id="0" name="02_dimension_predictability_facets.png"/>
                    <pic:cNvPicPr/>
                  </pic:nvPicPr>
                  <pic:blipFill>
                    <a:blip r:embed="rId11"/>
                    <a:stretch>
                      <a:fillRect/>
                    </a:stretch>
                  </pic:blipFill>
                  <pic:spPr>
                    <a:xfrm>
                      <a:off x="0" y="0"/>
                      <a:ext cx="4206240" cy="7602934"/>
                    </a:xfrm>
                    <a:prstGeom prst="rect"/>
                  </pic:spPr>
                </pic:pic>
              </a:graphicData>
            </a:graphic>
          </wp:inline>
        </w:drawing>
      </w:r>
    </w:p>
    <w:p>
      <w:pPr>
        <w:spacing w:before="40" w:after="160"/>
        <w:jc w:val="center"/>
      </w:pPr>
      <w:r>
        <w:rPr>
          <w:rFonts w:ascii="Times New Roman" w:hAnsi="Times New Roman" w:eastAsia="宋体"/>
          <w:b w:val="0"/>
          <w:sz w:val="18"/>
        </w:rPr>
        <w:t>图 2  逐维可预测性。留出集 75 个样本，按香气 / 滋味 / 口感 / 缺陷·特殊 / 总体五个报告族分面；柱为测试集 Spearman，点为 R²，竖直零线为无相关基准。</w:t>
      </w:r>
    </w:p>
    <w:p>
      <w:pPr>
        <w:spacing w:before="80"/>
        <w:jc w:val="center"/>
      </w:pPr>
      <w:r>
        <w:drawing>
          <wp:inline xmlns:a="http://schemas.openxmlformats.org/drawingml/2006/main" xmlns:pic="http://schemas.openxmlformats.org/drawingml/2006/picture">
            <wp:extent cx="4206240" cy="2845564"/>
            <wp:docPr id="4" name="Picture 4"/>
            <wp:cNvGraphicFramePr>
              <a:graphicFrameLocks noChangeAspect="1"/>
            </wp:cNvGraphicFramePr>
            <a:graphic>
              <a:graphicData uri="http://schemas.openxmlformats.org/drawingml/2006/picture">
                <pic:pic>
                  <pic:nvPicPr>
                    <pic:cNvPr id="0" name="03_two_track_grade_comparison.png"/>
                    <pic:cNvPicPr/>
                  </pic:nvPicPr>
                  <pic:blipFill>
                    <a:blip r:embed="rId12"/>
                    <a:stretch>
                      <a:fillRect/>
                    </a:stretch>
                  </pic:blipFill>
                  <pic:spPr>
                    <a:xfrm>
                      <a:off x="0" y="0"/>
                      <a:ext cx="4206240" cy="2845564"/>
                    </a:xfrm>
                    <a:prstGeom prst="rect"/>
                  </pic:spPr>
                </pic:pic>
              </a:graphicData>
            </a:graphic>
          </wp:inline>
        </w:drawing>
      </w:r>
    </w:p>
    <w:p>
      <w:pPr>
        <w:spacing w:before="40" w:after="160"/>
        <w:jc w:val="center"/>
      </w:pPr>
      <w:r>
        <w:rPr>
          <w:rFonts w:ascii="Times New Roman" w:hAnsi="Times New Roman" w:eastAsia="宋体"/>
          <w:b w:val="0"/>
          <w:sz w:val="18"/>
        </w:rPr>
        <w:t>图 3  两轨分级对照。左为代理分级 0–6 级的混淆矩阵（行=观测等级、列=预测等级），右为主轨等级 MAE 与副轨绝对分 MAE 的逐维对照（仅统计通过有效性护栏的维度）。</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4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5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6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组模型：ols；ols_with_abv；fixed_effects（依次为不控变量、控制酒精度、控制酒精度并加入风格固定效应）。ols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项的系数符号在三个模型间保持一致，说明化学—感知组合携带的信息不完全由酒精度与风格标签解释。需要强调其边界：价格来自同一附件内 7 家零售商的跨币种报价，且未做汇率换算，是市场价值的代理，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fixed_effects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5" name="Picture 5"/>
            <wp:cNvGraphicFramePr>
              <a:graphicFrameLocks noChangeAspect="1"/>
            </wp:cNvGraphicFramePr>
            <a:graphic>
              <a:graphicData uri="http://schemas.openxmlformats.org/drawingml/2006/picture">
                <pic:pic>
                  <pic:nvPicPr>
                    <pic:cNvPr id="0" name="fig1_consumer_predictability.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4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6" name="Picture 6"/>
            <wp:cNvGraphicFramePr>
              <a:graphicFrameLocks noChangeAspect="1"/>
            </wp:cNvGraphicFramePr>
            <a:graphic>
              <a:graphicData uri="http://schemas.openxmlformats.org/drawingml/2006/picture">
                <pic:pic>
                  <pic:nvPicPr>
                    <pic:cNvPr id="0" name="fig2_cross_consistency.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5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7" name="Picture 7"/>
            <wp:cNvGraphicFramePr>
              <a:graphicFrameLocks noChangeAspect="1"/>
            </wp:cNvGraphicFramePr>
            <a:graphic>
              <a:graphicData uri="http://schemas.openxmlformats.org/drawingml/2006/picture">
                <pic:pic>
                  <pic:nvPicPr>
                    <pic:cNvPr id="0" name="fig4_price_effects.png"/>
                    <pic:cNvPicPr/>
                  </pic:nvPicPr>
                  <pic:blipFill>
                    <a:blip r:embed="rId1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6  价格部分效应。三个设定下 log 价格对各感官维度的偏回归系数及 95% 置信区间：ols（R²=0.340）、ols_with_abv（加入 ABV，R²=0.366）、fixed_effects（再加入风格固定效应、按风格聚类稳健标准误，R²=0.472），样本量 n=189（仅含 ≥2 家零售报价的啤酒）。价格来自同一附件内 7 家零售商的跨币种报价，未做汇率换算；此处仅作为外部价值信号，不作市场因果解释。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7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8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9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明显偏低，说明特征重要性与线性秩相关的视角差异较大；本文因此把归因路与相关路并列呈现，而不宣称其中某一路线更接近真值。须并列说明的是，「稳健」与「化学合理性」是</w:t>
      </w:r>
      <w:r>
        <w:rPr>
          <w:rFonts w:ascii="Times New Roman" w:hAnsi="Times New Roman" w:eastAsia="宋体"/>
          <w:b/>
          <w:sz w:val="21"/>
        </w:rPr>
        <w:t>两道独立判据</w:t>
      </w:r>
      <w:r>
        <w:rPr>
          <w:rFonts w:ascii="Times New Roman" w:hAnsi="Times New Roman" w:eastAsia="宋体"/>
          <w:b w:val="0"/>
          <w:sz w:val="21"/>
        </w:rPr>
        <w:t xml:space="preserve">：全表 150 行中仅 36 行通过化学合理性检验，被判为稳健关键因素的 32 行中只有 9 行同时通过（稳健且化学合理），其余 23 行虽在统计判据上稳健，但其化学来源归属或载体类别论证不成立，本文在表中保留这些行以示区分，不把它们作为可采纳的造谱依据。若只看每个感官维度排名第 1 的化合物，同时满足「稳健」与「化学合理」的仅 6 条，这正是本文把 Top-3 定位为「候选与稳健的参考集」而非可直接使用的造谱配方的原因。此外须报告一项负结果：50 个感官维度中有 </w:t>
      </w:r>
      <w:r>
        <w:rPr>
          <w:rFonts w:ascii="Times New Roman" w:hAnsi="Times New Roman" w:eastAsia="宋体"/>
          <w:b/>
          <w:sz w:val="21"/>
        </w:rPr>
        <w:t>28 个没有任何稳健关键化合物</w:t>
      </w:r>
      <w:r>
        <w:rPr>
          <w:rFonts w:ascii="Times New Roman" w:hAnsi="Times New Roman" w:eastAsia="宋体"/>
          <w:b w:val="0"/>
          <w:sz w:val="21"/>
        </w:rPr>
        <w:t>，本文不对这些维度给出 Top-3 结论，以免把「排序靠前」误读为「可采纳」。</w:t>
      </w:r>
    </w:p>
    <w:p>
      <w:pPr>
        <w:spacing w:after="80" w:line="324" w:lineRule="auto"/>
        <w:ind w:firstLine="420"/>
      </w:pPr>
      <w:r>
        <w:rPr>
          <w:rFonts w:ascii="Times New Roman" w:hAnsi="Times New Roman" w:eastAsia="宋体"/>
          <w:b w:val="0"/>
          <w:sz w:val="21"/>
        </w:rPr>
        <w:t>为检验上述候选项能否在独立样本中复现，本文仅在 175 个训练样本上重选 150 个 Top-3 候选，再在固定的 75 个留出样本上进行 5000 次双侧置换检验，并对全部 150 项统一执行 Benjamini–Hochberg 校正。其中 83 项通过 q≤0.05；主结果中判为稳健的 32 项全部被训练集重选保留且方向一致，其中 30 项通过留出集 FDR，同时满足稳健与化学合理性的 9 项全部通过。这只是关联的独立样本复现，不验证化学机理，也不构成因果证据。</w:t>
      </w:r>
    </w:p>
    <w:p>
      <w:pPr>
        <w:spacing w:before="80"/>
        <w:jc w:val="center"/>
      </w:pPr>
      <w:r>
        <w:drawing>
          <wp:inline xmlns:a="http://schemas.openxmlformats.org/drawingml/2006/main" xmlns:pic="http://schemas.openxmlformats.org/drawingml/2006/picture">
            <wp:extent cx="4206240" cy="4068907"/>
            <wp:docPr id="8" name="Picture 8"/>
            <wp:cNvGraphicFramePr>
              <a:graphicFrameLocks noChangeAspect="1"/>
            </wp:cNvGraphicFramePr>
            <a:graphic>
              <a:graphicData uri="http://schemas.openxmlformats.org/drawingml/2006/picture">
                <pic:pic>
                  <pic:nvPicPr>
                    <pic:cNvPr id="0" name="fig1_coexpression_network_by_origin.png"/>
                    <pic:cNvPicPr/>
                  </pic:nvPicPr>
                  <pic:blipFill>
                    <a:blip r:embed="rId16"/>
                    <a:stretch>
                      <a:fillRect/>
                    </a:stretch>
                  </pic:blipFill>
                  <pic:spPr>
                    <a:xfrm>
                      <a:off x="0" y="0"/>
                      <a:ext cx="4206240" cy="4068907"/>
                    </a:xfrm>
                    <a:prstGeom prst="rect"/>
                  </pic:spPr>
                </pic:pic>
              </a:graphicData>
            </a:graphic>
          </wp:inline>
        </w:drawing>
      </w:r>
    </w:p>
    <w:p>
      <w:pPr>
        <w:spacing w:before="40" w:after="160"/>
        <w:jc w:val="center"/>
      </w:pPr>
      <w:r>
        <w:rPr>
          <w:rFonts w:ascii="Times New Roman" w:hAnsi="Times New Roman" w:eastAsia="宋体"/>
          <w:b w:val="0"/>
          <w:sz w:val="18"/>
        </w:rPr>
        <w:t>图 7  共表达网络（按来源）。基于 2.csv 的斯皮尔曼相关，取 |ρ| ≥ 0.6 的边构成网络：全图 231 节点 / 266 边、114 个连通分量，其中 101 个节点在该阈值下不含任何关联边（孤立节点）而未绘出，其来源构成见支撑材料社区成员表；本图绘出 130 个有边节点。节点大小 = 度数，边粗细 = |ρ|，橙红描边为缺陷化合物；节点按化学来源着色；右侧按度数由高到低列出 6 个节点；完整节点清单见支撑材料表。</w:t>
      </w:r>
    </w:p>
    <w:p>
      <w:pPr>
        <w:spacing w:before="80"/>
        <w:jc w:val="center"/>
      </w:pPr>
      <w:r>
        <w:drawing>
          <wp:inline xmlns:a="http://schemas.openxmlformats.org/drawingml/2006/main" xmlns:pic="http://schemas.openxmlformats.org/drawingml/2006/picture">
            <wp:extent cx="4206240" cy="3696736"/>
            <wp:docPr id="9" name="Picture 9"/>
            <wp:cNvGraphicFramePr>
              <a:graphicFrameLocks noChangeAspect="1"/>
            </wp:cNvGraphicFramePr>
            <a:graphic>
              <a:graphicData uri="http://schemas.openxmlformats.org/drawingml/2006/picture">
                <pic:pic>
                  <pic:nvPicPr>
                    <pic:cNvPr id="0" name="fig3_community_composition_heatmap.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8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10" name="Picture 10"/>
            <wp:cNvGraphicFramePr>
              <a:graphicFrameLocks noChangeAspect="1"/>
            </wp:cNvGraphicFramePr>
            <a:graphic>
              <a:graphicData uri="http://schemas.openxmlformats.org/drawingml/2006/picture">
                <pic:pic>
                  <pic:nvPicPr>
                    <pic:cNvPr id="0" name="fig4_top3_bootstrap_frequency.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9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rPr>
          <w:tblHeader w:val="true"/>
        </w:trP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 款啤酒；231 个化学量（剔除 4 个派生求和列后 227 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independent_gbr（宏平均 RMSE = 0.4880）</w:t>
            </w:r>
          </w:p>
        </w:tc>
        <w:tc>
          <w:tcPr>
            <w:tcW w:type="dxa" w:w="3023"/>
          </w:tcPr>
          <w:p>
            <w:pPr>
              <w:jc w:val="center"/>
            </w:pPr>
            <w:r/>
            <w:r>
              <w:rPr>
                <w:rFonts w:ascii="Times New Roman" w:hAnsi="Times New Roman" w:eastAsia="宋体"/>
                <w:b w:val="0"/>
                <w:sz w:val="16"/>
              </w:rPr>
              <w:t>本文不复现原文的模型选择，仅以其重要性先验（E4）作为外部印证，不参与主排序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r>
        <w:tc>
          <w:tcPr>
            <w:tcW w:type="dxa" w:w="3023"/>
          </w:tcPr>
          <w:p>
            <w:pPr>
              <w:jc w:val="center"/>
            </w:pPr>
            <w:r/>
            <w:r>
              <w:rPr>
                <w:rFonts w:ascii="Times New Roman" w:hAnsi="Times New Roman" w:eastAsia="宋体"/>
                <w:b w:val="0"/>
                <w:sz w:val="16"/>
              </w:rPr>
              <w:t>消费者喜爱度</w:t>
            </w:r>
          </w:p>
        </w:tc>
        <w:tc>
          <w:tcPr>
            <w:tcW w:type="dxa" w:w="3023"/>
          </w:tcPr>
          <w:p>
            <w:pPr>
              <w:jc w:val="center"/>
            </w:pPr>
            <w:r/>
            <w:r>
              <w:rPr>
                <w:rFonts w:ascii="Times New Roman" w:hAnsi="Times New Roman" w:eastAsia="宋体"/>
                <w:b w:val="0"/>
                <w:sz w:val="16"/>
              </w:rPr>
              <w:t>不可检验（附件无任何消费者评分标签）</w:t>
            </w:r>
          </w:p>
        </w:tc>
        <w:tc>
          <w:tcPr>
            <w:tcW w:type="dxa" w:w="3023"/>
          </w:tcPr>
          <w:p>
            <w:pPr>
              <w:jc w:val="center"/>
            </w:pPr>
            <w:r/>
            <w:r>
              <w:rPr>
                <w:rFonts w:ascii="Times New Roman" w:hAnsi="Times New Roman" w:eastAsia="宋体"/>
                <w:b w:val="0"/>
                <w:sz w:val="16"/>
              </w:rPr>
              <w:t>原文结论链条中的「提升消费者喜爱度」一环，在本附件条件下没有可检验的标签</w:t>
            </w:r>
          </w:p>
        </w:tc>
      </w:tr>
    </w:tbl>
    <w:p>
      <w:pPr>
        <w:spacing w:before="40" w:after="160"/>
        <w:jc w:val="center"/>
      </w:pPr>
      <w:r>
        <w:rPr>
          <w:rFonts w:ascii="Times New Roman" w:hAnsi="Times New Roman" w:eastAsia="宋体"/>
          <w:b w:val="0"/>
          <w:sz w:val="18"/>
        </w:rPr>
        <w:t>表 10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11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after="80" w:line="324" w:lineRule="auto"/>
        <w:ind w:firstLine="420"/>
      </w:pPr>
      <w:r>
        <w:rPr>
          <w:rFonts w:ascii="Times New Roman" w:hAnsi="Times New Roman" w:eastAsia="宋体"/>
          <w:b w:val="0"/>
          <w:sz w:val="21"/>
        </w:rPr>
        <w:t>最后必须再次强调：</w:t>
      </w:r>
      <w:r>
        <w:rPr>
          <w:rFonts w:ascii="Times New Roman" w:hAnsi="Times New Roman" w:eastAsia="宋体"/>
          <w:b/>
          <w:sz w:val="21"/>
        </w:rPr>
        <w:t>原文结论链条中的「提升消费者喜爱度」一环在本附件条件下不可检验</w:t>
      </w:r>
      <w:r>
        <w:rPr>
          <w:rFonts w:ascii="Times New Roman" w:hAnsi="Times New Roman" w:eastAsia="宋体"/>
          <w:b w:val="0"/>
          <w:sz w:val="21"/>
        </w:rPr>
        <w:t>——附件既没有消费者评分标签，也没有购买行为数据，任何关于喜爱度提升幅度的数字都无从核验。本文在该位置给出的只是两个可检验的替代证据：消费者描述符的可预测性，以及化学谱对市场价值的解释力。二者都不等价于喜爱度，因此本文既不复现原文的喜爱度结论，也不否定它，只把它标注为在本数据条件下不可检验。</w:t>
      </w:r>
    </w:p>
    <w:p>
      <w:pPr>
        <w:spacing w:before="80"/>
        <w:jc w:val="center"/>
      </w:pPr>
      <w:r>
        <w:drawing>
          <wp:inline xmlns:a="http://schemas.openxmlformats.org/drawingml/2006/main" xmlns:pic="http://schemas.openxmlformats.org/drawingml/2006/picture">
            <wp:extent cx="4206240" cy="2439044"/>
            <wp:docPr id="11" name="Picture 11"/>
            <wp:cNvGraphicFramePr>
              <a:graphicFrameLocks noChangeAspect="1"/>
            </wp:cNvGraphicFramePr>
            <a:graphic>
              <a:graphicData uri="http://schemas.openxmlformats.org/drawingml/2006/picture">
                <pic:pic>
                  <pic:nvPicPr>
                    <pic:cNvPr id="0" name="fig3_dose_respons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10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rPr>
          <w:tblHeader w:val="true"/>
        </w:trP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12  各风格条件生成结果与可行性核验（含无约束参照生成）</w:t>
      </w:r>
    </w:p>
    <w:p>
      <w:pPr>
        <w:spacing w:after="80" w:line="324" w:lineRule="auto"/>
        <w:ind w:firstLine="420"/>
      </w:pPr>
      <w:r>
        <w:rPr>
          <w:rFonts w:ascii="Times New Roman" w:hAnsi="Times New Roman" w:eastAsia="宋体"/>
          <w:b w:val="0"/>
          <w:sz w:val="21"/>
        </w:rPr>
        <w:t>8 个纳入风格的受约束生成谱中，缺陷化合物超阈值数量合计 0，表示硬约束合规，不表示生成真实性。受约束谱与无约束谱的全量拟合 KS 中位数分别为 0.1780 和 0.1207，经验匹配地板为 0.0411；生成值落在真实风格区间内的比例中位数为 0.916。这些指标在用于定义经验边际的同一批样本上计算，只作拟合诊断。受约束谱用于合规画像，无约束谱用于风格代表性参照，两者不可混用。</w:t>
      </w:r>
    </w:p>
    <w:p>
      <w:pPr>
        <w:spacing w:after="80" w:line="324" w:lineRule="auto"/>
        <w:ind w:firstLine="420"/>
      </w:pPr>
      <w:r>
        <w:rPr>
          <w:rFonts w:ascii="Times New Roman" w:hAnsi="Times New Roman" w:eastAsia="宋体"/>
          <w:b w:val="0"/>
          <w:sz w:val="21"/>
        </w:rPr>
        <w:t>进一步的固定留出检验覆盖 8 个风格、3 个划分种子和 2 种 Copula 估计，共 48 个评估单元；每个风格的真实留出样本仅 3-9 款。真实样本参照、无约束生成与受约束生成的能量距离分别为 17.0075、16.9840 和 20.7664，MMD² 分别为 0.1746、0.1733 和 0.2040。受约束生成在 42/48 个单元上的能量距离更差，MMD² 亦为 42/48；与此同时，约束合规率从无约束的 13.5% 提升到 100.0%，候选接受率均值仅为 12.7%。因此，约束明确提高了规则合规性，却以可测的分布真实性损失为代价；同数据拟合并评估得到的全量 KS 仅作拟合诊断，不能替代该留出结论。</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13  跨风格迁移的缺陷化合物前后对照（44 项核验的前 16 行）</w:t>
      </w:r>
    </w:p>
    <w:p>
      <w:pPr>
        <w:spacing w:after="80" w:line="324" w:lineRule="auto"/>
        <w:ind w:firstLine="420"/>
      </w:pPr>
      <w:r>
        <w:rPr>
          <w:rFonts w:ascii="Times New Roman" w:hAnsi="Times New Roman" w:eastAsia="宋体"/>
          <w:b w:val="0"/>
          <w:sz w:val="21"/>
        </w:rPr>
        <w:t>风格感官画像由问题一的模型给出：生成化合谱经统一标度后输入感官预测模型，得到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fig2_marginal_distributions.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3" name="Picture 13"/>
            <wp:cNvGraphicFramePr>
              <a:graphicFrameLocks noChangeAspect="1"/>
            </wp:cNvGraphicFramePr>
            <a:graphic>
              <a:graphicData uri="http://schemas.openxmlformats.org/drawingml/2006/picture">
                <pic:pic>
                  <pic:nvPicPr>
                    <pic:cNvPr id="0" name="fig5_defect_boxplots.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12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4" name="Picture 14"/>
            <wp:cNvGraphicFramePr>
              <a:graphicFrameLocks noChangeAspect="1"/>
            </wp:cNvGraphicFramePr>
            <a:graphic>
              <a:graphicData uri="http://schemas.openxmlformats.org/drawingml/2006/picture">
                <pic:pic>
                  <pic:nvPicPr>
                    <pic:cNvPr id="0" name="fig4_transfer_radar.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13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六、讨论：局限与改进</w:t>
      </w:r>
    </w:p>
    <w:p>
      <w:pPr>
        <w:spacing w:before="140" w:after="80" w:line="312" w:lineRule="auto"/>
        <w:jc w:val="left"/>
      </w:pPr>
      <w:r>
        <w:rPr>
          <w:rFonts w:ascii="Times New Roman" w:hAnsi="Times New Roman" w:eastAsia="黑体"/>
          <w:b/>
          <w:sz w:val="26"/>
        </w:rPr>
        <w:t>6.1 主要局限</w:t>
      </w:r>
    </w:p>
    <w:p>
      <w:pPr>
        <w:spacing w:after="80" w:line="324" w:lineRule="auto"/>
        <w:ind w:firstLine="420"/>
      </w:pPr>
      <w:r>
        <w:rPr>
          <w:rFonts w:ascii="Times New Roman" w:hAnsi="Times New Roman" w:eastAsia="宋体"/>
          <w:b w:val="0"/>
          <w:sz w:val="21"/>
        </w:rPr>
        <w:t>（1）</w:t>
      </w:r>
      <w:r>
        <w:rPr>
          <w:rFonts w:ascii="Times New Roman" w:hAnsi="Times New Roman" w:eastAsia="宋体"/>
          <w:b/>
          <w:sz w:val="21"/>
        </w:rPr>
        <w:t>0–6 分制是本文构造值而非实测值。</w:t>
      </w:r>
      <w:r>
        <w:rPr>
          <w:rFonts w:ascii="Times New Roman" w:hAnsi="Times New Roman" w:eastAsia="宋体"/>
          <w:b w:val="0"/>
          <w:sz w:val="21"/>
        </w:rPr>
        <w:t xml:space="preserve"> 附件不含任何原始品评分数，本文交付的 0–6 分制由两轨构成：主轨为训练集六等分位数的相对分级，副轨为基于感官阈值的两点仿射锚定，且副轨仅在少数维度通过五条有效性护栏（载体有感知阈值、|ρ| 不低于 0.3 且为正、0 分锚点分位不高于 0.6、锚点带宽不小于 0.5、区间内比例不低于 0.3）。因此该分制适用于同一数据集内的相对比较与排序，不宜当作实测评分对外解释。</w:t>
      </w:r>
    </w:p>
    <w:p>
      <w:pPr>
        <w:spacing w:after="80" w:line="324" w:lineRule="auto"/>
        <w:ind w:firstLine="420"/>
      </w:pPr>
      <w:r>
        <w:rPr>
          <w:rFonts w:ascii="Times New Roman" w:hAnsi="Times New Roman" w:eastAsia="宋体"/>
          <w:b w:val="0"/>
          <w:sz w:val="21"/>
        </w:rPr>
        <w:t>（2）</w:t>
      </w:r>
      <w:r>
        <w:rPr>
          <w:rFonts w:ascii="Times New Roman" w:hAnsi="Times New Roman" w:eastAsia="宋体"/>
          <w:b/>
          <w:sz w:val="21"/>
        </w:rPr>
        <w:t>混合标度带来的可比性限制。</w:t>
      </w:r>
      <w:r>
        <w:rPr>
          <w:rFonts w:ascii="Times New Roman" w:hAnsi="Times New Roman" w:eastAsia="宋体"/>
          <w:b w:val="0"/>
          <w:sz w:val="21"/>
        </w:rPr>
        <w:t xml:space="preserve"> 1.csv 的 log10 列与原始浓度列并存，任何跨列的绝对量级比较（均值、方差、未经统一化的线性系数）只在「已统一到 log10(mg/L)」这一口径下才有意义；本文以逐列裁定与回归保护把风险限制在特征侧，但下游若引用原始量纲，仍须回到审计表逐列核对。</w:t>
      </w:r>
    </w:p>
    <w:p>
      <w:pPr>
        <w:spacing w:after="80" w:line="324" w:lineRule="auto"/>
        <w:ind w:firstLine="420"/>
      </w:pPr>
      <w:r>
        <w:rPr>
          <w:rFonts w:ascii="Times New Roman" w:hAnsi="Times New Roman" w:eastAsia="宋体"/>
          <w:b w:val="0"/>
          <w:sz w:val="21"/>
        </w:rPr>
        <w:t>（3）</w:t>
      </w:r>
      <w:r>
        <w:rPr>
          <w:rFonts w:ascii="Times New Roman" w:hAnsi="Times New Roman" w:eastAsia="宋体"/>
          <w:b/>
          <w:sz w:val="21"/>
        </w:rPr>
        <w:t>消费者层缺少评分标签，价格为同一附件中的跨零售商报价且未做币种换算。</w:t>
      </w:r>
      <w:r>
        <w:rPr>
          <w:rFonts w:ascii="Times New Roman" w:hAnsi="Times New Roman" w:eastAsia="宋体"/>
          <w:b w:val="0"/>
          <w:sz w:val="21"/>
        </w:rPr>
        <w:t xml:space="preserve"> 本文无法构造也无法检验「消费者喜爱度」，只能以 183 维论坛派生描述符作为感知代理；价格虽覆盖 7 个零售来源中 ≥2 家的 189 款，但 7 家零售商并非统一定价体系，价格只能作为市场价值代理而非消费者效用的直接测量；且 7 个来源分别以美元、英镑与欧元标价，附件不含汇率列，本文未做币种换算，log 价格中混有币种与卖方价格水平差异，故价格回归的解释力只能视为上界而非精确估计。</w:t>
      </w:r>
    </w:p>
    <w:p>
      <w:pPr>
        <w:spacing w:after="80" w:line="324" w:lineRule="auto"/>
        <w:ind w:firstLine="420"/>
      </w:pPr>
      <w:r>
        <w:rPr>
          <w:rFonts w:ascii="Times New Roman" w:hAnsi="Times New Roman" w:eastAsia="宋体"/>
          <w:b w:val="0"/>
          <w:sz w:val="21"/>
        </w:rPr>
        <w:t>（4）</w:t>
      </w:r>
      <w:r>
        <w:rPr>
          <w:rFonts w:ascii="Times New Roman" w:hAnsi="Times New Roman" w:eastAsia="宋体"/>
          <w:b/>
          <w:sz w:val="21"/>
        </w:rPr>
        <w:t>缺陷化合物的剂量—响应可能受风格构成混杂。</w:t>
      </w:r>
      <w:r>
        <w:rPr>
          <w:rFonts w:ascii="Times New Roman" w:hAnsi="Times New Roman" w:eastAsia="宋体"/>
          <w:b w:val="0"/>
          <w:sz w:val="21"/>
        </w:rPr>
        <w:t xml:space="preserve"> 同一种化合物在不同风格中的基线水平差异很大，混合回归得到的整体斜率可能主要由风格权重而非浓度驱动；本文以风格分层稳健性检验暴露这一点，但在多数风格样本量不足 8 时，分层估计本身不稳定，结论只能作为方向性证据。</w:t>
      </w:r>
    </w:p>
    <w:p>
      <w:pPr>
        <w:spacing w:after="80" w:line="324" w:lineRule="auto"/>
        <w:ind w:firstLine="420"/>
      </w:pPr>
      <w:r>
        <w:rPr>
          <w:rFonts w:ascii="Times New Roman" w:hAnsi="Times New Roman" w:eastAsia="宋体"/>
          <w:b w:val="0"/>
          <w:sz w:val="21"/>
        </w:rPr>
        <w:t>（5）</w:t>
      </w:r>
      <w:r>
        <w:rPr>
          <w:rFonts w:ascii="Times New Roman" w:hAnsi="Times New Roman" w:eastAsia="宋体"/>
          <w:b/>
          <w:sz w:val="21"/>
        </w:rPr>
        <w:t>Copula 的边际拟合不等于留出真实性。</w:t>
      </w:r>
      <w:r>
        <w:rPr>
          <w:rFonts w:ascii="Times New Roman" w:hAnsi="Times New Roman" w:eastAsia="宋体"/>
          <w:b w:val="0"/>
          <w:sz w:val="21"/>
        </w:rPr>
        <w:t xml:space="preserve"> 全局高斯 Copula 以单一高斯相关矩阵刻画全部依赖结构，无法表达非高斯尾部依赖；经验边际可在拟合样本上被重放，但不能据此推断对新样本的还原度。留出检验中每个风格仅有 3–9 款真实啤酒，且受约束生成在 42/48 个评估单元上的能量距离和 MMD² 均劣于无约束生成，所以本文只主张其具有结构性与约束可用性，不主张个体极端组合或完整真实分布已被还原。</w:t>
      </w:r>
    </w:p>
    <w:p>
      <w:pPr>
        <w:spacing w:before="140" w:after="80" w:line="312" w:lineRule="auto"/>
        <w:jc w:val="left"/>
      </w:pPr>
      <w:r>
        <w:rPr>
          <w:rFonts w:ascii="Times New Roman" w:hAnsi="Times New Roman" w:eastAsia="黑体"/>
          <w:b/>
          <w:sz w:val="26"/>
        </w:rPr>
        <w:t>6.2 改进方向</w:t>
      </w:r>
    </w:p>
    <w:p>
      <w:pPr>
        <w:spacing w:after="80" w:line="324" w:lineRule="auto"/>
        <w:ind w:firstLine="420"/>
      </w:pPr>
      <w:r>
        <w:rPr>
          <w:rFonts w:ascii="Times New Roman" w:hAnsi="Times New Roman" w:eastAsia="宋体"/>
          <w:b w:val="0"/>
          <w:sz w:val="21"/>
        </w:rPr>
        <w:t>其一，</w:t>
      </w:r>
      <w:r>
        <w:rPr>
          <w:rFonts w:ascii="Times New Roman" w:hAnsi="Times New Roman" w:eastAsia="宋体"/>
          <w:b/>
          <w:sz w:val="21"/>
        </w:rPr>
        <w:t>补充原始品评分与重复测量</w:t>
      </w:r>
      <w:r>
        <w:rPr>
          <w:rFonts w:ascii="Times New Roman" w:hAnsi="Times New Roman" w:eastAsia="宋体"/>
          <w:b w:val="0"/>
          <w:sz w:val="21"/>
        </w:rPr>
        <w:t>：若能取得受训品评小组的原始 0–6 打分及其重复测量，本文的两套口径即可收敛为实测尺度，并可用层次效应模型分离品评员效应与样品效应，同时为「阈值锚定副轨」提供可验证的基准。其二，</w:t>
      </w:r>
      <w:r>
        <w:rPr>
          <w:rFonts w:ascii="Times New Roman" w:hAnsi="Times New Roman" w:eastAsia="宋体"/>
          <w:b/>
          <w:sz w:val="21"/>
        </w:rPr>
        <w:t>引入更大量样本以识别风格特异效应</w:t>
      </w:r>
      <w:r>
        <w:rPr>
          <w:rFonts w:ascii="Times New Roman" w:hAnsi="Times New Roman" w:eastAsia="宋体"/>
          <w:b w:val="0"/>
          <w:sz w:val="21"/>
        </w:rPr>
        <w:t>：现有多数风格样本量不足 15 例，风格特异的化合物—感官关系难以与全局关系区分，扩样后可在风格内单独估计剂量—响应斜率并检验其异质性。其三，</w:t>
      </w:r>
      <w:r>
        <w:rPr>
          <w:rFonts w:ascii="Times New Roman" w:hAnsi="Times New Roman" w:eastAsia="宋体"/>
          <w:b/>
          <w:sz w:val="21"/>
        </w:rPr>
        <w:t>扩展到非线性依赖结构</w:t>
      </w:r>
      <w:r>
        <w:rPr>
          <w:rFonts w:ascii="Times New Roman" w:hAnsi="Times New Roman" w:eastAsia="宋体"/>
          <w:b w:val="0"/>
          <w:sz w:val="21"/>
        </w:rPr>
        <w:t>：以藤结构（vine）Copula 或尾部依赖模型替换全局高斯 Copula，并在迁移阶段引入分布漂移检验。其四，</w:t>
      </w:r>
      <w:r>
        <w:rPr>
          <w:rFonts w:ascii="Times New Roman" w:hAnsi="Times New Roman" w:eastAsia="宋体"/>
          <w:b/>
          <w:sz w:val="21"/>
        </w:rPr>
        <w:t>消费者层需要直接证据</w:t>
      </w:r>
      <w:r>
        <w:rPr>
          <w:rFonts w:ascii="Times New Roman" w:hAnsi="Times New Roman" w:eastAsia="宋体"/>
          <w:b w:val="0"/>
          <w:sz w:val="21"/>
        </w:rPr>
        <w:t>：引入真实消费者评分或购买行为数据，才能把「化学→感知→偏好」的链条补全；价格信号则宜扩展到多零售源与多时间窗口，并控制包装、促销等非品质因素。</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（2）问题一在固定的分层留出方案下，宏平均 RMSE 相对全局均值基线有约 15% 的改善，但各头部模型的差异在自助重采样区间下不可区分，说明本任务的可解释信号本身有限；本文因此把结论落在「哪些感官维度可预测、哪些接近随机」这一更稳健的层面。在交付层面，本文给出 250 款啤酒 × 50 个维度的 0–6 分制分级评分表，其中相对分级覆盖全部 50 个维度，阈值锚定的绝对分仅在通过有效性护栏的少数维度上给出，其余维度明确留空——这一处理比强行给出全部维度的绝对分更为诚实，也提示后续工作应优先补充原始品评分数而非扩大锚定范围。</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结构加风格条件边际生成化合谱，在缺陷阈值约束下实现了零违规；这里的零违规只表示硬约束合规，不等同于无约束生成真实性，且受约束后的边际会发生分布压缩。在 48 个留出评估单元中，受约束生成的能量距离和 MMD² 均有 42 个劣于无约束生成，而约束合规率由 13.5% 提升至 100%，表明合规提升与真实性损失必须同时报告。并以秩—分位映射完成跨风格迁移，迁移后各缺陷化合物均不恶化。相关结构的保持程度需并置两个数字看：迁移前后斯皮尔曼相关系数的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本文通过并列给出不作约束的参照生成，发现其在当前参照下距离小于同分布随机重抽的期望距离，但与「完美复现风格经验边际」的经验匹配地板相比仍高出一个量级，故本文只主张其在当前参照下具有结构性可用性，不主张精确还原真实边际；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（5）在消费者层，本文因附件不含消费者评分标签而</w:t>
      </w:r>
      <w:r>
        <w:rPr>
          <w:rFonts w:ascii="Times New Roman" w:hAnsi="Times New Roman" w:eastAsia="宋体"/>
          <w:b/>
          <w:sz w:val="21"/>
        </w:rPr>
        <w:t>不构造喜爱度目标</w:t>
      </w:r>
      <w:r>
        <w:rPr>
          <w:rFonts w:ascii="Times New Roman" w:hAnsi="Times New Roman" w:eastAsia="宋体"/>
          <w:b w:val="0"/>
          <w:sz w:val="21"/>
        </w:rPr>
        <w:t>，改为以 183 维论坛派生描述符与 50 维品评组感官并行建模并做交叉一致性检验，以 189 款啤酒的零售价格作为外部价值信号；在缺陷化合物层面，本文重新检验了剂量—响应关系，结论为呈单调正向的有 芳樟醇→柑橘香气（风格分层稳健比例仅 0.17，方向不稳，不宜作一般化解读）；呈单调反向的有 trans-2-壬烯醛→氧化感知（风格分层稳健比例为 0，即无任何可判风格支持该方向，属辛普森式混合效应，不稳健）；全体 |ρ| &lt; 0.1（近乎不相关）的有 二甲基硫醚→硫醚感知（ρ = +0.088）、双乙酰→双乙酰感知（ρ = -0.093）；分位组内方向不一致而判为非单调的有 乙酸乙酯→酯类香气、乙酸乙酯→酯类味、二甲基硫醚→硫醚感知、双乙酰→双乙酰感知；双乙酰与 trans-2-壬烯醛的全体相关方向为负，与「浓度越高越难闻」的朴素预期相反，但其中 trans-2-壬烯醛 的方向在风格分层后不成立，不宜作一般化解读，并给出风格分层稳健性结果。由此，本文对原研究给出的结论做了一个明确的界定：</w:t>
      </w:r>
      <w:r>
        <w:rPr>
          <w:rFonts w:ascii="Times New Roman" w:hAnsi="Times New Roman" w:eastAsia="宋体"/>
          <w:b/>
          <w:sz w:val="21"/>
        </w:rPr>
        <w:t>其「提升消费者喜爱度」一环在本附件条件下不可检验</w:t>
      </w:r>
      <w:r>
        <w:rPr>
          <w:rFonts w:ascii="Times New Roman" w:hAnsi="Times New Roman" w:eastAsia="宋体"/>
          <w:b w:val="0"/>
          <w:sz w:val="21"/>
        </w:rPr>
        <w:t>，本文既不复现也不否定该结论，只把它标注为在现有数据下无法验证。</w:t>
      </w:r>
    </w:p>
    <w:p>
      <w:pPr>
        <w:spacing w:after="80" w:line="324" w:lineRule="auto"/>
        <w:ind w:firstLine="420"/>
      </w:pPr>
      <w:r>
        <w:rPr>
          <w:rFonts w:ascii="Times New Roman" w:hAnsi="Times New Roman" w:eastAsia="宋体"/>
          <w:b w:val="0"/>
          <w:sz w:val="21"/>
        </w:rPr>
        <w:t>关于与原文的关系，需要再次申明：本文是对 Schreurs M 等（Nature Communications, 2024）公开数据的独立复现与再分析，贡献集中在三处数据语义勘误、消费者感知路径与市场价值的外部验证、以及缺陷化合物剂量—响应的再检验；本文不声称复现该研究的模型选择与关键化合物排序，其重要性先验仅作为四路证据之一参与外部印证。</w:t>
      </w:r>
    </w:p>
    <w:p>
      <w:pPr>
        <w:spacing w:after="80" w:line="324" w:lineRule="auto"/>
        <w:ind w:firstLine="420"/>
      </w:pPr>
      <w:r>
        <w:rPr>
          <w:rFonts w:ascii="Times New Roman" w:hAnsi="Times New Roman" w:eastAsia="宋体"/>
          <w:b w:val="0"/>
          <w:sz w:val="21"/>
        </w:rPr>
        <w:t>建议方面：其一，可进一步引入公开同源数据集以补充原始品评分数，从而把本文的两套口径收敛为实测尺度；其二，问题一的可预测性瓶颈主要在标签本身，建议在有更多品评员重复测量时采用层次效应模型分离品评员效应与样品效应；其三，问题三可进一步把 Copula 替换为可容纳非高斯依赖结构的藤结构模型，并把风格条件边际与酿造参数（酒花投料、原麦汁浓度、发酵温度曲线）联合建模，以提高生成谱的工艺可解释性；其四，消费者层需要直接的评价数据，价格信号宜扩展到多零售源并控制非品质因素。</w:t>
      </w:r>
    </w:p>
    <w:p>
      <w:pPr>
        <w:spacing w:before="200" w:after="120" w:line="312" w:lineRule="auto"/>
        <w:jc w:val="left"/>
      </w:pPr>
      <w:r>
        <w:rPr>
          <w:rFonts w:ascii="Times New Roman" w:hAnsi="Times New Roman" w:eastAsia="黑体"/>
          <w:b/>
          <w:sz w:val="30"/>
        </w:rPr>
        <w:t>参考文献</w:t>
      </w:r>
    </w:p>
    <w:p>
      <w:pPr>
        <w:keepLines/>
        <w:spacing w:after="0" w:line="324" w:lineRule="auto"/>
        <w:ind w:firstLine="0"/>
      </w:pPr>
      <w:r>
        <w:rPr>
          <w:rFonts w:ascii="Times New Roman" w:hAnsi="Times New Roman" w:eastAsia="宋体"/>
          <w:b w:val="0"/>
          <w:sz w:val="18"/>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keepLines/>
        <w:spacing w:after="0" w:line="324" w:lineRule="auto"/>
        <w:ind w:firstLine="0"/>
      </w:pPr>
      <w:r>
        <w:rPr>
          <w:rFonts w:ascii="Times New Roman" w:hAnsi="Times New Roman" w:eastAsia="宋体"/>
          <w:b w:val="0"/>
          <w:sz w:val="18"/>
        </w:rPr>
        <w:t>[2] Pedregosa F, Varoquaux G, Gramfort A, Michel V, Thirion B, Grisel O, Blondel M, Prettenhofer P, 等，Scikit-learn: Machine Learning in Python，https://jmlr.org/papers/v12/pedregosa11a.html，访问时间（2026年10月29日）。</w:t>
      </w:r>
    </w:p>
    <w:p>
      <w:pPr>
        <w:keepLines/>
        <w:spacing w:after="0" w:line="324" w:lineRule="auto"/>
        <w:ind w:firstLine="0"/>
      </w:pPr>
      <w:r>
        <w:rPr>
          <w:rFonts w:ascii="Times New Roman" w:hAnsi="Times New Roman" w:eastAsia="宋体"/>
          <w:b w:val="0"/>
          <w:sz w:val="18"/>
        </w:rPr>
        <w:t>[3] Lundberg S M, Lee S I，A Unified Approach to Interpreting Model Predictions，https://arxiv.org/abs/1705.07874，访问时间（2026年10月29日）。</w:t>
      </w:r>
    </w:p>
    <w:p>
      <w:pPr>
        <w:keepLines/>
        <w:spacing w:after="0" w:line="324" w:lineRule="auto"/>
        <w:ind w:firstLine="0"/>
      </w:pPr>
      <w:r>
        <w:rPr>
          <w:rFonts w:ascii="Times New Roman" w:hAnsi="Times New Roman" w:eastAsia="宋体"/>
          <w:b w:val="0"/>
          <w:sz w:val="18"/>
        </w:rPr>
        <w:t>[4] Hollmann N, Müller S, Eggensperger K, Hutter F，TabPFN: A Transformer That Solves Small Tabular Classification Problems in a Second，https://arxiv.org/abs/2207.01848，访问时间（2026年10月29日）。</w:t>
      </w:r>
    </w:p>
    <w:p>
      <w:pPr>
        <w:keepLines/>
        <w:spacing w:after="0" w:line="324" w:lineRule="auto"/>
        <w:ind w:firstLine="0"/>
      </w:pPr>
      <w:r>
        <w:rPr>
          <w:rFonts w:ascii="Times New Roman" w:hAnsi="Times New Roman" w:eastAsia="宋体"/>
          <w:b w:val="0"/>
          <w:sz w:val="18"/>
        </w:rPr>
        <w:t>[5] Traag V A, Waltman L, van Eck N J，From Louvain to Leiden: guaranteeing well-connected communities，Scientific Reports，9(1)：5233，2019. DOI: 10.1038/s41598-019-41695-z.</w:t>
      </w:r>
    </w:p>
    <w:p>
      <w:pPr>
        <w:keepLines/>
        <w:spacing w:after="0" w:line="324" w:lineRule="auto"/>
        <w:ind w:firstLine="0"/>
      </w:pPr>
      <w:r>
        <w:rPr>
          <w:rFonts w:ascii="Times New Roman" w:hAnsi="Times New Roman" w:eastAsia="宋体"/>
          <w:b w:val="0"/>
          <w:sz w:val="18"/>
        </w:rPr>
        <w:t>[6] Nelsen R B，An Introduction to Copulas[M]. New York: Springer（Springer Series in Statistics）, 2006.</w:t>
      </w:r>
    </w:p>
    <w:p>
      <w:pPr>
        <w:keepLines/>
        <w:spacing w:after="0" w:line="324" w:lineRule="auto"/>
        <w:ind w:firstLine="0"/>
      </w:pPr>
      <w:r>
        <w:rPr>
          <w:rFonts w:ascii="Times New Roman" w:hAnsi="Times New Roman" w:eastAsia="宋体"/>
          <w:b w:val="0"/>
          <w:sz w:val="18"/>
        </w:rPr>
        <w:t>[7] Iman R L, Conover W J，A distribution-free approach to inducing rank correlation among input variables，Communications in Statistics - Simulation and Computation，11(3)：311-334，1982. DOI: 10.1080/03610918208812265.</w:t>
      </w:r>
    </w:p>
    <w:p>
      <w:pPr>
        <w:keepLines/>
        <w:spacing w:after="0" w:line="324" w:lineRule="auto"/>
        <w:ind w:firstLine="0"/>
      </w:pPr>
      <w:r>
        <w:rPr>
          <w:rFonts w:ascii="Times New Roman" w:hAnsi="Times New Roman" w:eastAsia="宋体"/>
          <w:b w:val="0"/>
          <w:sz w:val="18"/>
        </w:rPr>
        <w:t>[8] Stevens S S，On the Theory of Scales of Measurement，Science，103(2684)：677-680，1946. DOI: 10.1126/science.103.2684.677.</w:t>
      </w:r>
    </w:p>
    <w:p>
      <w:pPr>
        <w:keepLines/>
        <w:spacing w:after="0" w:line="324" w:lineRule="auto"/>
        <w:ind w:firstLine="0"/>
      </w:pPr>
      <w:r>
        <w:rPr>
          <w:rFonts w:ascii="Times New Roman" w:hAnsi="Times New Roman" w:eastAsia="宋体"/>
          <w:b w:val="0"/>
          <w:sz w:val="18"/>
        </w:rPr>
        <w:t>[9] Seppä L, Latvala T, Akaichi F, Gil J M, Tuorila H，What are domestic apples worth? Hedonic responses and sensory information as drivers of willingness to pay，Food Quality and Preference，43：97-105，2015. DOI: 10.1016/j.foodqual.2015.02.013.</w:t>
      </w:r>
    </w:p>
    <w:p>
      <w:pPr>
        <w:keepLines/>
        <w:spacing w:after="0" w:line="324" w:lineRule="auto"/>
        <w:ind w:firstLine="0"/>
      </w:pPr>
      <w:r>
        <w:rPr>
          <w:rFonts w:ascii="Times New Roman" w:hAnsi="Times New Roman" w:eastAsia="宋体"/>
          <w:b w:val="0"/>
          <w:sz w:val="18"/>
        </w:rPr>
        <w:t>[10] Spearman C，The Proof and Measurement of Association between Two Things，The American Journal of Psychology，15(1)：72，1904. DOI: 10.2307/1412159.</w:t>
      </w:r>
    </w:p>
    <w:p>
      <w:pPr>
        <w:keepLines/>
        <w:spacing w:after="0" w:line="324" w:lineRule="auto"/>
        <w:ind w:firstLine="0"/>
      </w:pPr>
      <w:r>
        <w:rPr>
          <w:rFonts w:ascii="Times New Roman" w:hAnsi="Times New Roman" w:eastAsia="宋体"/>
          <w:b w:val="0"/>
          <w:sz w:val="18"/>
        </w:rPr>
        <w:t>[11] Hollmann N, Müller S, Purucker L, Krishnakumar A, Körfer M, Hoo S B, Schirrmeister R T, Hutter F，Accurate predictions on small data with a tabular foundation model，Nature，637(8045)：319-326，2025. DOI: 10.1038/s41586-024-08328-6.</w:t>
      </w:r>
    </w:p>
    <w:p>
      <w:pPr>
        <w:keepLines/>
        <w:spacing w:after="0" w:line="324" w:lineRule="auto"/>
        <w:ind w:firstLine="0"/>
      </w:pPr>
      <w:r>
        <w:rPr>
          <w:rFonts w:ascii="Times New Roman" w:hAnsi="Times New Roman" w:eastAsia="宋体"/>
          <w:b w:val="0"/>
          <w:sz w:val="18"/>
        </w:rPr>
        <w:t>[12] Restrepo J P, Rivera J C, Laniado H, Osorio P, Becerra O A，Nonparametric Generation of Synthetic Data Using Copulas，Electronics，12(7)：1601，2023. DOI: 10.3390/electronics12071601.</w:t>
      </w:r>
    </w:p>
    <w:p>
      <w:pPr>
        <w:keepLines/>
        <w:spacing w:after="0" w:line="324" w:lineRule="auto"/>
        <w:ind w:firstLine="0"/>
      </w:pPr>
      <w:r>
        <w:rPr>
          <w:rFonts w:ascii="Times New Roman" w:hAnsi="Times New Roman" w:eastAsia="宋体"/>
          <w:b w:val="0"/>
          <w:sz w:val="18"/>
        </w:rPr>
        <w:t>[13] Moskowitz H R，The dollar value of product quality: the effect of pricing versus overall liking on consumer choice，Journal of Sensory Studies，10(3)：239-247，1995. DOI: 10.1111/j.1745-459x.1995.tb00016.x.</w:t>
      </w:r>
    </w:p>
    <w:p>
      <w:pPr>
        <w:keepLines/>
        <w:spacing w:after="0" w:line="324" w:lineRule="auto"/>
        <w:ind w:firstLine="0"/>
      </w:pPr>
      <w:r>
        <w:rPr>
          <w:rFonts w:ascii="Times New Roman" w:hAnsi="Times New Roman" w:eastAsia="宋体"/>
          <w:b w:val="0"/>
          <w:sz w:val="18"/>
        </w:rPr>
        <w:t>[14] Meilgaard M C，Prediction of flavor differences between beers from their chemical composition，Journal of Agricultural and Food Chemistry，30(6)：1009-1017，1982. DOI: 10.1021/jf00114a002.</w:t>
      </w:r>
    </w:p>
    <w:p>
      <w:pPr>
        <w:keepLines/>
        <w:spacing w:after="0" w:line="324" w:lineRule="auto"/>
        <w:ind w:firstLine="0"/>
      </w:pPr>
      <w:r>
        <w:rPr>
          <w:rFonts w:ascii="Times New Roman" w:hAnsi="Times New Roman" w:eastAsia="宋体"/>
          <w:b w:val="0"/>
          <w:sz w:val="18"/>
        </w:rPr>
        <w:t>[15] Olaniran A O, Hiralal L, Mokoena M P, Pillay B，Flavour-active volatile compounds in beer: production, regulation and control，Journal of the Institute of Brewing，123(1)：13-23，2017. DOI: 10.1002/jib.389.</w:t>
      </w:r>
    </w:p>
    <w:p>
      <w:pPr>
        <w:keepLines/>
        <w:spacing w:after="0" w:line="324" w:lineRule="auto"/>
        <w:ind w:firstLine="0"/>
      </w:pPr>
      <w:r>
        <w:rPr>
          <w:rFonts w:ascii="Times New Roman" w:hAnsi="Times New Roman" w:eastAsia="宋体"/>
          <w:b w:val="0"/>
          <w:sz w:val="18"/>
        </w:rPr>
        <w:t>[16] Verstrepen K J, Derdelinckx G, Dufour J P, Winderickx J, Thevelein J M, Pretorius I S, Delvaux F R，Flavor-active esters: Adding fruitiness to beer，Journal of Bioscience and Bioengineering，96(2)：110-118，2003. DOI: 10.1016/S1389-1723(03)90112-5.</w:t>
      </w:r>
    </w:p>
    <w:p>
      <w:pPr>
        <w:keepLines/>
        <w:spacing w:after="0" w:line="324" w:lineRule="auto"/>
        <w:ind w:firstLine="0"/>
      </w:pPr>
      <w:r>
        <w:rPr>
          <w:rFonts w:ascii="Times New Roman" w:hAnsi="Times New Roman" w:eastAsia="宋体"/>
          <w:b w:val="0"/>
          <w:sz w:val="18"/>
        </w:rPr>
        <w:t>[17] Dzialo M C, Park R, Steensels J, Lievens B, Verstrepen K J，Physiology, ecology and industrial applications of aroma formation in yeast，FEMS Microbiology Reviews，41(Suppl_1)：S95-S128，2017. DOI: 10.1093/femsre/fux031.</w:t>
      </w:r>
    </w:p>
    <w:p>
      <w:pPr>
        <w:keepLines/>
        <w:spacing w:after="0" w:line="324" w:lineRule="auto"/>
        <w:ind w:firstLine="0"/>
      </w:pPr>
      <w:r>
        <w:rPr>
          <w:rFonts w:ascii="Times New Roman" w:hAnsi="Times New Roman" w:eastAsia="宋体"/>
          <w:b w:val="0"/>
          <w:sz w:val="18"/>
        </w:rPr>
        <w:t>[18] Bokulich N A, Bamforth C W，The Microbiology of Malting and Brewing，Microbiology and Molecular Biology Reviews，77(2)：157-172，2013. DOI: 10.1128/MMBR.00060-12.</w:t>
      </w:r>
    </w:p>
    <w:p>
      <w:pPr>
        <w:keepLines/>
        <w:spacing w:after="0" w:line="324" w:lineRule="auto"/>
        <w:ind w:firstLine="0"/>
      </w:pPr>
      <w:r>
        <w:rPr>
          <w:rFonts w:ascii="Times New Roman" w:hAnsi="Times New Roman" w:eastAsia="宋体"/>
          <w:b w:val="0"/>
          <w:sz w:val="18"/>
        </w:rPr>
        <w:t>[19] Spitaels F, Wieme A D, Janssens M, Aerts M, Daniel H M, Van Landschoot A, De Vuyst L, Vandamme P，The Microbial Diversity of Traditional Spontaneously Fermented Lambic Beer，PLoS ONE，9(4)：e95384，2014. DOI: 10.1371/journal.pone.0095384.</w:t>
      </w:r>
    </w:p>
    <w:p>
      <w:pPr>
        <w:keepLines/>
        <w:spacing w:after="0" w:line="324" w:lineRule="auto"/>
        <w:ind w:firstLine="0"/>
      </w:pPr>
      <w:r>
        <w:rPr>
          <w:rFonts w:ascii="Times New Roman" w:hAnsi="Times New Roman" w:eastAsia="宋体"/>
          <w:b w:val="0"/>
          <w:sz w:val="18"/>
        </w:rPr>
        <w:t>[20] Snauwaert I, Roels S P, Van Nieuwerburgh F, Van Landschoot A, De Vuyst L, Vandamme P，Microbial diversity and metabolite composition of Belgian red-brown acidic ales，International Journal of Food Microbiology，221：1-11，2016. DOI: 10.1016/j.ijfoodmicro.2015.12.009.</w:t>
      </w:r>
    </w:p>
    <w:p>
      <w:pPr>
        <w:keepLines/>
        <w:spacing w:after="0" w:line="324" w:lineRule="auto"/>
        <w:ind w:firstLine="0"/>
      </w:pPr>
      <w:r>
        <w:rPr>
          <w:rFonts w:ascii="Times New Roman" w:hAnsi="Times New Roman" w:eastAsia="宋体"/>
          <w:b w:val="0"/>
          <w:sz w:val="18"/>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keepLines/>
        <w:spacing w:after="0" w:line="324" w:lineRule="auto"/>
        <w:ind w:firstLine="0"/>
      </w:pPr>
      <w:r>
        <w:rPr>
          <w:rFonts w:ascii="Times New Roman" w:hAnsi="Times New Roman" w:eastAsia="宋体"/>
          <w:b w:val="0"/>
          <w:sz w:val="18"/>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keepLines/>
        <w:spacing w:after="0" w:line="324" w:lineRule="auto"/>
        <w:ind w:firstLine="0"/>
      </w:pPr>
      <w:r>
        <w:rPr>
          <w:rFonts w:ascii="Times New Roman" w:hAnsi="Times New Roman" w:eastAsia="宋体"/>
          <w:b w:val="0"/>
          <w:sz w:val="18"/>
        </w:rPr>
        <w:t>[23] Lusk L T, Kay S B, Porubcan A, Ryder D S，Key Olfactory Cues for Beer Oxidation，Journal of the American Society of Brewing Chemists，70(4)：257-261，2012. DOI: 10.1094/asbcj-2012-0907-01.</w:t>
      </w:r>
    </w:p>
    <w:p>
      <w:pPr>
        <w:keepLines/>
        <w:spacing w:after="0" w:line="324" w:lineRule="auto"/>
        <w:ind w:firstLine="0"/>
      </w:pPr>
      <w:r>
        <w:rPr>
          <w:rFonts w:ascii="Times New Roman" w:hAnsi="Times New Roman" w:eastAsia="宋体"/>
          <w:b w:val="0"/>
          <w:sz w:val="18"/>
        </w:rPr>
        <w:t>[24] Blanco C A, Andrés-Iglesias C, Montero O，Low-alcohol Beers: Flavor Compounds, Defects, and Improvement Strategies，Critical Reviews in Food Science and Nutrition，56(8)：1379-1388，2016. DOI: 10.1080/10408398.2012.733979.</w:t>
      </w:r>
    </w:p>
    <w:p>
      <w:pPr>
        <w:keepLines/>
        <w:spacing w:after="0" w:line="324" w:lineRule="auto"/>
        <w:ind w:firstLine="0"/>
      </w:pPr>
      <w:r>
        <w:rPr>
          <w:rFonts w:ascii="Times New Roman" w:hAnsi="Times New Roman" w:eastAsia="宋体"/>
          <w:b w:val="0"/>
          <w:sz w:val="18"/>
        </w:rPr>
        <w:t>[25] Gonzalez Viejo C, Fuentes S, Torrico D D, Godbole A, Dunshea F R，Chemical characterization of aromas in beer and their effect on consumers liking，Food Chemistry，293：479-485，2019. DOI: 10.1016/j.foodchem.2019.04.114.</w:t>
      </w:r>
    </w:p>
    <w:p>
      <w:pPr>
        <w:keepLines/>
        <w:spacing w:after="0" w:line="324" w:lineRule="auto"/>
        <w:ind w:firstLine="0"/>
      </w:pPr>
      <w:r>
        <w:rPr>
          <w:rFonts w:ascii="Times New Roman" w:hAnsi="Times New Roman" w:eastAsia="宋体"/>
          <w:b w:val="0"/>
          <w:sz w:val="18"/>
        </w:rPr>
        <w:t>[26] Rodrigues H, Parr W V，Contribution of cross-cultural studies to understanding wine appreciation: A review，Food Research International，115：251-258，2019. DOI: 10.1016/j.foodres.2018.09.008.</w:t>
      </w:r>
    </w:p>
    <w:p>
      <w:pPr>
        <w:keepLines/>
        <w:spacing w:after="0" w:line="324" w:lineRule="auto"/>
        <w:ind w:firstLine="0"/>
      </w:pPr>
      <w:r>
        <w:rPr>
          <w:rFonts w:ascii="Times New Roman" w:hAnsi="Times New Roman" w:eastAsia="宋体"/>
          <w:b w:val="0"/>
          <w:sz w:val="18"/>
        </w:rPr>
        <w:t>[27] Chambers E, Koppel K，Associations of Volatile Compounds with Sensory Aroma and Flavor: The Complex Nature of Flavor，Molecules，18(5)：4887-4905，2013. DOI: 10.3390/molecules18054887.</w:t>
      </w:r>
    </w:p>
    <w:p>
      <w:pPr>
        <w:keepLines/>
        <w:spacing w:after="0" w:line="324" w:lineRule="auto"/>
        <w:ind w:firstLine="0"/>
      </w:pPr>
      <w:r>
        <w:rPr>
          <w:rFonts w:ascii="Times New Roman" w:hAnsi="Times New Roman" w:eastAsia="宋体"/>
          <w:b w:val="0"/>
          <w:sz w:val="18"/>
        </w:rPr>
        <w:t>[28] Korneva E, Blockeel H，Towards Better Evaluation of Multi-target Regression Models[C]//ECML PKDD 2020 Workshops（Communications in Computer and Information Science）: 353-362, 2020.</w:t>
      </w:r>
    </w:p>
    <w:p>
      <w:pPr>
        <w:keepLines/>
        <w:spacing w:after="0" w:line="324" w:lineRule="auto"/>
        <w:ind w:firstLine="0"/>
      </w:pPr>
      <w:r>
        <w:rPr>
          <w:rFonts w:ascii="Times New Roman" w:hAnsi="Times New Roman" w:eastAsia="宋体"/>
          <w:b w:val="0"/>
          <w:sz w:val="18"/>
        </w:rPr>
        <w:t>[29] Friedman J H，Greedy function approximation: A gradient boosting machine，The Annals of Statistics，29(5)：1189-1232，2001. DOI: 10.1214/aos/1013203451.</w:t>
      </w:r>
    </w:p>
    <w:p>
      <w:pPr>
        <w:keepLines/>
        <w:spacing w:after="0" w:line="324" w:lineRule="auto"/>
        <w:ind w:firstLine="0"/>
      </w:pPr>
      <w:r>
        <w:rPr>
          <w:rFonts w:ascii="Times New Roman" w:hAnsi="Times New Roman" w:eastAsia="宋体"/>
          <w:b w:val="0"/>
          <w:sz w:val="18"/>
        </w:rPr>
        <w:t>[30] Efron B，Bootstrap Methods: Another Look at the Jackknife，The Annals of Statistics，7(1)：1-26，1979. DOI: 10.1214/aos/1176344552.</w:t>
      </w:r>
    </w:p>
    <w:p>
      <w:pPr>
        <w:keepLines/>
        <w:spacing w:after="0" w:line="324" w:lineRule="auto"/>
        <w:ind w:firstLine="0"/>
      </w:pPr>
      <w:r>
        <w:rPr>
          <w:rFonts w:ascii="Times New Roman" w:hAnsi="Times New Roman" w:eastAsia="宋体"/>
          <w:b w:val="0"/>
          <w:sz w:val="18"/>
        </w:rPr>
        <w:t>[31] Arlot S, Celisse A，A survey of cross-validation procedures for model selection，Statistics Surveys，4：40-79，2010. DOI: 10.1214/09-SS054.</w:t>
      </w:r>
    </w:p>
    <w:p>
      <w:pPr>
        <w:keepLines/>
        <w:spacing w:after="0" w:line="324" w:lineRule="auto"/>
        <w:ind w:firstLine="0"/>
      </w:pPr>
      <w:r>
        <w:rPr>
          <w:rFonts w:ascii="Times New Roman" w:hAnsi="Times New Roman" w:eastAsia="宋体"/>
          <w:b w:val="0"/>
          <w:sz w:val="18"/>
        </w:rPr>
        <w:t>[32] Hastie T, Tibshirani R, Friedman J，The Elements of Statistical Learning: Data Mining, Inference, and Prediction[M]. New York: Springer（Springer Series in Statistics）, 2009.</w:t>
      </w:r>
    </w:p>
    <w:p>
      <w:pPr>
        <w:keepLines/>
        <w:spacing w:after="0" w:line="324" w:lineRule="auto"/>
        <w:ind w:firstLine="0"/>
      </w:pPr>
      <w:r>
        <w:rPr>
          <w:rFonts w:ascii="Times New Roman" w:hAnsi="Times New Roman" w:eastAsia="宋体"/>
          <w:b w:val="0"/>
          <w:sz w:val="18"/>
        </w:rPr>
        <w:t>[33] Lawless H T, Heymann H，Sensory Evaluation of Food: Principles and Practices[M]. New York: Springer（Food Science Text Series）, 2010.</w:t>
      </w:r>
    </w:p>
    <w:p>
      <w:pPr>
        <w:keepLines/>
        <w:spacing w:after="0" w:line="324" w:lineRule="auto"/>
        <w:ind w:firstLine="0"/>
      </w:pPr>
      <w:r>
        <w:rPr>
          <w:rFonts w:ascii="Times New Roman" w:hAnsi="Times New Roman" w:eastAsia="宋体"/>
          <w:b w:val="0"/>
          <w:sz w:val="18"/>
        </w:rPr>
        <w:t>[34] Stone H, Sidel J, Oliver S, Woolsey A, Singleton R C，Sensory Evaluation by Quantitative Descriptive Analysis[C]//Descriptive Sensory Analysis in Practice（Wiley）: 23-34, 2004.</w:t>
      </w:r>
    </w:p>
    <w:p>
      <w:pPr>
        <w:keepLines/>
        <w:spacing w:after="0" w:line="324" w:lineRule="auto"/>
        <w:ind w:firstLine="0"/>
      </w:pPr>
      <w:r>
        <w:rPr>
          <w:rFonts w:ascii="Times New Roman" w:hAnsi="Times New Roman" w:eastAsia="宋体"/>
          <w:b w:val="0"/>
          <w:sz w:val="18"/>
        </w:rPr>
        <w:t>[35] Harris C R, Millman K J, van der Walt S J, 等，Array programming with NumPy，Nature，585(7825)：357-362，2020. DOI: 10.1038/s41586-020-2649-2.</w:t>
      </w:r>
    </w:p>
    <w:p>
      <w:pPr>
        <w:keepLines/>
        <w:spacing w:after="0" w:line="324" w:lineRule="auto"/>
        <w:ind w:firstLine="0"/>
      </w:pPr>
      <w:r>
        <w:rPr>
          <w:rFonts w:ascii="Times New Roman" w:hAnsi="Times New Roman" w:eastAsia="宋体"/>
          <w:b w:val="0"/>
          <w:sz w:val="18"/>
        </w:rPr>
        <w:t>[36] Ma J, Thomas V, Hosseinzadeh R, et al，TabDPT: Scaling Tabular Foundation Models on Real Data[C]//Advances in Neural Information Processing Systems 38, 2025.</w:t>
      </w:r>
    </w:p>
    <w:p>
      <w:pPr>
        <w:keepLines/>
        <w:spacing w:after="0" w:line="324" w:lineRule="auto"/>
        <w:ind w:firstLine="0"/>
      </w:pPr>
      <w:r>
        <w:rPr>
          <w:rFonts w:ascii="Times New Roman" w:hAnsi="Times New Roman" w:eastAsia="宋体"/>
          <w:b w:val="0"/>
          <w:sz w:val="18"/>
        </w:rPr>
        <w:t>[37] Sun S, Yu R，Copula Conformal prediction for multi-step time series prediction[C]//International Conference on Learning Representations 2024, 2024.</w:t>
      </w:r>
    </w:p>
    <w:p>
      <w:pPr>
        <w:keepLines/>
        <w:spacing w:after="0" w:line="324" w:lineRule="auto"/>
        <w:ind w:firstLine="0"/>
      </w:pPr>
      <w:r>
        <w:rPr>
          <w:rFonts w:ascii="Times New Roman" w:hAnsi="Times New Roman" w:eastAsia="宋体"/>
          <w:b w:val="0"/>
          <w:sz w:val="18"/>
        </w:rPr>
        <w:t>[38] Chen Y, Huang H, Yin R, He X, Guo L, Song Y, Zhao D, Sun J, Li J, Huang M, Sun B，Multi-Technique Flavoromics for Identifying Key Differential Volatile Compounds Underlying Sensory Profiles in Lager Beers，Foods，14(19)：3428，2025. DOI: 10.3390/foods14193428.</w:t>
      </w:r>
    </w:p>
    <w:p>
      <w:pPr>
        <w:keepLines/>
        <w:spacing w:after="0" w:line="324" w:lineRule="auto"/>
        <w:ind w:firstLine="0"/>
      </w:pPr>
      <w:r>
        <w:rPr>
          <w:rFonts w:ascii="Times New Roman" w:hAnsi="Times New Roman" w:eastAsia="宋体"/>
          <w:b w:val="0"/>
          <w:sz w:val="18"/>
        </w:rPr>
        <w:t>本论文使用的人工智能工具：[39]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本研究的全部计算在 Python 3.12.10 隔离虚拟环境中完成，依赖版本锁定如下（名称==版本）：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GB；深度学习框架使用 CPU 版本，不启用 GPU；预训练先验 TabPFN 3.5 的权重文件不随支撑材料分发，由公开模型仓库按文件名获取后置于指定目录。</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其他工具与辅助脚本：build_release_manifest.py</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问题一：q1_absolute_anchor.py、q1_bootstrap.py、q1_entry.py、q1_evaluation.py、q1_figures.py、q1_leakage_check.py、q1_models.py、q1_pipeline.py、q1_predict.py、q1_tabpfn_cv.py、q1_visualize.py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以上合计 49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单元测试（tests/）：test_consumer_layer.py、test_corr_type.py、test_data_contract.py、test_literature.py、test_plot_style.py、test_scale_audit.py</w:t>
      </w:r>
    </w:p>
    <w:p>
      <w:pPr>
        <w:spacing w:after="60" w:line="324" w:lineRule="auto"/>
      </w:pPr>
      <w:r>
        <w:rPr>
          <w:rFonts w:ascii="Times New Roman" w:hAnsi="Times New Roman" w:eastAsia="宋体"/>
          <w:b w:val="0"/>
          <w:sz w:val="18"/>
        </w:rPr>
        <w:t>单元测试（tests_q1/）：conftest.py、test_absolute_summary.py、test_q1_deliverables.py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data/processed/q1_final/ —— 问题一：模型总表、逐维指标、分级切点、阈值锚定参数、250×50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38 条。</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
  <cp:lastModifiedBy/>
  <dcterms:modified xsi:type="dcterms:W3CDTF">2026-10-22T07:15:50Z</dcterms:modified>
  <cp:revision>2</cp:revision>
</cp:coreProperties>
</file>