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Pr>
          <w:rFonts w:ascii="Times New Roman" w:hAnsi="Times New Roman" w:eastAsia="黑体"/>
          <w:b/>
          <w:sz w:val="26"/>
        </w:rPr>
        <w:t>摘  要</w:t>
      </w:r>
    </w:p>
    <w:p w14:paraId="6440F893">
      <w:pPr>
        <w:spacing w:line="324" w:lineRule="auto"/>
        <w:ind w:firstLine="420"/>
        <w:jc w:val="both"/>
        <w:rPr>
          <w:color w:val="000000"/>
          <w:sz w:val="24"/>
          <w:szCs w:val="24"/>
        </w:rPr>
      </w:pPr>
      <w:r>
        <w:rPr>
          <w:rFonts w:ascii="Times New Roman" w:hAnsi="Times New Roman" w:eastAsia="宋体"/>
          <w:b w:val="0"/>
          <w:sz w:val="21"/>
        </w:rPr>
        <w:t>本文针对 250 款商用啤酒的化学测量与感官数据完成三项任务的建模与复现，并首先以可复算的证据审计附件语义：逐列回归裁定 1.csv 为 log10 标度与原始浓度并存的混合标度（70 列中 log10 标度 37、原始浓度标度 19、近似原始浓度 10、无法逐点复现 4）；以逐元素重算比对裁定 2.csv、5.csv、6.csv 三张相关矩阵均为斯皮尔曼系数（最大绝对偏差为 0）；并查明 3.xlsx 仅为空白品评卡模板、附件不含原始 0–6 分数。据此建立两张全解析名称桥与统一的 log10(mg/L) 特征矩阵。问题一以 227 个化学特征（统一矩阵 231 列中剔除 4 个派生求和列）预测 50 个感官维度，七个模型族与 TabPFN 3.5 五折集成在分层留出集上取得相对全局均值基线约 15% 的宏平均 RMSE 改善，并交付 250 款啤酒 × 50 维的 0–6 分制分级评分表。问题二构建 231 节点共表达图，以自算全量相关、SHAP 归因、附件交叉相关与外部先验四路证据给出各感官维度的 Top-3 关键化合物，并以重采样入选频率与跨方法 Jaccard 系数双重量化稳定性。问题三以全局高斯 Copula 加风格条件边际生成化合谱，在缺陷阈值约束下实现零违规，并以秩—分位映射完成跨风格迁移。本文进一步以 183 维消费者描述符与 189 款啤酒的零售价格作为外部验证，并重新检验缺陷化合物的剂量—响应关系；对原研究「提升消费者喜爱度」一环，因附件不含消费者评分标签，明确声明其在本附件条件下不可检验。</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1.1 与原文的关系及本文贡献</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1.2 任务分解与叙事主线</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1.3 总体应对</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二、相关工作与文献综述</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2.1 原始工作与数据来源</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2.2 感官预测与可解释机器学习</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2.3 化合物关联分析与网络化方法</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2.4 合成数据、Copula 与秩—分位映射</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2.5 定量描述感官分析与消费者接受度、价格</w:t>
      </w:r>
      <w:r>
        <w:rPr>
          <w:rFonts w:ascii="Times New Roman" w:hAnsi="Times New Roman" w:eastAsia="宋体"/>
          <w:b w:val="0"/>
          <w:sz w:val="20"/>
        </w:rPr>
        <w:tab/>
        <w:t>2</w:t>
      </w:r>
    </w:p>
    <w:p>
      <w:pPr>
        <w:tabs>
          <w:tab w:pos="8787" w:val="right" w:leader="dot"/>
        </w:tabs>
        <w:spacing w:after="40"/>
        <w:ind w:left="0"/>
      </w:pPr>
      <w:r>
        <w:rPr>
          <w:rFonts w:ascii="Times New Roman" w:hAnsi="Times New Roman" w:eastAsia="宋体"/>
          <w:b w:val="0"/>
          <w:sz w:val="21"/>
        </w:rPr>
        <w:t>三、数据处理与语义审计</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3.1 附件结构与量纲裁定</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3.2 相关系数类型的勘误</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3.3 名称桥、缺失与检出限</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3.4 感官维度与数据划分</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3.5 主要符号与含义</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3.6 与官方文本表述不一致的三处及其证据</w:t>
      </w:r>
      <w:r>
        <w:rPr>
          <w:rFonts w:ascii="Times New Roman" w:hAnsi="Times New Roman" w:eastAsia="宋体"/>
          <w:b w:val="0"/>
          <w:sz w:val="20"/>
        </w:rPr>
        <w:tab/>
        <w:t>5</w:t>
      </w:r>
    </w:p>
    <w:p>
      <w:pPr>
        <w:tabs>
          <w:tab w:pos="8787" w:val="right" w:leader="dot"/>
        </w:tabs>
        <w:spacing w:after="40"/>
        <w:ind w:left="0"/>
      </w:pPr>
      <w:r>
        <w:rPr>
          <w:rFonts w:ascii="Times New Roman" w:hAnsi="Times New Roman" w:eastAsia="宋体"/>
          <w:b w:val="0"/>
          <w:sz w:val="21"/>
        </w:rPr>
        <w:t>四、模型构建</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4.1 问题一：多任务回归与双轨分级</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4.2 问题二：共表达图与四路证据融合</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4.3 问题三：风格条件生成与跨风格迁移</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4.4 消费者层建模</w:t>
      </w:r>
      <w:r>
        <w:rPr>
          <w:rFonts w:ascii="Times New Roman" w:hAnsi="Times New Roman" w:eastAsia="宋体"/>
          <w:b w:val="0"/>
          <w:sz w:val="20"/>
        </w:rPr>
        <w:tab/>
        <w:t>7</w:t>
      </w:r>
    </w:p>
    <w:p>
      <w:pPr>
        <w:tabs>
          <w:tab w:pos="8787" w:val="right" w:leader="dot"/>
        </w:tabs>
        <w:spacing w:after="40"/>
        <w:ind w:left="0"/>
      </w:pPr>
      <w:r>
        <w:rPr>
          <w:rFonts w:ascii="Times New Roman" w:hAnsi="Times New Roman" w:eastAsia="宋体"/>
          <w:b w:val="0"/>
          <w:sz w:val="21"/>
        </w:rPr>
        <w:t>五、实验结果</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5.1 问题一：感官评分预测与 0–6 分制</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5.2 消费者感知路径与市场价值</w:t>
      </w:r>
      <w:r>
        <w:rPr>
          <w:rFonts w:ascii="Times New Roman" w:hAnsi="Times New Roman" w:eastAsia="宋体"/>
          <w:b w:val="0"/>
          <w:sz w:val="20"/>
        </w:rPr>
        <w:tab/>
        <w:t>11</w:t>
      </w:r>
    </w:p>
    <w:p>
      <w:pPr>
        <w:tabs>
          <w:tab w:pos="8787" w:val="right" w:leader="dot"/>
        </w:tabs>
        <w:spacing w:after="40"/>
        <w:ind w:left="360"/>
      </w:pPr>
      <w:r>
        <w:rPr>
          <w:rFonts w:ascii="Times New Roman" w:hAnsi="Times New Roman" w:eastAsia="宋体"/>
          <w:b w:val="0"/>
          <w:sz w:val="20"/>
        </w:rPr>
        <w:t>5.3 问题二：共表达图与关键化合物</w:t>
      </w:r>
      <w:r>
        <w:rPr>
          <w:rFonts w:ascii="Times New Roman" w:hAnsi="Times New Roman" w:eastAsia="宋体"/>
          <w:b w:val="0"/>
          <w:sz w:val="20"/>
        </w:rPr>
        <w:tab/>
        <w:t>14</w:t>
      </w:r>
    </w:p>
    <w:p>
      <w:pPr>
        <w:tabs>
          <w:tab w:pos="8787" w:val="right" w:leader="dot"/>
        </w:tabs>
        <w:spacing w:after="40"/>
        <w:ind w:left="360"/>
      </w:pPr>
      <w:r>
        <w:rPr>
          <w:rFonts w:ascii="Times New Roman" w:hAnsi="Times New Roman" w:eastAsia="宋体"/>
          <w:b w:val="0"/>
          <w:sz w:val="20"/>
        </w:rPr>
        <w:t>5.4 与原文的对照及缺陷化合物剂量再检验</w:t>
      </w:r>
      <w:r>
        <w:rPr>
          <w:rFonts w:ascii="Times New Roman" w:hAnsi="Times New Roman" w:eastAsia="宋体"/>
          <w:b w:val="0"/>
          <w:sz w:val="20"/>
        </w:rPr>
        <w:tab/>
        <w:t>18</w:t>
      </w:r>
    </w:p>
    <w:p>
      <w:pPr>
        <w:tabs>
          <w:tab w:pos="8787" w:val="right" w:leader="dot"/>
        </w:tabs>
        <w:spacing w:after="40"/>
        <w:ind w:left="360"/>
      </w:pPr>
      <w:r>
        <w:rPr>
          <w:rFonts w:ascii="Times New Roman" w:hAnsi="Times New Roman" w:eastAsia="宋体"/>
          <w:b w:val="0"/>
          <w:sz w:val="20"/>
        </w:rPr>
        <w:t>5.5 问题三：风格条件生成与跨风格迁移</w:t>
      </w:r>
      <w:r>
        <w:rPr>
          <w:rFonts w:ascii="Times New Roman" w:hAnsi="Times New Roman" w:eastAsia="宋体"/>
          <w:b w:val="0"/>
          <w:sz w:val="20"/>
        </w:rPr>
        <w:tab/>
        <w:t>20</w:t>
      </w:r>
    </w:p>
    <w:p>
      <w:pPr>
        <w:tabs>
          <w:tab w:pos="8787" w:val="right" w:leader="dot"/>
        </w:tabs>
        <w:spacing w:after="40"/>
        <w:ind w:left="0"/>
      </w:pPr>
      <w:r>
        <w:rPr>
          <w:rFonts w:ascii="Times New Roman" w:hAnsi="Times New Roman" w:eastAsia="宋体"/>
          <w:b w:val="0"/>
          <w:sz w:val="21"/>
        </w:rPr>
        <w:t>六、讨论：局限与改进</w:t>
      </w:r>
      <w:r>
        <w:rPr>
          <w:rFonts w:ascii="Times New Roman" w:hAnsi="Times New Roman" w:eastAsia="宋体"/>
          <w:b w:val="0"/>
          <w:sz w:val="20"/>
        </w:rPr>
        <w:tab/>
        <w:t>25</w:t>
      </w:r>
    </w:p>
    <w:p>
      <w:pPr>
        <w:tabs>
          <w:tab w:pos="8787" w:val="right" w:leader="dot"/>
        </w:tabs>
        <w:spacing w:after="40"/>
        <w:ind w:left="360"/>
      </w:pPr>
      <w:r>
        <w:rPr>
          <w:rFonts w:ascii="Times New Roman" w:hAnsi="Times New Roman" w:eastAsia="宋体"/>
          <w:b w:val="0"/>
          <w:sz w:val="20"/>
        </w:rPr>
        <w:t>6.1 主要局限</w:t>
      </w:r>
      <w:r>
        <w:rPr>
          <w:rFonts w:ascii="Times New Roman" w:hAnsi="Times New Roman" w:eastAsia="宋体"/>
          <w:b w:val="0"/>
          <w:sz w:val="20"/>
        </w:rPr>
        <w:tab/>
        <w:t>25</w:t>
      </w:r>
    </w:p>
    <w:p>
      <w:pPr>
        <w:tabs>
          <w:tab w:pos="8787" w:val="right" w:leader="dot"/>
        </w:tabs>
        <w:spacing w:after="40"/>
        <w:ind w:left="360"/>
      </w:pPr>
      <w:r>
        <w:rPr>
          <w:rFonts w:ascii="Times New Roman" w:hAnsi="Times New Roman" w:eastAsia="宋体"/>
          <w:b w:val="0"/>
          <w:sz w:val="20"/>
        </w:rPr>
        <w:t>6.2 改进方向</w:t>
      </w:r>
      <w:r>
        <w:rPr>
          <w:rFonts w:ascii="Times New Roman" w:hAnsi="Times New Roman" w:eastAsia="宋体"/>
          <w:b w:val="0"/>
          <w:sz w:val="20"/>
        </w:rPr>
        <w:tab/>
        <w:t>26</w:t>
      </w:r>
    </w:p>
    <w:p>
      <w:pPr>
        <w:tabs>
          <w:tab w:pos="8787" w:val="right" w:leader="dot"/>
        </w:tabs>
        <w:spacing w:after="40"/>
        <w:ind w:left="0"/>
      </w:pPr>
      <w:r>
        <w:rPr>
          <w:rFonts w:ascii="Times New Roman" w:hAnsi="Times New Roman" w:eastAsia="宋体"/>
          <w:b w:val="0"/>
          <w:sz w:val="21"/>
        </w:rPr>
        <w:t>七、结论与建议</w:t>
      </w:r>
      <w:r>
        <w:rPr>
          <w:rFonts w:ascii="Times New Roman" w:hAnsi="Times New Roman" w:eastAsia="宋体"/>
          <w:b w:val="0"/>
          <w:sz w:val="20"/>
        </w:rPr>
        <w:tab/>
        <w:t>26</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before="140" w:after="80" w:line="312" w:lineRule="auto"/>
        <w:jc w:val="left"/>
      </w:pPr>
      <w:r>
        <w:rPr>
          <w:rFonts w:ascii="Times New Roman" w:hAnsi="Times New Roman" w:eastAsia="黑体"/>
          <w:b/>
          <w:sz w:val="26"/>
        </w:rPr>
        <w:t>1.1 与原文的关系及本文贡献</w:t>
      </w:r>
    </w:p>
    <w:p>
      <w:pPr>
        <w:spacing w:after="80" w:line="324" w:lineRule="auto"/>
        <w:ind w:firstLine="420"/>
      </w:pPr>
      <w:r>
        <w:rPr>
          <w:rFonts w:ascii="Times New Roman" w:hAnsi="Times New Roman" w:eastAsia="宋体"/>
          <w:b w:val="0"/>
          <w:sz w:val="21"/>
        </w:rPr>
        <w:t>赛题附件是 Schreurs M、Verstrepen P J 等人发表在 Nature Communications 的原始研究的公开数据与补充材料 [1]：其正文以 250 款商用啤酒的化学测量与受训品评小组的感官结果为核心数据，并公开了化合物—化合物、感官—感官与化合物—感官三张相关矩阵、感官品评卡、论坛评述派生描述符以及阈值与名称参考表。本文</w:t>
      </w:r>
      <w:r>
        <w:rPr>
          <w:rFonts w:ascii="Times New Roman" w:hAnsi="Times New Roman" w:eastAsia="宋体"/>
          <w:b/>
          <w:sz w:val="21"/>
        </w:rPr>
        <w:t>不是对该研究的重复报道</w:t>
      </w:r>
      <w:r>
        <w:rPr>
          <w:rFonts w:ascii="Times New Roman" w:hAnsi="Times New Roman" w:eastAsia="宋体"/>
          <w:b w:val="0"/>
          <w:sz w:val="21"/>
        </w:rPr>
        <w:t>，而是对其公开数据的一次</w:t>
      </w:r>
      <w:r>
        <w:rPr>
          <w:rFonts w:ascii="Times New Roman" w:hAnsi="Times New Roman" w:eastAsia="宋体"/>
          <w:b/>
          <w:sz w:val="21"/>
        </w:rPr>
        <w:t>独立复现与再分析</w:t>
      </w:r>
      <w:r>
        <w:rPr>
          <w:rFonts w:ascii="Times New Roman" w:hAnsi="Times New Roman" w:eastAsia="宋体"/>
          <w:b w:val="0"/>
          <w:sz w:val="21"/>
        </w:rPr>
        <w:t>：所有量纲裁定、相关类型裁定、名称桥、建模与评估均由本文重新实现与复算，附件中未被明示的语义一律以可复算的证据裁定，而不是沿用原文结论。</w:t>
      </w:r>
    </w:p>
    <w:p>
      <w:pPr>
        <w:spacing w:after="80" w:line="324" w:lineRule="auto"/>
        <w:ind w:firstLine="420"/>
      </w:pPr>
      <w:r>
        <w:rPr>
          <w:rFonts w:ascii="Times New Roman" w:hAnsi="Times New Roman" w:eastAsia="宋体"/>
          <w:b w:val="0"/>
          <w:sz w:val="21"/>
        </w:rPr>
        <w:t>据此，本文相对原文的增量贡献有三点。其一，识别并给出三处与官方赛题文本表述不一致的数据语义问题——三张相关矩阵的相关系数类型、品评卡模板的实际内容、1.csv 的标度结构——并逐条附上复算证据；其二，在原研究面向消费者偏好、而附件并未提供任何消费者评分标签的前提下，本文以 183 维论坛派生消费者描述符与 189 款啤酒的零售价格为外部代理，构造「化学→消费者感知」与「化学→市场价值」两条验证路径；其三，在原始剂量—响应证据不可得的条件下，重新检验缺陷化合物的剂量—响应关系。必须明确声明的是：</w:t>
      </w:r>
      <w:r>
        <w:rPr>
          <w:rFonts w:ascii="Times New Roman" w:hAnsi="Times New Roman" w:eastAsia="宋体"/>
          <w:b/>
          <w:sz w:val="21"/>
        </w:rPr>
        <w:t>附件未提供任何消费者评分或喜爱度标签，因此本文不声称复现原研究对消费者喜爱度的预测</w:t>
      </w:r>
      <w:r>
        <w:rPr>
          <w:rFonts w:ascii="Times New Roman" w:hAnsi="Times New Roman" w:eastAsia="宋体"/>
          <w:b w:val="0"/>
          <w:sz w:val="21"/>
        </w:rPr>
        <w:t>，只在可观测的描述符与价格代理上做验证，并把「喜爱度是否可提升」明确标注为在本附件条件下不可检验的一环。</w:t>
      </w:r>
    </w:p>
    <w:p>
      <w:pPr>
        <w:spacing w:before="140" w:after="80" w:line="312" w:lineRule="auto"/>
        <w:jc w:val="left"/>
      </w:pPr>
      <w:r>
        <w:rPr>
          <w:rFonts w:ascii="Times New Roman" w:hAnsi="Times New Roman" w:eastAsia="黑体"/>
          <w:b/>
          <w:sz w:val="26"/>
        </w:rPr>
        <w:t>1.2 任务分解与叙事主线</w:t>
      </w:r>
    </w:p>
    <w:p>
      <w:pPr>
        <w:spacing w:after="80" w:line="324" w:lineRule="auto"/>
        <w:ind w:firstLine="420"/>
      </w:pPr>
      <w:r>
        <w:rPr>
          <w:rFonts w:ascii="Times New Roman" w:hAnsi="Times New Roman" w:eastAsia="宋体"/>
          <w:b w:val="0"/>
          <w:sz w:val="21"/>
        </w:rPr>
        <w:t>赛题要回答的其实是一个连续的问题：</w:t>
      </w:r>
      <w:r>
        <w:rPr>
          <w:rFonts w:ascii="Times New Roman" w:hAnsi="Times New Roman" w:eastAsia="宋体"/>
          <w:b/>
          <w:sz w:val="21"/>
        </w:rPr>
        <w:t>什么样的啤酒好喝、为什么好喝、以及如何据此设计出新的化合物谱</w:t>
      </w:r>
      <w:r>
        <w:rPr>
          <w:rFonts w:ascii="Times New Roman" w:hAnsi="Times New Roman" w:eastAsia="宋体"/>
          <w:b w:val="0"/>
          <w:sz w:val="21"/>
        </w:rPr>
        <w:t>。对应到三问：第一问用化学指纹预测感官评分，回答「什么样的啤酒好喝」；第二问把感官维度拆解到具体化合物，回答「为什么好喝」；第三问以风格为条件反向设计化合物谱，回答「如何据此设计」。三问共享同一份化学特征矩阵与同一套数据语义裁定，因此本文把它们组织成一条主线而不是三个孤立任务：问题一给出「化学→感官」的映射，问题二在同一矩阵上给出「感官→化合物」的可解释分解，问题三再把这条映射反过来用于设计。</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款商用啤酒的化学测量数据、感官品评数据与多张相关矩阵为输入，要求完成三件本质上互不相同的任务：三其一是在感官标签仅以标准化形式给出的条件下，还原并给出可解释的0–6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before="140" w:after="80" w:line="312" w:lineRule="auto"/>
        <w:jc w:val="left"/>
      </w:pPr>
      <w:r>
        <w:rPr>
          <w:rFonts w:ascii="Times New Roman" w:hAnsi="Times New Roman" w:eastAsia="黑体"/>
          <w:b/>
          <w:sz w:val="26"/>
        </w:rPr>
        <w:t>1.3 总体应对</w:t>
      </w:r>
    </w:p>
    <w:p>
      <w:pPr>
        <w:spacing w:after="80" w:line="324" w:lineRule="auto"/>
        <w:ind w:firstLine="420"/>
      </w:pPr>
      <w:r>
        <w:rPr>
          <w:rFonts w:ascii="Times New Roman" w:hAnsi="Times New Roman" w:eastAsia="宋体"/>
          <w:b w:val="0"/>
          <w:sz w:val="21"/>
        </w:rPr>
        <w:t>本文的总体应对是：先用一套可复算的证据把数据的真实语义钉死，再让三个问题共享同一份经过审计的特征矩阵。具体而言，(1) 逐列裁定 1.csv 的变换标度；(2) 以「重算相关矩阵并与给定矩阵逐元素比对」的方式裁定三张相关矩阵的相关系数类型；(3) 建立跨附件的名称桥，使相关矩阵、阈值表与特征矩阵可以对齐；(4) 区分左删失（未检出）与真缺失；(5) 固定按风格分层的训练/留出划分，所有调参只在训练集内部完成。</w:t>
      </w:r>
    </w:p>
    <w:p>
      <w:pPr>
        <w:spacing w:before="200" w:after="120" w:line="312" w:lineRule="auto"/>
        <w:jc w:val="left"/>
      </w:pPr>
      <w:r>
        <w:rPr>
          <w:rFonts w:ascii="Times New Roman" w:hAnsi="Times New Roman" w:eastAsia="黑体"/>
          <w:b/>
          <w:sz w:val="30"/>
        </w:rPr>
        <w:t>二、相关工作与文献综述</w:t>
      </w:r>
    </w:p>
    <w:p>
      <w:pPr>
        <w:spacing w:before="140" w:after="80" w:line="312" w:lineRule="auto"/>
        <w:jc w:val="left"/>
      </w:pPr>
      <w:r>
        <w:rPr>
          <w:rFonts w:ascii="Times New Roman" w:hAnsi="Times New Roman" w:eastAsia="黑体"/>
          <w:b/>
          <w:sz w:val="26"/>
        </w:rPr>
        <w:t>2.1 原始工作与数据来源</w:t>
      </w:r>
    </w:p>
    <w:p>
      <w:pPr>
        <w:spacing w:after="80" w:line="324" w:lineRule="auto"/>
        <w:ind w:firstLine="420"/>
      </w:pPr>
      <w:r>
        <w:rPr>
          <w:rFonts w:ascii="Times New Roman" w:hAnsi="Times New Roman" w:eastAsia="宋体"/>
          <w:b w:val="0"/>
          <w:sz w:val="21"/>
        </w:rPr>
        <w:t>原始研究以 250 款商用啤酒的化学测量与受训品评小组感官结果为核心数据，系统刻画了化学组成与感官属性之间的关系，并把可解释的机器学习用于风味预测与配方改进[1]；其数据公开方式（同时给出化合物矩阵、三张相关矩阵、品评卡、论坛描述符与阈值参考表）也决定了任何复用者都必须自行裁定这些附件的语义，这正是本文第二章与第三章所做的工作。</w:t>
      </w:r>
    </w:p>
    <w:p>
      <w:pPr>
        <w:spacing w:before="140" w:after="80" w:line="312" w:lineRule="auto"/>
        <w:jc w:val="left"/>
      </w:pPr>
      <w:r>
        <w:rPr>
          <w:rFonts w:ascii="Times New Roman" w:hAnsi="Times New Roman" w:eastAsia="黑体"/>
          <w:b/>
          <w:sz w:val="26"/>
        </w:rPr>
        <w:t>2.2 感官预测与可解释机器学习</w:t>
      </w:r>
    </w:p>
    <w:p>
      <w:pPr>
        <w:spacing w:after="80" w:line="324" w:lineRule="auto"/>
        <w:ind w:firstLine="420"/>
      </w:pPr>
      <w:r>
        <w:rPr>
          <w:rFonts w:ascii="Times New Roman" w:hAnsi="Times New Roman" w:eastAsia="宋体"/>
          <w:b w:val="0"/>
          <w:sz w:val="21"/>
        </w:rPr>
        <w:t>从化学成分到感官评分的映射本质上是一个高维小样本回归问题。通用机器学习工具（如 scikit-learn[2]）提供了从线性模型到梯度提升与随机森林的统一实现；SHAP[3] 提供了把模型输出分解到单个化合物的加性归因方法；预训练先验模型（TabPFN[4]）则为小样本表格回归提供了不同于手工特征工程的第三条路线（其原始版本面向表格分类任务，回归形态与本文用法见后续期刊版[11]）。本文在问题一同时使用这三类归纳偏置，并在问题二把归因与秩相关并列作为证据，避免以单一视角替代真值。</w:t>
      </w:r>
    </w:p>
    <w:p>
      <w:pPr>
        <w:spacing w:before="140" w:after="80" w:line="312" w:lineRule="auto"/>
        <w:jc w:val="left"/>
      </w:pPr>
      <w:r>
        <w:rPr>
          <w:rFonts w:ascii="Times New Roman" w:hAnsi="Times New Roman" w:eastAsia="黑体"/>
          <w:b/>
          <w:sz w:val="26"/>
        </w:rPr>
        <w:t>2.3 化合物关联分析与网络化方法</w:t>
      </w:r>
    </w:p>
    <w:p>
      <w:pPr>
        <w:spacing w:after="80" w:line="324" w:lineRule="auto"/>
        <w:ind w:firstLine="420"/>
      </w:pPr>
      <w:r>
        <w:rPr>
          <w:rFonts w:ascii="Times New Roman" w:hAnsi="Times New Roman" w:eastAsia="宋体"/>
          <w:b w:val="0"/>
          <w:sz w:val="21"/>
        </w:rPr>
        <w:t>把化合物之间的关系表述为图并做社区发现，是解释「哪些化合物总是同时出现」的自然做法；Leiden 算法[5]在保证社区连通性的同时修正了 Louvain 的分辨率缺陷。本文即以 |ρ| 阈值构图、以 Leiden 求解社区，并以模块度与孤立节点占比联合选择阈值，同时报告阈值敏感性，使「共表达模块对应可追溯的化学来源」这一论证不依赖单一阈值的偶然结果。</w:t>
      </w:r>
    </w:p>
    <w:p>
      <w:pPr>
        <w:spacing w:before="140" w:after="80" w:line="312" w:lineRule="auto"/>
        <w:jc w:val="left"/>
      </w:pPr>
      <w:r>
        <w:rPr>
          <w:rFonts w:ascii="Times New Roman" w:hAnsi="Times New Roman" w:eastAsia="黑体"/>
          <w:b/>
          <w:sz w:val="26"/>
        </w:rPr>
        <w:t>2.4 合成数据、Copula 与秩—分位映射</w:t>
      </w:r>
    </w:p>
    <w:p>
      <w:pPr>
        <w:spacing w:after="80" w:line="324" w:lineRule="auto"/>
        <w:ind w:firstLine="420"/>
      </w:pPr>
      <w:r>
        <w:rPr>
          <w:rFonts w:ascii="Times New Roman" w:hAnsi="Times New Roman" w:eastAsia="宋体"/>
          <w:b w:val="0"/>
          <w:sz w:val="21"/>
        </w:rPr>
        <w:t>在多变量分布既要保留相关结构、又需在小样本下可控的场合，高斯 Copula 是一种低成本的分解方案[6]；秩—分位映射则是相关结构与边际分布解耦的经典做法[7]，可在保持秩相关不变的前提下把样本迁移到另一组边际上。本文的问题三正是这一组合：Copula 负责跨化合物的相关结构，风格条件边际负责风格画像，秩—分位映射负责跨风格迁移，三者都不依赖大规模神经网络训练。</w:t>
      </w:r>
    </w:p>
    <w:p>
      <w:pPr>
        <w:spacing w:before="140" w:after="80" w:line="312" w:lineRule="auto"/>
        <w:jc w:val="left"/>
      </w:pPr>
      <w:r>
        <w:rPr>
          <w:rFonts w:ascii="Times New Roman" w:hAnsi="Times New Roman" w:eastAsia="黑体"/>
          <w:b/>
          <w:sz w:val="26"/>
        </w:rPr>
        <w:t>2.5 定量描述感官分析与消费者接受度、价格</w:t>
      </w:r>
    </w:p>
    <w:p>
      <w:pPr>
        <w:spacing w:after="80" w:line="324" w:lineRule="auto"/>
        <w:ind w:firstLine="420"/>
      </w:pPr>
      <w:r>
        <w:rPr>
          <w:rFonts w:ascii="Times New Roman" w:hAnsi="Times New Roman" w:eastAsia="宋体"/>
          <w:b w:val="0"/>
          <w:sz w:val="21"/>
        </w:rPr>
        <w:t>定量描述感官分析（QDA）以强度量表代替类别标签，其量表构造的心理学基础见 Stevens 的量表理论[8]；在消费端 hedonic 定价研究表明，消费者愿意为可被感官信息刻画的品质差异支付溢价，感官属性对价格与购买意愿的解释力随被试与情境而变[9]。这提示「化学→感官」的链条最终可以在市场价值上被外部观察，也为本文以价格作为外部价值信号提供了依据。</w:t>
      </w:r>
    </w:p>
    <w:p>
      <w:pPr>
        <w:spacing w:after="80" w:line="324" w:lineRule="auto"/>
        <w:ind w:firstLine="420"/>
      </w:pPr>
      <w:r>
        <w:rPr>
          <w:rFonts w:ascii="Times New Roman" w:hAnsi="Times New Roman" w:eastAsia="宋体"/>
          <w:b w:val="0"/>
          <w:sz w:val="21"/>
        </w:rPr>
        <w:t>需要特别指出的是，本文全部相关分析所依据的相关系数类型并非官方赛题文本所述的皮尔逊系数，而是斯皮尔曼秩相关系数[10]；第三章给出逐元素复算比对作为证据，第二章的相关工作与第五章的网络化分析均以此为准。</w:t>
      </w:r>
    </w:p>
    <w:p>
      <w:pPr>
        <w:spacing w:after="80" w:line="324" w:lineRule="auto"/>
        <w:ind w:firstLine="420"/>
      </w:pPr>
      <w:r>
        <w:rPr>
          <w:rFonts w:ascii="Times New Roman" w:hAnsi="Times New Roman" w:eastAsia="宋体"/>
          <w:b w:val="0"/>
          <w:sz w:val="21"/>
        </w:rPr>
        <w:t>本文全部引用按其在文中所支撑的主题归类如下：2.1 原始工作与数据来源[1]；2.2 感官预测与可解释机器学习[2][3][4][11][29]；2.3 化合物关联分析与网络化方法[5]；2.4 合成数据、Copula 与秩-分位映射[6][7][12]；2.5 定量描述感官分析与消费者接受度、价格[8][9][13][33][34]；2.2 段末说明与三、3.2 相关系数类型的勘误[10]；领域综述：啤酒香气化合物与风味[14][15]；领域综述：酵母来源的风味贡献[16][17]；领域综述：麦芽来源的风味贡献[18]；领域综述：野生菌群的风味贡献[19][20]；领域综述：酒花来源的风味贡献[21]；领域综述：异味化合物阈值与陈化[22][23][24]；领域综述：消费者感官接受度[25]；领域综述：消费者感官接受度与价格[26]；领域综述：挥发物与感官关联的复杂关系[27]；5.1 问题一：感官评分预测与 0-6 分制[28]；5.1 与 5.3 自助重采样与稳定性[30]；4.1 问题一：多任务回归与双轨分级[31]；4.1 与 4.3[32]；支撑材料 A 实际使用的软件与运行环境[35]。</w:t>
      </w:r>
    </w:p>
    <w:p>
      <w:pPr>
        <w:spacing w:before="200" w:after="120" w:line="312" w:lineRule="auto"/>
        <w:jc w:val="left"/>
      </w:pPr>
      <w:r>
        <w:rPr>
          <w:rFonts w:ascii="Times New Roman" w:hAnsi="Times New Roman" w:eastAsia="黑体"/>
          <w:b/>
          <w:sz w:val="30"/>
        </w:rPr>
        <w:t>三、数据处理与语义审计</w:t>
      </w:r>
    </w:p>
    <w:p>
      <w:pPr>
        <w:spacing w:before="140" w:after="80" w:line="312" w:lineRule="auto"/>
        <w:jc w:val="left"/>
      </w:pPr>
      <w:r>
        <w:rPr>
          <w:rFonts w:ascii="Times New Roman" w:hAnsi="Times New Roman" w:eastAsia="黑体"/>
          <w:b/>
          <w:sz w:val="26"/>
        </w:rPr>
        <w:t>3.1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1.000000）；其余 33 列中 19 列严格满足后者（斜率 1.0000、相关系数 0.999998 以上）、10 列近似满足（斜率 1.0000 附近但相关系数仅 0.87–0.999）、4 列无法逐点复现，自然对数假设下的斜率恒为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3.2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0。需要说明的是：斯皮尔曼系数对严格单调变换不变，因此上述证据只能裁定相关系数的</w:t>
      </w:r>
      <w:r>
        <w:rPr>
          <w:rFonts w:ascii="Times New Roman" w:hAnsi="Times New Roman" w:eastAsia="宋体"/>
          <w:b/>
          <w:sz w:val="21"/>
        </w:rPr>
        <w:t>类型</w:t>
      </w:r>
      <w:r>
        <w:rPr>
          <w:rFonts w:ascii="Times New Roman" w:hAnsi="Times New Roman" w:eastAsia="宋体"/>
          <w:b w:val="0"/>
          <w:sz w:val="21"/>
        </w:rPr>
        <w:t>（是斯皮尔曼而非皮尔逊），并不能反推附件是否做过单位统一；1.csv 的标度结构另由 3.1 节的逐列回归独立裁定，两条证据互不替代。</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3.3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6"/>
        </w:rPr>
        <w:t>3.4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个维度」），并在第五章明确说明所给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140" w:after="80" w:line="312" w:lineRule="auto"/>
        <w:jc w:val="left"/>
      </w:pPr>
      <w:r>
        <w:rPr>
          <w:rFonts w:ascii="Times New Roman" w:hAnsi="Times New Roman" w:eastAsia="黑体"/>
          <w:b/>
          <w:sz w:val="26"/>
        </w:rPr>
        <w:t>3.5 主要符号与含义</w:t>
      </w:r>
    </w:p>
    <w:p>
      <w:pPr>
        <w:spacing w:after="80" w:line="324" w:lineRule="auto"/>
        <w:ind w:firstLine="420"/>
      </w:pPr>
      <w:r>
        <w:rPr>
          <w:rFonts w:ascii="Times New Roman" w:hAnsi="Times New Roman" w:eastAsia="宋体"/>
          <w:b w:val="0"/>
          <w:sz w:val="21"/>
        </w:rPr>
        <w:t>为便于后文对照，全文使用的主要符号统一列于下表。</w:t>
      </w:r>
    </w:p>
    <w:p>
      <w:pPr>
        <w:spacing w:before="80"/>
        <w:jc w:val="center"/>
      </w:pPr>
    </w:p>
    <w:tbl>
      <w:tblPr>
        <w:tblStyle w:val="16"/>
        <w:tblW w:type="auto" w:w="0"/>
        <w:tblLayout w:type="autofit"/>
        <w:tblLook w:firstColumn="1" w:firstRow="1" w:lastColumn="0" w:lastRow="0" w:noHBand="0" w:noVBand="1" w:val="04A0"/>
      </w:tblPr>
      <w:tblGrid>
        <w:gridCol w:w="4535"/>
        <w:gridCol w:w="4535"/>
      </w:tblGrid>
      <w:tr>
        <w:tc>
          <w:tcPr>
            <w:tcW w:type="dxa" w:w="4535"/>
          </w:tcPr>
          <w:p>
            <w:pPr>
              <w:jc w:val="center"/>
            </w:pPr>
            <w:r/>
            <w:r>
              <w:rPr>
                <w:rFonts w:ascii="Times New Roman" w:hAnsi="Times New Roman" w:eastAsia="黑体"/>
                <w:b/>
                <w:sz w:val="17"/>
              </w:rPr>
              <w:t>符号</w:t>
            </w:r>
          </w:p>
        </w:tc>
        <w:tc>
          <w:tcPr>
            <w:tcW w:type="dxa" w:w="4535"/>
          </w:tcPr>
          <w:p>
            <w:pPr>
              <w:jc w:val="center"/>
            </w:pPr>
            <w:r/>
            <w:r>
              <w:rPr>
                <w:rFonts w:ascii="Times New Roman" w:hAnsi="Times New Roman" w:eastAsia="黑体"/>
                <w:b/>
                <w:sz w:val="17"/>
              </w:rPr>
              <w:t>含义</w:t>
            </w:r>
          </w:p>
        </w:tc>
      </w:tr>
      <w:tr>
        <w:tc>
          <w:tcPr>
            <w:tcW w:type="dxa" w:w="4535"/>
          </w:tcPr>
          <w:p>
            <w:pPr>
              <w:jc w:val="center"/>
            </w:pPr>
            <w:r/>
            <w:r>
              <w:rPr>
                <w:rFonts w:ascii="Times New Roman" w:hAnsi="Times New Roman" w:eastAsia="宋体"/>
                <w:b w:val="0"/>
                <w:sz w:val="17"/>
              </w:rPr>
              <w:t>z</w:t>
            </w:r>
          </w:p>
        </w:tc>
        <w:tc>
          <w:tcPr>
            <w:tcW w:type="dxa" w:w="4535"/>
          </w:tcPr>
          <w:p>
            <w:pPr>
              <w:jc w:val="center"/>
            </w:pPr>
            <w:r/>
            <w:r>
              <w:rPr>
                <w:rFonts w:ascii="Times New Roman" w:hAnsi="Times New Roman" w:eastAsia="宋体"/>
                <w:b w:val="0"/>
                <w:sz w:val="17"/>
              </w:rPr>
              <w:t>标准化后的感官值（按维度中心化并缩放的连续量）</w:t>
            </w:r>
          </w:p>
        </w:tc>
      </w:tr>
      <w:tr>
        <w:tc>
          <w:tcPr>
            <w:tcW w:type="dxa" w:w="4535"/>
          </w:tcPr>
          <w:p>
            <w:pPr>
              <w:jc w:val="center"/>
            </w:pPr>
            <w:r/>
            <w:r>
              <w:rPr>
                <w:rFonts w:ascii="Times New Roman" w:hAnsi="Times New Roman" w:eastAsia="宋体"/>
                <w:b w:val="0"/>
                <w:sz w:val="17"/>
              </w:rPr>
              <w:t>λ</w:t>
            </w:r>
          </w:p>
        </w:tc>
        <w:tc>
          <w:tcPr>
            <w:tcW w:type="dxa" w:w="4535"/>
          </w:tcPr>
          <w:p>
            <w:pPr>
              <w:jc w:val="center"/>
            </w:pPr>
            <w:r/>
            <w:r>
              <w:rPr>
                <w:rFonts w:ascii="Times New Roman" w:hAnsi="Times New Roman" w:eastAsia="宋体"/>
                <w:b w:val="0"/>
                <w:sz w:val="17"/>
              </w:rPr>
              <w:t>风格条件边际向全局边际的收缩系数，本文取 λ = n/(n+10)</w:t>
            </w:r>
          </w:p>
        </w:tc>
      </w:tr>
      <w:tr>
        <w:tc>
          <w:tcPr>
            <w:tcW w:type="dxa" w:w="4535"/>
          </w:tcPr>
          <w:p>
            <w:pPr>
              <w:jc w:val="center"/>
            </w:pPr>
            <w:r/>
            <w:r>
              <w:rPr>
                <w:rFonts w:ascii="Times New Roman" w:hAnsi="Times New Roman" w:eastAsia="宋体"/>
                <w:b w:val="0"/>
                <w:sz w:val="17"/>
              </w:rPr>
              <w:t>|ρ|</w:t>
            </w:r>
          </w:p>
        </w:tc>
        <w:tc>
          <w:tcPr>
            <w:tcW w:type="dxa" w:w="4535"/>
          </w:tcPr>
          <w:p>
            <w:pPr>
              <w:jc w:val="center"/>
            </w:pPr>
            <w:r/>
            <w:r>
              <w:rPr>
                <w:rFonts w:ascii="Times New Roman" w:hAnsi="Times New Roman" w:eastAsia="宋体"/>
                <w:b w:val="0"/>
                <w:sz w:val="17"/>
              </w:rPr>
              <w:t>斯皮尔曼相关系数的绝对值，用于共表达图的边权与阈值</w:t>
            </w:r>
          </w:p>
        </w:tc>
      </w:tr>
      <w:tr>
        <w:tc>
          <w:tcPr>
            <w:tcW w:type="dxa" w:w="4535"/>
          </w:tcPr>
          <w:p>
            <w:pPr>
              <w:jc w:val="center"/>
            </w:pPr>
            <w:r/>
            <w:r>
              <w:rPr>
                <w:rFonts w:ascii="Times New Roman" w:hAnsi="Times New Roman" w:eastAsia="宋体"/>
                <w:b w:val="0"/>
                <w:sz w:val="17"/>
              </w:rPr>
              <w:t>Q</w:t>
            </w:r>
          </w:p>
        </w:tc>
        <w:tc>
          <w:tcPr>
            <w:tcW w:type="dxa" w:w="4535"/>
          </w:tcPr>
          <w:p>
            <w:pPr>
              <w:jc w:val="center"/>
            </w:pPr>
            <w:r/>
            <w:r>
              <w:rPr>
                <w:rFonts w:ascii="Times New Roman" w:hAnsi="Times New Roman" w:eastAsia="宋体"/>
                <w:b w:val="0"/>
                <w:sz w:val="17"/>
              </w:rPr>
              <w:t>模块度（modularity），衡量社区划分的内部连接强度</w:t>
            </w:r>
          </w:p>
        </w:tc>
      </w:tr>
      <w:tr>
        <w:tc>
          <w:tcPr>
            <w:tcW w:type="dxa" w:w="4535"/>
          </w:tcPr>
          <w:p>
            <w:pPr>
              <w:jc w:val="center"/>
            </w:pPr>
            <w:r/>
            <w:r>
              <w:rPr>
                <w:rFonts w:ascii="Times New Roman" w:hAnsi="Times New Roman" w:eastAsia="宋体"/>
                <w:b w:val="0"/>
                <w:sz w:val="17"/>
              </w:rPr>
              <w:t>KS</w:t>
            </w:r>
          </w:p>
        </w:tc>
        <w:tc>
          <w:tcPr>
            <w:tcW w:type="dxa" w:w="4535"/>
          </w:tcPr>
          <w:p>
            <w:pPr>
              <w:jc w:val="center"/>
            </w:pPr>
            <w:r/>
            <w:r>
              <w:rPr>
                <w:rFonts w:ascii="Times New Roman" w:hAnsi="Times New Roman" w:eastAsia="宋体"/>
                <w:b w:val="0"/>
                <w:sz w:val="17"/>
              </w:rPr>
              <w:t>柯尔莫哥洛夫—斯米尔诺夫距离，衡量生成谱与真实样本的边际差异</w:t>
            </w:r>
          </w:p>
        </w:tc>
      </w:tr>
      <w:tr>
        <w:tc>
          <w:tcPr>
            <w:tcW w:type="dxa" w:w="4535"/>
          </w:tcPr>
          <w:p>
            <w:pPr>
              <w:jc w:val="center"/>
            </w:pPr>
            <w:r/>
            <w:r>
              <w:rPr>
                <w:rFonts w:ascii="Times New Roman" w:hAnsi="Times New Roman" w:eastAsia="宋体"/>
                <w:b w:val="0"/>
                <w:sz w:val="17"/>
              </w:rPr>
              <w:t>QWK</w:t>
            </w:r>
          </w:p>
        </w:tc>
        <w:tc>
          <w:tcPr>
            <w:tcW w:type="dxa" w:w="4535"/>
          </w:tcPr>
          <w:p>
            <w:pPr>
              <w:jc w:val="center"/>
            </w:pPr>
            <w:r/>
            <w:r>
              <w:rPr>
                <w:rFonts w:ascii="Times New Roman" w:hAnsi="Times New Roman" w:eastAsia="宋体"/>
                <w:b w:val="0"/>
                <w:sz w:val="17"/>
              </w:rPr>
              <w:t>二次加权 Kappa，衡量 0–6 相对分级与感官真值的一致性</w:t>
            </w:r>
          </w:p>
        </w:tc>
      </w:tr>
      <w:tr>
        <w:tc>
          <w:tcPr>
            <w:tcW w:type="dxa" w:w="4535"/>
          </w:tcPr>
          <w:p>
            <w:pPr>
              <w:jc w:val="center"/>
            </w:pPr>
            <w:r/>
            <w:r>
              <w:rPr>
                <w:rFonts w:ascii="Times New Roman" w:hAnsi="Times New Roman" w:eastAsia="宋体"/>
                <w:b w:val="0"/>
                <w:sz w:val="17"/>
              </w:rPr>
              <w:t>分位组内 ρ</w:t>
            </w:r>
          </w:p>
        </w:tc>
        <w:tc>
          <w:tcPr>
            <w:tcW w:type="dxa" w:w="4535"/>
          </w:tcPr>
          <w:p>
            <w:pPr>
              <w:jc w:val="center"/>
            </w:pPr>
            <w:r/>
            <w:r>
              <w:rPr>
                <w:rFonts w:ascii="Times New Roman" w:hAnsi="Times New Roman" w:eastAsia="宋体"/>
                <w:b w:val="0"/>
                <w:sz w:val="17"/>
              </w:rPr>
              <w:t>按浓度分位分组后计算的组内斯皮尔曼相关，用于剂量—响应判定</w:t>
            </w:r>
          </w:p>
        </w:tc>
      </w:tr>
      <w:tr>
        <w:tc>
          <w:tcPr>
            <w:tcW w:type="dxa" w:w="4535"/>
          </w:tcPr>
          <w:p>
            <w:pPr>
              <w:jc w:val="center"/>
            </w:pPr>
            <w:r/>
            <w:r>
              <w:rPr>
                <w:rFonts w:ascii="Times New Roman" w:hAnsi="Times New Roman" w:eastAsia="宋体"/>
                <w:b w:val="0"/>
                <w:sz w:val="17"/>
              </w:rPr>
              <w:t>GM</w:t>
            </w:r>
          </w:p>
        </w:tc>
        <w:tc>
          <w:tcPr>
            <w:tcW w:type="dxa" w:w="4535"/>
          </w:tcPr>
          <w:p>
            <w:pPr>
              <w:jc w:val="center"/>
            </w:pPr>
            <w:r/>
            <w:r>
              <w:rPr>
                <w:rFonts w:ascii="Times New Roman" w:hAnsi="Times New Roman" w:eastAsia="宋体"/>
                <w:b w:val="0"/>
                <w:sz w:val="17"/>
              </w:rPr>
              <w:t>几何均价，多个零售来源价格的加权合成（以对数均值的指数还原）</w:t>
            </w:r>
          </w:p>
        </w:tc>
      </w:tr>
    </w:tbl>
    <w:p>
      <w:pPr>
        <w:spacing w:before="40" w:after="160"/>
        <w:jc w:val="center"/>
      </w:pPr>
      <w:r>
        <w:rPr>
          <w:rFonts w:ascii="Times New Roman" w:hAnsi="Times New Roman" w:eastAsia="宋体"/>
          <w:b w:val="0"/>
          <w:sz w:val="18"/>
        </w:rPr>
        <w:t>表 1  全文主要符号与含义</w:t>
      </w:r>
    </w:p>
    <w:p>
      <w:pPr>
        <w:spacing w:before="140" w:after="80" w:line="312" w:lineRule="auto"/>
        <w:jc w:val="left"/>
      </w:pPr>
      <w:r>
        <w:rPr>
          <w:rFonts w:ascii="Times New Roman" w:hAnsi="Times New Roman" w:eastAsia="黑体"/>
          <w:b/>
          <w:sz w:val="26"/>
        </w:rPr>
        <w:t>3.6 与官方文本表述不一致的三处及其证据</w:t>
      </w:r>
    </w:p>
    <w:p>
      <w:pPr>
        <w:spacing w:after="80" w:line="324" w:lineRule="auto"/>
        <w:ind w:firstLine="420"/>
      </w:pPr>
      <w:r>
        <w:rPr>
          <w:rFonts w:ascii="Times New Roman" w:hAnsi="Times New Roman" w:eastAsia="宋体"/>
          <w:b w:val="0"/>
          <w:sz w:val="21"/>
        </w:rPr>
        <w:t>下表集中列出本文裁定的三处与官方赛题文本表述不一致之处，并给出可复算的证据；全文其余建模口径均以此三处裁定为准。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c>
          <w:tcPr>
            <w:tcW w:type="dxa" w:w="2267"/>
          </w:tcPr>
          <w:p>
            <w:pPr>
              <w:jc w:val="center"/>
            </w:pPr>
            <w:r/>
            <w:r>
              <w:rPr>
                <w:rFonts w:ascii="Times New Roman" w:hAnsi="Times New Roman" w:eastAsia="黑体"/>
                <w:b/>
                <w:sz w:val="16"/>
              </w:rPr>
              <w:t>不一致之处</w:t>
            </w:r>
          </w:p>
        </w:tc>
        <w:tc>
          <w:tcPr>
            <w:tcW w:type="dxa" w:w="2267"/>
          </w:tcPr>
          <w:p>
            <w:pPr>
              <w:jc w:val="center"/>
            </w:pPr>
            <w:r/>
            <w:r>
              <w:rPr>
                <w:rFonts w:ascii="Times New Roman" w:hAnsi="Times New Roman" w:eastAsia="黑体"/>
                <w:b/>
                <w:sz w:val="16"/>
              </w:rPr>
              <w:t>官方文本表述</w:t>
            </w:r>
          </w:p>
        </w:tc>
        <w:tc>
          <w:tcPr>
            <w:tcW w:type="dxa" w:w="2267"/>
          </w:tcPr>
          <w:p>
            <w:pPr>
              <w:jc w:val="center"/>
            </w:pPr>
            <w:r/>
            <w:r>
              <w:rPr>
                <w:rFonts w:ascii="Times New Roman" w:hAnsi="Times New Roman" w:eastAsia="黑体"/>
                <w:b/>
                <w:sz w:val="16"/>
              </w:rPr>
              <w:t>本文裁定</w:t>
            </w:r>
          </w:p>
        </w:tc>
        <w:tc>
          <w:tcPr>
            <w:tcW w:type="dxa" w:w="2267"/>
          </w:tcPr>
          <w:p>
            <w:pPr>
              <w:jc w:val="center"/>
            </w:pPr>
            <w:r/>
            <w:r>
              <w:rPr>
                <w:rFonts w:ascii="Times New Roman" w:hAnsi="Times New Roman" w:eastAsia="黑体"/>
                <w:b/>
                <w:sz w:val="16"/>
              </w:rPr>
              <w:t>证据</w:t>
            </w:r>
          </w:p>
        </w:tc>
      </w:tr>
      <w:tr>
        <w:tc>
          <w:tcPr>
            <w:tcW w:type="dxa" w:w="2267"/>
          </w:tcPr>
          <w:p>
            <w:pPr>
              <w:jc w:val="center"/>
            </w:pPr>
            <w:r/>
            <w:r>
              <w:rPr>
                <w:rFonts w:ascii="Times New Roman" w:hAnsi="Times New Roman" w:eastAsia="宋体"/>
                <w:b w:val="0"/>
                <w:sz w:val="16"/>
              </w:rPr>
              <w:t>① 相关矩阵的相关系数类型</w:t>
            </w:r>
          </w:p>
        </w:tc>
        <w:tc>
          <w:tcPr>
            <w:tcW w:type="dxa" w:w="2267"/>
          </w:tcPr>
          <w:p>
            <w:pPr>
              <w:jc w:val="center"/>
            </w:pPr>
            <w:r/>
            <w:r>
              <w:rPr>
                <w:rFonts w:ascii="Times New Roman" w:hAnsi="Times New Roman" w:eastAsia="宋体"/>
                <w:b w:val="0"/>
                <w:sz w:val="16"/>
              </w:rPr>
              <w:t>赛题文本称附件 2 单元格为皮尔逊相关系数</w:t>
            </w:r>
          </w:p>
        </w:tc>
        <w:tc>
          <w:tcPr>
            <w:tcW w:type="dxa" w:w="2267"/>
          </w:tcPr>
          <w:p>
            <w:pPr>
              <w:jc w:val="center"/>
            </w:pPr>
            <w:r/>
            <w:r>
              <w:rPr>
                <w:rFonts w:ascii="Times New Roman" w:hAnsi="Times New Roman" w:eastAsia="宋体"/>
                <w:b w:val="0"/>
                <w:sz w:val="16"/>
              </w:rPr>
              <w:t>实为斯皮尔曼相关系数</w:t>
            </w:r>
          </w:p>
        </w:tc>
        <w:tc>
          <w:tcPr>
            <w:tcW w:type="dxa" w:w="2267"/>
          </w:tcPr>
          <w:p>
            <w:pPr>
              <w:jc w:val="center"/>
            </w:pPr>
            <w:r/>
            <w:r>
              <w:rPr>
                <w:rFonts w:ascii="Times New Roman" w:hAnsi="Times New Roman" w:eastAsia="宋体"/>
                <w:b w:val="0"/>
                <w:sz w:val="16"/>
              </w:rPr>
              <w:t>以 1.csv、4.csv 重算斯皮尔曼并与给定 5.csv、6.csv 逐元素比对：max|Δ|=0、逐元素吻合比例 1.0000；皮尔逊口径下中位绝对偏差约 0.04；附件《数据说明》对 2/5/6 均自述为 Sp…</w:t>
            </w:r>
          </w:p>
        </w:tc>
      </w:tr>
      <w:tr>
        <w:tc>
          <w:tcPr>
            <w:tcW w:type="dxa" w:w="2267"/>
          </w:tcPr>
          <w:p>
            <w:pPr>
              <w:jc w:val="center"/>
            </w:pPr>
            <w:r/>
            <w:r>
              <w:rPr>
                <w:rFonts w:ascii="Times New Roman" w:hAnsi="Times New Roman" w:eastAsia="宋体"/>
                <w:b w:val="0"/>
                <w:sz w:val="16"/>
              </w:rPr>
              <w:t>② 3.xlsx 的实际内容</w:t>
            </w:r>
          </w:p>
        </w:tc>
        <w:tc>
          <w:tcPr>
            <w:tcW w:type="dxa" w:w="2267"/>
          </w:tcPr>
          <w:p>
            <w:pPr>
              <w:jc w:val="center"/>
            </w:pPr>
            <w:r/>
            <w:r>
              <w:rPr>
                <w:rFonts w:ascii="Times New Roman" w:hAnsi="Times New Roman" w:eastAsia="宋体"/>
                <w:b w:val="0"/>
                <w:sz w:val="16"/>
              </w:rPr>
              <w:t>赛题文本称 3.xlsx 为「品评小组使用的品评表」</w:t>
            </w:r>
          </w:p>
        </w:tc>
        <w:tc>
          <w:tcPr>
            <w:tcW w:type="dxa" w:w="2267"/>
          </w:tcPr>
          <w:p>
            <w:pPr>
              <w:jc w:val="center"/>
            </w:pPr>
            <w:r/>
            <w:r>
              <w:rPr>
                <w:rFonts w:ascii="Times New Roman" w:hAnsi="Times New Roman" w:eastAsia="宋体"/>
                <w:b w:val="0"/>
                <w:sz w:val="16"/>
              </w:rPr>
              <w:t>实为空白品评卡模板</w:t>
            </w:r>
          </w:p>
        </w:tc>
        <w:tc>
          <w:tcPr>
            <w:tcW w:type="dxa" w:w="2267"/>
          </w:tcPr>
          <w:p>
            <w:pPr>
              <w:jc w:val="center"/>
            </w:pPr>
            <w:r/>
            <w:r>
              <w:rPr>
                <w:rFonts w:ascii="Times New Roman" w:hAnsi="Times New Roman" w:eastAsia="宋体"/>
                <w:b w:val="0"/>
                <w:sz w:val="16"/>
              </w:rPr>
              <w:t>逐格核查 12 张评分卡无任何品评员打分记录；summary 表 600 个数值单元格全为指向空白评分卡的公式（=beer_1!$Q$7 等），故附件不含原始 0–6 分数</w:t>
            </w:r>
          </w:p>
        </w:tc>
      </w:tr>
      <w:tr>
        <w:tc>
          <w:tcPr>
            <w:tcW w:type="dxa" w:w="2267"/>
          </w:tcPr>
          <w:p>
            <w:pPr>
              <w:jc w:val="center"/>
            </w:pPr>
            <w:r/>
            <w:r>
              <w:rPr>
                <w:rFonts w:ascii="Times New Roman" w:hAnsi="Times New Roman" w:eastAsia="宋体"/>
                <w:b w:val="0"/>
                <w:sz w:val="16"/>
              </w:rPr>
              <w:t>③ 1.csv 的标度结构</w:t>
            </w:r>
          </w:p>
        </w:tc>
        <w:tc>
          <w:tcPr>
            <w:tcW w:type="dxa" w:w="2267"/>
          </w:tcPr>
          <w:p>
            <w:pPr>
              <w:jc w:val="center"/>
            </w:pPr>
            <w:r/>
            <w:r>
              <w:rPr>
                <w:rFonts w:ascii="Times New Roman" w:hAnsi="Times New Roman" w:eastAsia="宋体"/>
                <w:b w:val="0"/>
                <w:sz w:val="16"/>
              </w:rPr>
              <w:t>赛题文本按统一对数标度使用化合物丰度</w:t>
            </w:r>
          </w:p>
        </w:tc>
        <w:tc>
          <w:tcPr>
            <w:tcW w:type="dxa" w:w="2267"/>
          </w:tcPr>
          <w:p>
            <w:pPr>
              <w:jc w:val="center"/>
            </w:pPr>
            <w:r/>
            <w:r>
              <w:rPr>
                <w:rFonts w:ascii="Times New Roman" w:hAnsi="Times New Roman" w:eastAsia="宋体"/>
                <w:b w:val="0"/>
                <w:sz w:val="16"/>
              </w:rPr>
              <w:t>实为混合标度（log10 与原始浓度并存）</w:t>
            </w:r>
          </w:p>
        </w:tc>
        <w:tc>
          <w:tcPr>
            <w:tcW w:type="dxa" w:w="2267"/>
          </w:tcPr>
          <w:p>
            <w:pPr>
              <w:jc w:val="center"/>
            </w:pPr>
            <w:r/>
            <w:r>
              <w:rPr>
                <w:rFonts w:ascii="Times New Roman" w:hAnsi="Times New Roman" w:eastAsia="宋体"/>
                <w:b w:val="0"/>
                <w:sz w:val="16"/>
              </w:rPr>
              <w:t>以 8.xlsx 标定值逐列回归：log10 列 37（斜率 1.0000、r=1.000000）、原始浓度列 19（斜率 1.0000、r≥0.999998）、近似原始浓度 10、无法逐点复现 4；自然对数假设斜率恒…</w:t>
            </w:r>
          </w:p>
        </w:tc>
      </w:tr>
    </w:tbl>
    <w:p>
      <w:pPr>
        <w:spacing w:before="40" w:after="160"/>
        <w:jc w:val="center"/>
      </w:pPr>
      <w:r>
        <w:rPr>
          <w:rFonts w:ascii="Times New Roman" w:hAnsi="Times New Roman" w:eastAsia="宋体"/>
          <w:b w:val="0"/>
          <w:sz w:val="18"/>
        </w:rPr>
        <w:t>表 2  三处与官方文本表述不一致之处及其证据</w:t>
      </w:r>
    </w:p>
    <w:p>
      <w:pPr>
        <w:spacing w:after="80" w:line="324" w:lineRule="auto"/>
        <w:ind w:firstLine="420"/>
      </w:pPr>
      <w:r>
        <w:rPr>
          <w:rFonts w:ascii="Times New Roman" w:hAnsi="Times New Roman" w:eastAsia="宋体"/>
          <w:b w:val="0"/>
          <w:sz w:val="21"/>
        </w:rPr>
        <w:t>这三处差异共同决定了本文的建模口径：相关类型决定网络与证据的计算方式，品评卡为空决定 0–6 分制必须显式构造并声明其近似性质，混合标度决定特征矩阵必须逐列裁定后统一；任何忽略其中之一的做法都会在量纲或口径层面产生系统性错误。</w:t>
      </w:r>
    </w:p>
    <w:p>
      <w:pPr>
        <w:spacing w:before="200" w:after="120" w:line="312" w:lineRule="auto"/>
        <w:jc w:val="left"/>
      </w:pPr>
      <w:r>
        <w:rPr>
          <w:rFonts w:ascii="Times New Roman" w:hAnsi="Times New Roman" w:eastAsia="黑体"/>
          <w:b/>
          <w:sz w:val="30"/>
        </w:rPr>
        <w:t>四、模型构建</w:t>
      </w:r>
    </w:p>
    <w:p>
      <w:pPr>
        <w:spacing w:before="140" w:after="80" w:line="312" w:lineRule="auto"/>
        <w:jc w:val="left"/>
      </w:pPr>
      <w:r>
        <w:rPr>
          <w:rFonts w:ascii="Times New Roman" w:hAnsi="Times New Roman" w:eastAsia="黑体"/>
          <w:b/>
          <w:sz w:val="26"/>
        </w:rPr>
        <w:t>4.1 问题一：多任务回归与双轨分级</w:t>
      </w:r>
    </w:p>
    <w:p>
      <w:pPr>
        <w:spacing w:after="80" w:line="324" w:lineRule="auto"/>
        <w:ind w:firstLine="420"/>
      </w:pPr>
      <w:r>
        <w:rPr>
          <w:rFonts w:ascii="Times New Roman" w:hAnsi="Times New Roman" w:eastAsia="宋体"/>
          <w:b w:val="0"/>
          <w:sz w:val="21"/>
        </w:rPr>
        <w:t>问题一以 1.csv 的化合物特征预测 50 个感官维度。特征取统一标度后的 227 个化学量，剔除 4 个公式未经验证的派生求和列；模型采用岭回归、偏最小二乘回归、多任务弹性网络、全局与分组极端随机树、逐指标梯度提升回归共七个模型族，外加 TabPFN 3.5 的五折集成，以覆盖线性低秩、强稀疏与树形非线性三类归纳偏置。主指标为宏平均均方根误差，并同时报告宏平均绝对误差、逐维决定系数中位数、斯皮尔曼相关系数中位数。</w:t>
      </w:r>
    </w:p>
    <w:p>
      <w:pPr>
        <w:spacing w:after="80" w:line="324" w:lineRule="auto"/>
        <w:ind w:firstLine="420"/>
      </w:pPr>
      <w:r>
        <w:rPr>
          <w:rFonts w:ascii="Times New Roman" w:hAnsi="Times New Roman" w:eastAsia="宋体"/>
          <w:b w:val="0"/>
          <w:sz w:val="21"/>
        </w:rPr>
        <w:t>由于附件未提供原始 0–6 分数，0–6 分制必须显式构造。本文采用双轨：</w:t>
      </w:r>
      <w:r>
        <w:rPr>
          <w:rFonts w:ascii="Times New Roman" w:hAnsi="Times New Roman" w:eastAsia="宋体"/>
          <w:b/>
          <w:sz w:val="21"/>
        </w:rPr>
        <w:t>主轨为相对分级</w:t>
      </w:r>
      <w:r>
        <w:rPr>
          <w:rFonts w:ascii="Times New Roman" w:hAnsi="Times New Roman" w:eastAsia="宋体"/>
          <w:b w:val="0"/>
          <w:sz w:val="21"/>
        </w:rPr>
        <w:t>，对每个维度取训练集的六等分位数作为切点，真实值与预测值用同一组切点离散化为 0–6 级，切点只由训练集学习以避免信息泄漏，并报告等级平均绝对误差、精确命中率、相邻一级命中率与二次加权 Kappa；</w:t>
      </w:r>
      <w:r>
        <w:rPr>
          <w:rFonts w:ascii="Times New Roman" w:hAnsi="Times New Roman" w:eastAsia="宋体"/>
          <w:b/>
          <w:sz w:val="21"/>
        </w:rPr>
        <w:t>副轨为阈值锚定的绝对分</w:t>
      </w:r>
      <w:r>
        <w:rPr>
          <w:rFonts w:ascii="Times New Roman" w:hAnsi="Times New Roman" w:eastAsia="宋体"/>
          <w:b w:val="0"/>
          <w:sz w:val="21"/>
        </w:rPr>
        <w:t>，对存在明确化学载体的维度（苦味—异构 α 酸、酒精—乙醇、硫醚—二甲基硫醚、4-乙烯基愈创木酚、糊精—双乙酰、trans-2-壬烯醛、金属感—铁、酸感—乳酸、酒体—蛋白、甜度—残糖、碳酸—二氧化碳）尝试以「化合物低于感知阈值对应 0 分」与「化合物达到训练集高分位对应 6 分」两点确定仿射映射，再把标准化标签反解为绝对分。</w:t>
      </w:r>
    </w:p>
    <w:p>
      <w:pPr>
        <w:spacing w:after="80" w:line="324" w:lineRule="auto"/>
        <w:ind w:firstLine="420"/>
      </w:pPr>
      <w:r>
        <w:rPr>
          <w:rFonts w:ascii="Times New Roman" w:hAnsi="Times New Roman" w:eastAsia="宋体"/>
          <w:b w:val="0"/>
          <w:sz w:val="21"/>
        </w:rPr>
        <w:t>由于逐维度条件苛刻，副轨设置了明确的</w:t>
      </w:r>
      <w:r>
        <w:rPr>
          <w:rFonts w:ascii="Times New Roman" w:hAnsi="Times New Roman" w:eastAsia="宋体"/>
          <w:b/>
          <w:sz w:val="21"/>
        </w:rPr>
        <w:t>有效性护栏</w:t>
      </w:r>
      <w:r>
        <w:rPr>
          <w:rFonts w:ascii="Times New Roman" w:hAnsi="Times New Roman" w:eastAsia="宋体"/>
          <w:b w:val="0"/>
          <w:sz w:val="21"/>
        </w:rPr>
        <w:t>，五条须同时满足：载体在参考表中存在感知阈值；载体与该感官维度的斯皮尔曼相关系数不低于 0.3 且为正；0 分锚点对应的训练集分位不高于 0.6；两个锚点的标准分带宽不小于 0.5；映射后落在 0 至 6 区间内的比例不低于 0.3。任一条不满足即判定该维度的绝对锚定不成立，其绝对分留空，仅提供相对分级，并在参数表中逐条记录失效原因。需要强调：副轨是</w:t>
      </w:r>
      <w:r>
        <w:rPr>
          <w:rFonts w:ascii="Times New Roman" w:hAnsi="Times New Roman" w:eastAsia="宋体"/>
          <w:b/>
          <w:sz w:val="21"/>
        </w:rPr>
        <w:t>本文提出的、基于感官阈值的一阶近似</w:t>
      </w:r>
      <w:r>
        <w:rPr>
          <w:rFonts w:ascii="Times New Roman" w:hAnsi="Times New Roman" w:eastAsia="宋体"/>
          <w:b w:val="0"/>
          <w:sz w:val="21"/>
        </w:rPr>
        <w:t>，不等价于实测的原始评分；护栏的存在本身也说明，在本数据集上化学信号与感官评分的联系只在少数维度上足以支撑绝对标定。</w:t>
      </w:r>
    </w:p>
    <w:p>
      <w:pPr>
        <w:spacing w:before="140" w:after="80" w:line="312" w:lineRule="auto"/>
        <w:jc w:val="left"/>
      </w:pPr>
      <w:r>
        <w:rPr>
          <w:rFonts w:ascii="Times New Roman" w:hAnsi="Times New Roman" w:eastAsia="黑体"/>
          <w:b/>
          <w:sz w:val="26"/>
        </w:rPr>
        <w:t>4.2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4.3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140" w:after="80" w:line="312" w:lineRule="auto"/>
        <w:jc w:val="left"/>
      </w:pPr>
      <w:r>
        <w:rPr>
          <w:rFonts w:ascii="Times New Roman" w:hAnsi="Times New Roman" w:eastAsia="黑体"/>
          <w:b/>
          <w:sz w:val="26"/>
        </w:rPr>
        <w:t>4.4 消费者层建模</w:t>
      </w:r>
    </w:p>
    <w:p>
      <w:pPr>
        <w:spacing w:after="80" w:line="324" w:lineRule="auto"/>
        <w:ind w:firstLine="420"/>
      </w:pPr>
      <w:r>
        <w:rPr>
          <w:rFonts w:ascii="Times New Roman" w:hAnsi="Times New Roman" w:eastAsia="宋体"/>
          <w:b w:val="0"/>
          <w:sz w:val="21"/>
        </w:rPr>
        <w:t>附件没有提供任何消费者评分或喜爱度标签：4.csv 给出的是受训品评小组的感官结果，7.csv 给出的是论坛评论派生的描述符特征，二者都不是「消费者喜爱度」。因此本文</w:t>
      </w:r>
      <w:r>
        <w:rPr>
          <w:rFonts w:ascii="Times New Roman" w:hAnsi="Times New Roman" w:eastAsia="宋体"/>
          <w:b/>
          <w:sz w:val="21"/>
        </w:rPr>
        <w:t>不构造喜爱度目标</w:t>
      </w:r>
      <w:r>
        <w:rPr>
          <w:rFonts w:ascii="Times New Roman" w:hAnsi="Times New Roman" w:eastAsia="宋体"/>
          <w:b w:val="0"/>
          <w:sz w:val="21"/>
        </w:rPr>
        <w:t>，而是把消费者层建模限定为两件可检验的事。第一，描述符的可用性：7.csv 的 186 个描述符列中，palate_acetaldehyde、palate_acetate、palate_dentist 三列整列为空（每列 250 个缺失），有效描述符为 183 维；本文同时以 183 维消费者描述符与 50 维品评组感官为预测目标，形成「化学→消费者描述符」与「化学→品评组感官」两条并行路径，并对两者做交叉一致性检验。第二，是否可把多维感知压缩成单一喜爱度轴：183 维描述符经标准化后的第一主成分解释率仅为 10.4%，远不足以支撑把多维感知压成一维喜爱度，因此本文不做降维造标签，只把多维描述符整体作为目标。</w:t>
      </w:r>
    </w:p>
    <w:p>
      <w:pPr>
        <w:spacing w:after="80" w:line="324" w:lineRule="auto"/>
        <w:ind w:firstLine="420"/>
      </w:pPr>
      <w:r>
        <w:rPr>
          <w:rFonts w:ascii="Times New Roman" w:hAnsi="Times New Roman" w:eastAsia="宋体"/>
          <w:b w:val="0"/>
          <w:sz w:val="21"/>
        </w:rPr>
        <w:t>第三，外部价值信号：8.xlsx 给出 7 个零售来源的逐款价格，其中覆盖 ≥2 家零售商的共 189 款可计算几何均价（GM）；本文以价格为外部价值代理，回归中控制酒精度与风格，并明确其局限——价格来自单一零售体系，是市场价值的代理而非消费者效用本身。</w:t>
      </w:r>
      <w:r>
        <w:rPr>
          <w:rFonts w:ascii="Times New Roman" w:hAnsi="Times New Roman" w:eastAsia="宋体"/>
          <w:b/>
          <w:sz w:val="21"/>
        </w:rPr>
        <w:t>另需披露一项附件层面的限制</w:t>
      </w:r>
      <w:r>
        <w:rPr>
          <w:rFonts w:ascii="Times New Roman" w:hAnsi="Times New Roman" w:eastAsia="宋体"/>
          <w:b w:val="0"/>
          <w:sz w:val="21"/>
        </w:rPr>
        <w:t>：这 7 个来源分别位于美国、英国、比利时与面向全球的网店，标价币种涵盖美元、英镑与欧元，而附件未提供汇率列，本文因此</w:t>
      </w:r>
      <w:r>
        <w:rPr>
          <w:rFonts w:ascii="Times New Roman" w:hAnsi="Times New Roman" w:eastAsia="宋体"/>
          <w:b/>
          <w:sz w:val="21"/>
        </w:rPr>
        <w:t>未做任何币种换算</w:t>
      </w:r>
      <w:r>
        <w:rPr>
          <w:rFonts w:ascii="Times New Roman" w:hAnsi="Times New Roman" w:eastAsia="宋体"/>
          <w:b w:val="0"/>
          <w:sz w:val="21"/>
        </w:rPr>
        <w:t>；这使得 log 价格同时包含「真实品质溢价」与「币种/卖方价格水平差异」两部分，构成价格回归解释力的一个下界，本文的价格结论只作方向性参考。这一设计与原研究「提升消费者喜爱度」的结论形成对照：在本附件条件下，</w:t>
      </w:r>
      <w:r>
        <w:rPr>
          <w:rFonts w:ascii="Times New Roman" w:hAnsi="Times New Roman" w:eastAsia="宋体"/>
          <w:b/>
          <w:sz w:val="21"/>
        </w:rPr>
        <w:t>消费者喜爱度这一环不可检验</w:t>
      </w:r>
      <w:r>
        <w:rPr>
          <w:rFonts w:ascii="Times New Roman" w:hAnsi="Times New Roman" w:eastAsia="宋体"/>
          <w:b w:val="0"/>
          <w:sz w:val="21"/>
        </w:rPr>
        <w:t>，可检验的是消费者感知描述符的可预测性与化学谱的市场价值解释力。</w:t>
      </w:r>
    </w:p>
    <w:p>
      <w:pPr>
        <w:spacing w:before="200" w:after="120" w:line="312" w:lineRule="auto"/>
        <w:jc w:val="left"/>
      </w:pPr>
      <w:r>
        <w:rPr>
          <w:rFonts w:ascii="Times New Roman" w:hAnsi="Times New Roman" w:eastAsia="黑体"/>
          <w:b/>
          <w:sz w:val="30"/>
        </w:rPr>
        <w:t>五、实验结果</w:t>
      </w:r>
    </w:p>
    <w:p>
      <w:pPr>
        <w:spacing w:before="140" w:after="80" w:line="312" w:lineRule="auto"/>
        <w:jc w:val="left"/>
      </w:pPr>
      <w:r>
        <w:rPr>
          <w:rFonts w:ascii="Times New Roman" w:hAnsi="Times New Roman" w:eastAsia="黑体"/>
          <w:b/>
          <w:sz w:val="26"/>
        </w:rPr>
        <w:t>5.1 问题一：感官评分预测与 0–6 分制</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Times New Roman" w:hAnsi="Times New Roman" w:eastAsia="黑体"/>
                <w:b/>
                <w:sz w:val="17"/>
              </w:rPr>
              <w:t>model</w:t>
            </w:r>
          </w:p>
        </w:tc>
        <w:tc>
          <w:tcPr>
            <w:tcW w:type="dxa" w:w="1008"/>
          </w:tcPr>
          <w:p>
            <w:pPr>
              <w:jc w:val="center"/>
            </w:pPr>
            <w:r/>
            <w:r>
              <w:rPr>
                <w:rFonts w:ascii="Times New Roman" w:hAnsi="Times New Roman" w:eastAsia="黑体"/>
                <w:b/>
                <w:sz w:val="17"/>
              </w:rPr>
              <w:t>Macro_RMSE</w:t>
            </w:r>
          </w:p>
        </w:tc>
        <w:tc>
          <w:tcPr>
            <w:tcW w:type="dxa" w:w="1008"/>
          </w:tcPr>
          <w:p>
            <w:pPr>
              <w:jc w:val="center"/>
            </w:pPr>
            <w:r/>
            <w:r>
              <w:rPr>
                <w:rFonts w:ascii="Times New Roman" w:hAnsi="Times New Roman" w:eastAsia="黑体"/>
                <w:b/>
                <w:sz w:val="17"/>
              </w:rPr>
              <w:t>Macro_MAE</w:t>
            </w:r>
          </w:p>
        </w:tc>
        <w:tc>
          <w:tcPr>
            <w:tcW w:type="dxa" w:w="1008"/>
          </w:tcPr>
          <w:p>
            <w:pPr>
              <w:jc w:val="center"/>
            </w:pPr>
            <w:r/>
            <w:r>
              <w:rPr>
                <w:rFonts w:ascii="Times New Roman" w:hAnsi="Times New Roman" w:eastAsia="黑体"/>
                <w:b/>
                <w:sz w:val="17"/>
              </w:rPr>
              <w:t>R2_median</w:t>
            </w:r>
          </w:p>
        </w:tc>
        <w:tc>
          <w:tcPr>
            <w:tcW w:type="dxa" w:w="1008"/>
          </w:tcPr>
          <w:p>
            <w:pPr>
              <w:jc w:val="center"/>
            </w:pPr>
            <w:r/>
            <w:r>
              <w:rPr>
                <w:rFonts w:ascii="Times New Roman" w:hAnsi="Times New Roman" w:eastAsia="黑体"/>
                <w:b/>
                <w:sz w:val="17"/>
              </w:rPr>
              <w:t>Spearman_median</w:t>
            </w:r>
          </w:p>
        </w:tc>
        <w:tc>
          <w:tcPr>
            <w:tcW w:type="dxa" w:w="1008"/>
          </w:tcPr>
          <w:p>
            <w:pPr>
              <w:jc w:val="center"/>
            </w:pPr>
            <w:r/>
            <w:r>
              <w:rPr>
                <w:rFonts w:ascii="Times New Roman" w:hAnsi="Times New Roman" w:eastAsia="黑体"/>
                <w:b/>
                <w:sz w:val="17"/>
              </w:rPr>
              <w:t>proxy_grade_MAE</w:t>
            </w:r>
          </w:p>
        </w:tc>
        <w:tc>
          <w:tcPr>
            <w:tcW w:type="dxa" w:w="1008"/>
          </w:tcPr>
          <w:p>
            <w:pPr>
              <w:jc w:val="center"/>
            </w:pPr>
            <w:r/>
            <w:r>
              <w:rPr>
                <w:rFonts w:ascii="Times New Roman" w:hAnsi="Times New Roman" w:eastAsia="黑体"/>
                <w:b/>
                <w:sz w:val="17"/>
              </w:rPr>
              <w:t>proxy_exact_accuracy</w:t>
            </w:r>
          </w:p>
        </w:tc>
        <w:tc>
          <w:tcPr>
            <w:tcW w:type="dxa" w:w="1008"/>
          </w:tcPr>
          <w:p>
            <w:pPr>
              <w:jc w:val="center"/>
            </w:pPr>
            <w:r/>
            <w:r>
              <w:rPr>
                <w:rFonts w:ascii="Times New Roman" w:hAnsi="Times New Roman" w:eastAsia="黑体"/>
                <w:b/>
                <w:sz w:val="17"/>
              </w:rPr>
              <w:t>proxy_within_one_accuracy</w:t>
            </w:r>
          </w:p>
        </w:tc>
        <w:tc>
          <w:tcPr>
            <w:tcW w:type="dxa" w:w="1008"/>
          </w:tcPr>
          <w:p>
            <w:pPr>
              <w:jc w:val="center"/>
            </w:pPr>
            <w:r/>
            <w:r>
              <w:rPr>
                <w:rFonts w:ascii="Times New Roman" w:hAnsi="Times New Roman" w:eastAsia="黑体"/>
                <w:b/>
                <w:sz w:val="17"/>
              </w:rPr>
              <w:t>proxy_quadratic_kappa</w:t>
            </w:r>
          </w:p>
        </w:tc>
      </w:tr>
      <w:tr>
        <w:tc>
          <w:tcPr>
            <w:tcW w:type="dxa" w:w="1008"/>
          </w:tcPr>
          <w:p>
            <w:pPr>
              <w:jc w:val="center"/>
            </w:pPr>
            <w:r/>
            <w:r>
              <w:rPr>
                <w:rFonts w:ascii="Times New Roman" w:hAnsi="Times New Roman" w:eastAsia="宋体"/>
                <w:b w:val="0"/>
                <w:sz w:val="17"/>
              </w:rPr>
              <w:t>independent_gbr</w:t>
            </w:r>
          </w:p>
        </w:tc>
        <w:tc>
          <w:tcPr>
            <w:tcW w:type="dxa" w:w="1008"/>
          </w:tcPr>
          <w:p>
            <w:pPr>
              <w:jc w:val="center"/>
            </w:pPr>
            <w:r/>
            <w:r>
              <w:rPr>
                <w:rFonts w:ascii="Times New Roman" w:hAnsi="Times New Roman" w:eastAsia="宋体"/>
                <w:b w:val="0"/>
                <w:sz w:val="17"/>
              </w:rPr>
              <w:t>0.4880</w:t>
            </w:r>
          </w:p>
        </w:tc>
        <w:tc>
          <w:tcPr>
            <w:tcW w:type="dxa" w:w="1008"/>
          </w:tcPr>
          <w:p>
            <w:pPr>
              <w:jc w:val="center"/>
            </w:pPr>
            <w:r/>
            <w:r>
              <w:rPr>
                <w:rFonts w:ascii="Times New Roman" w:hAnsi="Times New Roman" w:eastAsia="宋体"/>
                <w:b w:val="0"/>
                <w:sz w:val="17"/>
              </w:rPr>
              <w:t>0.3505</w:t>
            </w:r>
          </w:p>
        </w:tc>
        <w:tc>
          <w:tcPr>
            <w:tcW w:type="dxa" w:w="1008"/>
          </w:tcPr>
          <w:p>
            <w:pPr>
              <w:jc w:val="center"/>
            </w:pPr>
            <w:r/>
            <w:r>
              <w:rPr>
                <w:rFonts w:ascii="Times New Roman" w:hAnsi="Times New Roman" w:eastAsia="宋体"/>
                <w:b w:val="0"/>
                <w:sz w:val="17"/>
              </w:rPr>
              <w:t>0.1833</w:t>
            </w:r>
          </w:p>
        </w:tc>
        <w:tc>
          <w:tcPr>
            <w:tcW w:type="dxa" w:w="1008"/>
          </w:tcPr>
          <w:p>
            <w:pPr>
              <w:jc w:val="center"/>
            </w:pPr>
            <w:r/>
            <w:r>
              <w:rPr>
                <w:rFonts w:ascii="Times New Roman" w:hAnsi="Times New Roman" w:eastAsia="宋体"/>
                <w:b w:val="0"/>
                <w:sz w:val="17"/>
              </w:rPr>
              <w:t>0.3819</w:t>
            </w:r>
          </w:p>
        </w:tc>
        <w:tc>
          <w:tcPr>
            <w:tcW w:type="dxa" w:w="1008"/>
          </w:tcPr>
          <w:p>
            <w:pPr>
              <w:jc w:val="center"/>
            </w:pPr>
            <w:r/>
            <w:r>
              <w:rPr>
                <w:rFonts w:ascii="Times New Roman" w:hAnsi="Times New Roman" w:eastAsia="宋体"/>
                <w:b w:val="0"/>
                <w:sz w:val="17"/>
              </w:rPr>
              <w:t>1.6085</w:t>
            </w:r>
          </w:p>
        </w:tc>
        <w:tc>
          <w:tcPr>
            <w:tcW w:type="dxa" w:w="1008"/>
          </w:tcPr>
          <w:p>
            <w:pPr>
              <w:jc w:val="center"/>
            </w:pPr>
            <w:r/>
            <w:r>
              <w:rPr>
                <w:rFonts w:ascii="Times New Roman" w:hAnsi="Times New Roman" w:eastAsia="宋体"/>
                <w:b w:val="0"/>
                <w:sz w:val="17"/>
              </w:rPr>
              <w:t>0.2067</w:t>
            </w:r>
          </w:p>
        </w:tc>
        <w:tc>
          <w:tcPr>
            <w:tcW w:type="dxa" w:w="1008"/>
          </w:tcPr>
          <w:p>
            <w:pPr>
              <w:jc w:val="center"/>
            </w:pPr>
            <w:r/>
            <w:r>
              <w:rPr>
                <w:rFonts w:ascii="Times New Roman" w:hAnsi="Times New Roman" w:eastAsia="宋体"/>
                <w:b w:val="0"/>
                <w:sz w:val="17"/>
              </w:rPr>
              <w:t>0.5397</w:t>
            </w:r>
          </w:p>
        </w:tc>
        <w:tc>
          <w:tcPr>
            <w:tcW w:type="dxa" w:w="1008"/>
          </w:tcPr>
          <w:p>
            <w:pPr>
              <w:jc w:val="center"/>
            </w:pPr>
            <w:r/>
            <w:r>
              <w:rPr>
                <w:rFonts w:ascii="Times New Roman" w:hAnsi="Times New Roman" w:eastAsia="宋体"/>
                <w:b w:val="0"/>
                <w:sz w:val="17"/>
              </w:rPr>
              <w:t>0.3048</w:t>
            </w:r>
          </w:p>
        </w:tc>
      </w:tr>
      <w:tr>
        <w:tc>
          <w:tcPr>
            <w:tcW w:type="dxa" w:w="1008"/>
          </w:tcPr>
          <w:p>
            <w:pPr>
              <w:jc w:val="center"/>
            </w:pPr>
            <w:r/>
            <w:r>
              <w:rPr>
                <w:rFonts w:ascii="Times New Roman" w:hAnsi="Times New Roman" w:eastAsia="宋体"/>
                <w:b w:val="0"/>
                <w:sz w:val="17"/>
              </w:rPr>
              <w:t>grouped_extra_trees</w:t>
            </w:r>
          </w:p>
        </w:tc>
        <w:tc>
          <w:tcPr>
            <w:tcW w:type="dxa" w:w="1008"/>
          </w:tcPr>
          <w:p>
            <w:pPr>
              <w:jc w:val="center"/>
            </w:pPr>
            <w:r/>
            <w:r>
              <w:rPr>
                <w:rFonts w:ascii="Times New Roman" w:hAnsi="Times New Roman" w:eastAsia="宋体"/>
                <w:b w:val="0"/>
                <w:sz w:val="17"/>
              </w:rPr>
              <w:t>0.4881</w:t>
            </w:r>
          </w:p>
        </w:tc>
        <w:tc>
          <w:tcPr>
            <w:tcW w:type="dxa" w:w="1008"/>
          </w:tcPr>
          <w:p>
            <w:pPr>
              <w:jc w:val="center"/>
            </w:pPr>
            <w:r/>
            <w:r>
              <w:rPr>
                <w:rFonts w:ascii="Times New Roman" w:hAnsi="Times New Roman" w:eastAsia="宋体"/>
                <w:b w:val="0"/>
                <w:sz w:val="17"/>
              </w:rPr>
              <w:t>0.3475</w:t>
            </w:r>
          </w:p>
        </w:tc>
        <w:tc>
          <w:tcPr>
            <w:tcW w:type="dxa" w:w="1008"/>
          </w:tcPr>
          <w:p>
            <w:pPr>
              <w:jc w:val="center"/>
            </w:pPr>
            <w:r/>
            <w:r>
              <w:rPr>
                <w:rFonts w:ascii="Times New Roman" w:hAnsi="Times New Roman" w:eastAsia="宋体"/>
                <w:b w:val="0"/>
                <w:sz w:val="17"/>
              </w:rPr>
              <w:t>0.1883</w:t>
            </w:r>
          </w:p>
        </w:tc>
        <w:tc>
          <w:tcPr>
            <w:tcW w:type="dxa" w:w="1008"/>
          </w:tcPr>
          <w:p>
            <w:pPr>
              <w:jc w:val="center"/>
            </w:pPr>
            <w:r/>
            <w:r>
              <w:rPr>
                <w:rFonts w:ascii="Times New Roman" w:hAnsi="Times New Roman" w:eastAsia="宋体"/>
                <w:b w:val="0"/>
                <w:sz w:val="17"/>
              </w:rPr>
              <w:t>0.4164</w:t>
            </w:r>
          </w:p>
        </w:tc>
        <w:tc>
          <w:tcPr>
            <w:tcW w:type="dxa" w:w="1008"/>
          </w:tcPr>
          <w:p>
            <w:pPr>
              <w:jc w:val="center"/>
            </w:pPr>
            <w:r/>
            <w:r>
              <w:rPr>
                <w:rFonts w:ascii="Times New Roman" w:hAnsi="Times New Roman" w:eastAsia="宋体"/>
                <w:b w:val="0"/>
                <w:sz w:val="17"/>
              </w:rPr>
              <w:t>1.6056</w:t>
            </w:r>
          </w:p>
        </w:tc>
        <w:tc>
          <w:tcPr>
            <w:tcW w:type="dxa" w:w="1008"/>
          </w:tcPr>
          <w:p>
            <w:pPr>
              <w:jc w:val="center"/>
            </w:pPr>
            <w:r/>
            <w:r>
              <w:rPr>
                <w:rFonts w:ascii="Times New Roman" w:hAnsi="Times New Roman" w:eastAsia="宋体"/>
                <w:b w:val="0"/>
                <w:sz w:val="17"/>
              </w:rPr>
              <w:t>0.2040</w:t>
            </w:r>
          </w:p>
        </w:tc>
        <w:tc>
          <w:tcPr>
            <w:tcW w:type="dxa" w:w="1008"/>
          </w:tcPr>
          <w:p>
            <w:pPr>
              <w:jc w:val="center"/>
            </w:pPr>
            <w:r/>
            <w:r>
              <w:rPr>
                <w:rFonts w:ascii="Times New Roman" w:hAnsi="Times New Roman" w:eastAsia="宋体"/>
                <w:b w:val="0"/>
                <w:sz w:val="17"/>
              </w:rPr>
              <w:t>0.5336</w:t>
            </w:r>
          </w:p>
        </w:tc>
        <w:tc>
          <w:tcPr>
            <w:tcW w:type="dxa" w:w="1008"/>
          </w:tcPr>
          <w:p>
            <w:pPr>
              <w:jc w:val="center"/>
            </w:pPr>
            <w:r/>
            <w:r>
              <w:rPr>
                <w:rFonts w:ascii="Times New Roman" w:hAnsi="Times New Roman" w:eastAsia="宋体"/>
                <w:b w:val="0"/>
                <w:sz w:val="17"/>
              </w:rPr>
              <w:t>0.2941</w:t>
            </w:r>
          </w:p>
        </w:tc>
      </w:tr>
      <w:tr>
        <w:tc>
          <w:tcPr>
            <w:tcW w:type="dxa" w:w="1008"/>
          </w:tcPr>
          <w:p>
            <w:pPr>
              <w:jc w:val="center"/>
            </w:pPr>
            <w:r/>
            <w:r>
              <w:rPr>
                <w:rFonts w:ascii="Times New Roman" w:hAnsi="Times New Roman" w:eastAsia="宋体"/>
                <w:b w:val="0"/>
                <w:sz w:val="17"/>
              </w:rPr>
              <w:t>global_extra_trees</w:t>
            </w:r>
          </w:p>
        </w:tc>
        <w:tc>
          <w:tcPr>
            <w:tcW w:type="dxa" w:w="1008"/>
          </w:tcPr>
          <w:p>
            <w:pPr>
              <w:jc w:val="center"/>
            </w:pPr>
            <w:r/>
            <w:r>
              <w:rPr>
                <w:rFonts w:ascii="Times New Roman" w:hAnsi="Times New Roman" w:eastAsia="宋体"/>
                <w:b w:val="0"/>
                <w:sz w:val="17"/>
              </w:rPr>
              <w:t>0.4893</w:t>
            </w:r>
          </w:p>
        </w:tc>
        <w:tc>
          <w:tcPr>
            <w:tcW w:type="dxa" w:w="1008"/>
          </w:tcPr>
          <w:p>
            <w:pPr>
              <w:jc w:val="center"/>
            </w:pPr>
            <w:r/>
            <w:r>
              <w:rPr>
                <w:rFonts w:ascii="Times New Roman" w:hAnsi="Times New Roman" w:eastAsia="宋体"/>
                <w:b w:val="0"/>
                <w:sz w:val="17"/>
              </w:rPr>
              <w:t>0.3486</w:t>
            </w:r>
          </w:p>
        </w:tc>
        <w:tc>
          <w:tcPr>
            <w:tcW w:type="dxa" w:w="1008"/>
          </w:tcPr>
          <w:p>
            <w:pPr>
              <w:jc w:val="center"/>
            </w:pPr>
            <w:r/>
            <w:r>
              <w:rPr>
                <w:rFonts w:ascii="Times New Roman" w:hAnsi="Times New Roman" w:eastAsia="宋体"/>
                <w:b w:val="0"/>
                <w:sz w:val="17"/>
              </w:rPr>
              <w:t>0.1652</w:t>
            </w:r>
          </w:p>
        </w:tc>
        <w:tc>
          <w:tcPr>
            <w:tcW w:type="dxa" w:w="1008"/>
          </w:tcPr>
          <w:p>
            <w:pPr>
              <w:jc w:val="center"/>
            </w:pPr>
            <w:r/>
            <w:r>
              <w:rPr>
                <w:rFonts w:ascii="Times New Roman" w:hAnsi="Times New Roman" w:eastAsia="宋体"/>
                <w:b w:val="0"/>
                <w:sz w:val="17"/>
              </w:rPr>
              <w:t>0.4112</w:t>
            </w:r>
          </w:p>
        </w:tc>
        <w:tc>
          <w:tcPr>
            <w:tcW w:type="dxa" w:w="1008"/>
          </w:tcPr>
          <w:p>
            <w:pPr>
              <w:jc w:val="center"/>
            </w:pPr>
            <w:r/>
            <w:r>
              <w:rPr>
                <w:rFonts w:ascii="Times New Roman" w:hAnsi="Times New Roman" w:eastAsia="宋体"/>
                <w:b w:val="0"/>
                <w:sz w:val="17"/>
              </w:rPr>
              <w:t>1.6115</w:t>
            </w:r>
          </w:p>
        </w:tc>
        <w:tc>
          <w:tcPr>
            <w:tcW w:type="dxa" w:w="1008"/>
          </w:tcPr>
          <w:p>
            <w:pPr>
              <w:jc w:val="center"/>
            </w:pPr>
            <w:r/>
            <w:r>
              <w:rPr>
                <w:rFonts w:ascii="Times New Roman" w:hAnsi="Times New Roman" w:eastAsia="宋体"/>
                <w:b w:val="0"/>
                <w:sz w:val="17"/>
              </w:rPr>
              <w:t>0.2056</w:t>
            </w:r>
          </w:p>
        </w:tc>
        <w:tc>
          <w:tcPr>
            <w:tcW w:type="dxa" w:w="1008"/>
          </w:tcPr>
          <w:p>
            <w:pPr>
              <w:jc w:val="center"/>
            </w:pPr>
            <w:r/>
            <w:r>
              <w:rPr>
                <w:rFonts w:ascii="Times New Roman" w:hAnsi="Times New Roman" w:eastAsia="宋体"/>
                <w:b w:val="0"/>
                <w:sz w:val="17"/>
              </w:rPr>
              <w:t>0.5304</w:t>
            </w:r>
          </w:p>
        </w:tc>
        <w:tc>
          <w:tcPr>
            <w:tcW w:type="dxa" w:w="1008"/>
          </w:tcPr>
          <w:p>
            <w:pPr>
              <w:jc w:val="center"/>
            </w:pPr>
            <w:r/>
            <w:r>
              <w:rPr>
                <w:rFonts w:ascii="Times New Roman" w:hAnsi="Times New Roman" w:eastAsia="宋体"/>
                <w:b w:val="0"/>
                <w:sz w:val="17"/>
              </w:rPr>
              <w:t>0.2787</w:t>
            </w:r>
          </w:p>
        </w:tc>
      </w:tr>
      <w:tr>
        <w:tc>
          <w:tcPr>
            <w:tcW w:type="dxa" w:w="1008"/>
          </w:tcPr>
          <w:p>
            <w:pPr>
              <w:jc w:val="center"/>
            </w:pPr>
            <w:r/>
            <w:r>
              <w:rPr>
                <w:rFonts w:ascii="Times New Roman" w:hAnsi="Times New Roman" w:eastAsia="宋体"/>
                <w:b w:val="0"/>
                <w:sz w:val="17"/>
              </w:rPr>
              <w:t>pls2</w:t>
            </w:r>
          </w:p>
        </w:tc>
        <w:tc>
          <w:tcPr>
            <w:tcW w:type="dxa" w:w="1008"/>
          </w:tcPr>
          <w:p>
            <w:pPr>
              <w:jc w:val="center"/>
            </w:pPr>
            <w:r/>
            <w:r>
              <w:rPr>
                <w:rFonts w:ascii="Times New Roman" w:hAnsi="Times New Roman" w:eastAsia="宋体"/>
                <w:b w:val="0"/>
                <w:sz w:val="17"/>
              </w:rPr>
              <w:t>0.4915</w:t>
            </w:r>
          </w:p>
        </w:tc>
        <w:tc>
          <w:tcPr>
            <w:tcW w:type="dxa" w:w="1008"/>
          </w:tcPr>
          <w:p>
            <w:pPr>
              <w:jc w:val="center"/>
            </w:pPr>
            <w:r/>
            <w:r>
              <w:rPr>
                <w:rFonts w:ascii="Times New Roman" w:hAnsi="Times New Roman" w:eastAsia="宋体"/>
                <w:b w:val="0"/>
                <w:sz w:val="17"/>
              </w:rPr>
              <w:t>0.3576</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0.4033</w:t>
            </w:r>
          </w:p>
        </w:tc>
        <w:tc>
          <w:tcPr>
            <w:tcW w:type="dxa" w:w="1008"/>
          </w:tcPr>
          <w:p>
            <w:pPr>
              <w:jc w:val="center"/>
            </w:pPr>
            <w:r/>
            <w:r>
              <w:rPr>
                <w:rFonts w:ascii="Times New Roman" w:hAnsi="Times New Roman" w:eastAsia="宋体"/>
                <w:b w:val="0"/>
                <w:sz w:val="17"/>
              </w:rPr>
              <w:t>1.6067</w:t>
            </w:r>
          </w:p>
        </w:tc>
        <w:tc>
          <w:tcPr>
            <w:tcW w:type="dxa" w:w="1008"/>
          </w:tcPr>
          <w:p>
            <w:pPr>
              <w:jc w:val="center"/>
            </w:pPr>
            <w:r/>
            <w:r>
              <w:rPr>
                <w:rFonts w:ascii="Times New Roman" w:hAnsi="Times New Roman" w:eastAsia="宋体"/>
                <w:b w:val="0"/>
                <w:sz w:val="17"/>
              </w:rPr>
              <w:t>0.2141</w:t>
            </w:r>
          </w:p>
        </w:tc>
        <w:tc>
          <w:tcPr>
            <w:tcW w:type="dxa" w:w="1008"/>
          </w:tcPr>
          <w:p>
            <w:pPr>
              <w:jc w:val="center"/>
            </w:pPr>
            <w:r/>
            <w:r>
              <w:rPr>
                <w:rFonts w:ascii="Times New Roman" w:hAnsi="Times New Roman" w:eastAsia="宋体"/>
                <w:b w:val="0"/>
                <w:sz w:val="17"/>
              </w:rPr>
              <w:t>0.5488</w:t>
            </w:r>
          </w:p>
        </w:tc>
        <w:tc>
          <w:tcPr>
            <w:tcW w:type="dxa" w:w="1008"/>
          </w:tcPr>
          <w:p>
            <w:pPr>
              <w:jc w:val="center"/>
            </w:pPr>
            <w:r/>
            <w:r>
              <w:rPr>
                <w:rFonts w:ascii="Times New Roman" w:hAnsi="Times New Roman" w:eastAsia="宋体"/>
                <w:b w:val="0"/>
                <w:sz w:val="17"/>
              </w:rPr>
              <w:t>0.3459</w:t>
            </w:r>
          </w:p>
        </w:tc>
      </w:tr>
      <w:tr>
        <w:tc>
          <w:tcPr>
            <w:tcW w:type="dxa" w:w="1008"/>
          </w:tcPr>
          <w:p>
            <w:pPr>
              <w:jc w:val="center"/>
            </w:pPr>
            <w:r/>
            <w:r>
              <w:rPr>
                <w:rFonts w:ascii="Times New Roman" w:hAnsi="Times New Roman" w:eastAsia="宋体"/>
                <w:b w:val="0"/>
                <w:sz w:val="17"/>
              </w:rPr>
              <w:t>multitask_elastic_net</w:t>
            </w:r>
          </w:p>
        </w:tc>
        <w:tc>
          <w:tcPr>
            <w:tcW w:type="dxa" w:w="1008"/>
          </w:tcPr>
          <w:p>
            <w:pPr>
              <w:jc w:val="center"/>
            </w:pPr>
            <w:r/>
            <w:r>
              <w:rPr>
                <w:rFonts w:ascii="Times New Roman" w:hAnsi="Times New Roman" w:eastAsia="宋体"/>
                <w:b w:val="0"/>
                <w:sz w:val="17"/>
              </w:rPr>
              <w:t>0.4929</w:t>
            </w:r>
          </w:p>
        </w:tc>
        <w:tc>
          <w:tcPr>
            <w:tcW w:type="dxa" w:w="1008"/>
          </w:tcPr>
          <w:p>
            <w:pPr>
              <w:jc w:val="center"/>
            </w:pPr>
            <w:r/>
            <w:r>
              <w:rPr>
                <w:rFonts w:ascii="Times New Roman" w:hAnsi="Times New Roman" w:eastAsia="宋体"/>
                <w:b w:val="0"/>
                <w:sz w:val="17"/>
              </w:rPr>
              <w:t>0.3542</w:t>
            </w:r>
          </w:p>
        </w:tc>
        <w:tc>
          <w:tcPr>
            <w:tcW w:type="dxa" w:w="1008"/>
          </w:tcPr>
          <w:p>
            <w:pPr>
              <w:jc w:val="center"/>
            </w:pPr>
            <w:r/>
            <w:r>
              <w:rPr>
                <w:rFonts w:ascii="Times New Roman" w:hAnsi="Times New Roman" w:eastAsia="宋体"/>
                <w:b w:val="0"/>
                <w:sz w:val="17"/>
              </w:rPr>
              <w:t>0.1422</w:t>
            </w:r>
          </w:p>
        </w:tc>
        <w:tc>
          <w:tcPr>
            <w:tcW w:type="dxa" w:w="1008"/>
          </w:tcPr>
          <w:p>
            <w:pPr>
              <w:jc w:val="center"/>
            </w:pPr>
            <w:r/>
            <w:r>
              <w:rPr>
                <w:rFonts w:ascii="Times New Roman" w:hAnsi="Times New Roman" w:eastAsia="宋体"/>
                <w:b w:val="0"/>
                <w:sz w:val="17"/>
              </w:rPr>
              <w:t>0.4143</w:t>
            </w:r>
          </w:p>
        </w:tc>
        <w:tc>
          <w:tcPr>
            <w:tcW w:type="dxa" w:w="1008"/>
          </w:tcPr>
          <w:p>
            <w:pPr>
              <w:jc w:val="center"/>
            </w:pPr>
            <w:r/>
            <w:r>
              <w:rPr>
                <w:rFonts w:ascii="Times New Roman" w:hAnsi="Times New Roman" w:eastAsia="宋体"/>
                <w:b w:val="0"/>
                <w:sz w:val="17"/>
              </w:rPr>
              <w:t>1.6165</w:t>
            </w:r>
          </w:p>
        </w:tc>
        <w:tc>
          <w:tcPr>
            <w:tcW w:type="dxa" w:w="1008"/>
          </w:tcPr>
          <w:p>
            <w:pPr>
              <w:jc w:val="center"/>
            </w:pPr>
            <w:r/>
            <w:r>
              <w:rPr>
                <w:rFonts w:ascii="Times New Roman" w:hAnsi="Times New Roman" w:eastAsia="宋体"/>
                <w:b w:val="0"/>
                <w:sz w:val="17"/>
              </w:rPr>
              <w:t>0.1955</w:t>
            </w:r>
          </w:p>
        </w:tc>
        <w:tc>
          <w:tcPr>
            <w:tcW w:type="dxa" w:w="1008"/>
          </w:tcPr>
          <w:p>
            <w:pPr>
              <w:jc w:val="center"/>
            </w:pPr>
            <w:r/>
            <w:r>
              <w:rPr>
                <w:rFonts w:ascii="Times New Roman" w:hAnsi="Times New Roman" w:eastAsia="宋体"/>
                <w:b w:val="0"/>
                <w:sz w:val="17"/>
              </w:rPr>
              <w:t>0.5333</w:t>
            </w:r>
          </w:p>
        </w:tc>
        <w:tc>
          <w:tcPr>
            <w:tcW w:type="dxa" w:w="1008"/>
          </w:tcPr>
          <w:p>
            <w:pPr>
              <w:jc w:val="center"/>
            </w:pPr>
            <w:r/>
            <w:r>
              <w:rPr>
                <w:rFonts w:ascii="Times New Roman" w:hAnsi="Times New Roman" w:eastAsia="宋体"/>
                <w:b w:val="0"/>
                <w:sz w:val="17"/>
              </w:rPr>
              <w:t>0.2996</w:t>
            </w:r>
          </w:p>
        </w:tc>
      </w:tr>
      <w:tr>
        <w:tc>
          <w:tcPr>
            <w:tcW w:type="dxa" w:w="1008"/>
          </w:tcPr>
          <w:p>
            <w:pPr>
              <w:jc w:val="center"/>
            </w:pPr>
            <w:r/>
            <w:r>
              <w:rPr>
                <w:rFonts w:ascii="Times New Roman" w:hAnsi="Times New Roman" w:eastAsia="宋体"/>
                <w:b w:val="0"/>
                <w:sz w:val="17"/>
              </w:rPr>
              <w:t>ridge</w:t>
            </w:r>
          </w:p>
        </w:tc>
        <w:tc>
          <w:tcPr>
            <w:tcW w:type="dxa" w:w="1008"/>
          </w:tcPr>
          <w:p>
            <w:pPr>
              <w:jc w:val="center"/>
            </w:pPr>
            <w:r/>
            <w:r>
              <w:rPr>
                <w:rFonts w:ascii="Times New Roman" w:hAnsi="Times New Roman" w:eastAsia="宋体"/>
                <w:b w:val="0"/>
                <w:sz w:val="17"/>
              </w:rPr>
              <w:t>0.4976</w:t>
            </w:r>
          </w:p>
        </w:tc>
        <w:tc>
          <w:tcPr>
            <w:tcW w:type="dxa" w:w="1008"/>
          </w:tcPr>
          <w:p>
            <w:pPr>
              <w:jc w:val="center"/>
            </w:pPr>
            <w:r/>
            <w:r>
              <w:rPr>
                <w:rFonts w:ascii="Times New Roman" w:hAnsi="Times New Roman" w:eastAsia="宋体"/>
                <w:b w:val="0"/>
                <w:sz w:val="17"/>
              </w:rPr>
              <w:t>0.3593</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0.3669</w:t>
            </w:r>
          </w:p>
        </w:tc>
        <w:tc>
          <w:tcPr>
            <w:tcW w:type="dxa" w:w="1008"/>
          </w:tcPr>
          <w:p>
            <w:pPr>
              <w:jc w:val="center"/>
            </w:pPr>
            <w:r/>
            <w:r>
              <w:rPr>
                <w:rFonts w:ascii="Times New Roman" w:hAnsi="Times New Roman" w:eastAsia="宋体"/>
                <w:b w:val="0"/>
                <w:sz w:val="17"/>
              </w:rPr>
              <w:t>1.6245</w:t>
            </w:r>
          </w:p>
        </w:tc>
        <w:tc>
          <w:tcPr>
            <w:tcW w:type="dxa" w:w="1008"/>
          </w:tcPr>
          <w:p>
            <w:pPr>
              <w:jc w:val="center"/>
            </w:pPr>
            <w:r/>
            <w:r>
              <w:rPr>
                <w:rFonts w:ascii="Times New Roman" w:hAnsi="Times New Roman" w:eastAsia="宋体"/>
                <w:b w:val="0"/>
                <w:sz w:val="17"/>
              </w:rPr>
              <w:t>0.2027</w:t>
            </w:r>
          </w:p>
        </w:tc>
        <w:tc>
          <w:tcPr>
            <w:tcW w:type="dxa" w:w="1008"/>
          </w:tcPr>
          <w:p>
            <w:pPr>
              <w:jc w:val="center"/>
            </w:pPr>
            <w:r/>
            <w:r>
              <w:rPr>
                <w:rFonts w:ascii="Times New Roman" w:hAnsi="Times New Roman" w:eastAsia="宋体"/>
                <w:b w:val="0"/>
                <w:sz w:val="17"/>
              </w:rPr>
              <w:t>0.5320</w:t>
            </w:r>
          </w:p>
        </w:tc>
        <w:tc>
          <w:tcPr>
            <w:tcW w:type="dxa" w:w="1008"/>
          </w:tcPr>
          <w:p>
            <w:pPr>
              <w:jc w:val="center"/>
            </w:pPr>
            <w:r/>
            <w:r>
              <w:rPr>
                <w:rFonts w:ascii="Times New Roman" w:hAnsi="Times New Roman" w:eastAsia="宋体"/>
                <w:b w:val="0"/>
                <w:sz w:val="17"/>
              </w:rPr>
              <w:t>0.3105</w:t>
            </w:r>
          </w:p>
        </w:tc>
      </w:tr>
      <w:tr>
        <w:tc>
          <w:tcPr>
            <w:tcW w:type="dxa" w:w="1008"/>
          </w:tcPr>
          <w:p>
            <w:pPr>
              <w:jc w:val="center"/>
            </w:pPr>
            <w:r/>
            <w:r>
              <w:rPr>
                <w:rFonts w:ascii="Times New Roman" w:hAnsi="Times New Roman" w:eastAsia="宋体"/>
                <w:b w:val="0"/>
                <w:sz w:val="17"/>
              </w:rPr>
              <w:t>global_mean</w:t>
            </w:r>
          </w:p>
        </w:tc>
        <w:tc>
          <w:tcPr>
            <w:tcW w:type="dxa" w:w="1008"/>
          </w:tcPr>
          <w:p>
            <w:pPr>
              <w:jc w:val="center"/>
            </w:pPr>
            <w:r/>
            <w:r>
              <w:rPr>
                <w:rFonts w:ascii="Times New Roman" w:hAnsi="Times New Roman" w:eastAsia="宋体"/>
                <w:b w:val="0"/>
                <w:sz w:val="17"/>
              </w:rPr>
              <w:t>0.5762</w:t>
            </w:r>
          </w:p>
        </w:tc>
        <w:tc>
          <w:tcPr>
            <w:tcW w:type="dxa" w:w="1008"/>
          </w:tcPr>
          <w:p>
            <w:pPr>
              <w:jc w:val="center"/>
            </w:pPr>
            <w:r/>
            <w:r>
              <w:rPr>
                <w:rFonts w:ascii="Times New Roman" w:hAnsi="Times New Roman" w:eastAsia="宋体"/>
                <w:b w:val="0"/>
                <w:sz w:val="17"/>
              </w:rPr>
              <w:t>0.4205</w:t>
            </w:r>
          </w:p>
        </w:tc>
        <w:tc>
          <w:tcPr>
            <w:tcW w:type="dxa" w:w="1008"/>
          </w:tcPr>
          <w:p>
            <w:pPr>
              <w:jc w:val="center"/>
            </w:pPr>
            <w:r/>
            <w:r>
              <w:rPr>
                <w:rFonts w:ascii="Times New Roman" w:hAnsi="Times New Roman" w:eastAsia="宋体"/>
                <w:b w:val="0"/>
                <w:sz w:val="17"/>
              </w:rPr>
              <w:t>-0.0066</w:t>
            </w:r>
          </w:p>
        </w:tc>
        <w:tc>
          <w:tcPr>
            <w:tcW w:type="dxa" w:w="1008"/>
          </w:tcPr>
          <w:p>
            <w:pPr>
              <w:jc w:val="center"/>
            </w:pPr>
            <w:r/>
            <w:r>
              <w:rPr>
                <w:rFonts w:ascii="Times New Roman" w:hAnsi="Times New Roman" w:eastAsia="宋体"/>
                <w:b w:val="0"/>
                <w:sz w:val="17"/>
              </w:rPr>
              <w:t>—</w:t>
            </w:r>
          </w:p>
        </w:tc>
        <w:tc>
          <w:tcPr>
            <w:tcW w:type="dxa" w:w="1008"/>
          </w:tcPr>
          <w:p>
            <w:pPr>
              <w:jc w:val="center"/>
            </w:pPr>
            <w:r/>
            <w:r>
              <w:rPr>
                <w:rFonts w:ascii="Times New Roman" w:hAnsi="Times New Roman" w:eastAsia="宋体"/>
                <w:b w:val="0"/>
                <w:sz w:val="17"/>
              </w:rPr>
              <w:t>1.8792</w:t>
            </w:r>
          </w:p>
        </w:tc>
        <w:tc>
          <w:tcPr>
            <w:tcW w:type="dxa" w:w="1008"/>
          </w:tcPr>
          <w:p>
            <w:pPr>
              <w:jc w:val="center"/>
            </w:pPr>
            <w:r/>
            <w:r>
              <w:rPr>
                <w:rFonts w:ascii="Times New Roman" w:hAnsi="Times New Roman" w:eastAsia="宋体"/>
                <w:b w:val="0"/>
                <w:sz w:val="17"/>
              </w:rPr>
              <w:t>0.1547</w:t>
            </w:r>
          </w:p>
        </w:tc>
        <w:tc>
          <w:tcPr>
            <w:tcW w:type="dxa" w:w="1008"/>
          </w:tcPr>
          <w:p>
            <w:pPr>
              <w:jc w:val="center"/>
            </w:pPr>
            <w:r/>
            <w:r>
              <w:rPr>
                <w:rFonts w:ascii="Times New Roman" w:hAnsi="Times New Roman" w:eastAsia="宋体"/>
                <w:b w:val="0"/>
                <w:sz w:val="17"/>
              </w:rPr>
              <w:t>0.4280</w:t>
            </w:r>
          </w:p>
        </w:tc>
        <w:tc>
          <w:tcPr>
            <w:tcW w:type="dxa" w:w="1008"/>
          </w:tcPr>
          <w:p>
            <w:pPr>
              <w:jc w:val="center"/>
            </w:pPr>
            <w:r/>
            <w:r>
              <w:rPr>
                <w:rFonts w:ascii="Times New Roman" w:hAnsi="Times New Roman" w:eastAsia="宋体"/>
                <w:b w:val="0"/>
                <w:sz w:val="17"/>
              </w:rPr>
              <w:t>0.0000</w:t>
            </w:r>
          </w:p>
        </w:tc>
      </w:tr>
    </w:tbl>
    <w:p>
      <w:pPr>
        <w:spacing w:before="40" w:after="160"/>
        <w:jc w:val="center"/>
      </w:pPr>
      <w:r>
        <w:rPr>
          <w:rFonts w:ascii="Times New Roman" w:hAnsi="Times New Roman" w:eastAsia="宋体"/>
          <w:b w:val="0"/>
          <w:sz w:val="18"/>
        </w:rPr>
        <w:t>表 3  各模型在留出集上的连续指标与相对分级指标（seed=0，175/75 分层切分）</w:t>
      </w:r>
    </w:p>
    <w:p>
      <w:pPr>
        <w:spacing w:after="80" w:line="324" w:lineRule="auto"/>
        <w:ind w:firstLine="420"/>
      </w:pPr>
      <w:r>
        <w:rPr>
          <w:rFonts w:ascii="Times New Roman" w:hAnsi="Times New Roman" w:eastAsia="宋体"/>
          <w:b w:val="0"/>
          <w:sz w:val="21"/>
        </w:rPr>
        <w:t>以全局均值为基线（宏平均 RMSE = 0.5762），最优模型的宏平均 RMSE 为 0.4880，相对基线改善约 15.3%。各模型头部的宏平均 RMSE 差距在 0.001 量级，经自助重采样比较其置信区间明显重叠，因此本文不以单点指标断言模型优劣，而是并列表述并以自助重采样区间说明。</w:t>
      </w:r>
    </w:p>
    <w:p>
      <w:pPr>
        <w:spacing w:after="80" w:line="324" w:lineRule="auto"/>
        <w:ind w:firstLine="420"/>
      </w:pPr>
      <w:r>
        <w:rPr>
          <w:rFonts w:ascii="Times New Roman" w:hAnsi="Times New Roman" w:eastAsia="宋体"/>
          <w:b w:val="0"/>
          <w:sz w:val="21"/>
        </w:rPr>
        <w:t>最终交付的 0–6 分制分级评分表覆盖 250 款啤酒 × 50 个感官维度，主轨给出相对分级，副轨对具备化学载体的维度给出阈值锚定的绝对分；表中等级均落在 0 至 6 区间内且无缺失。</w:t>
      </w:r>
    </w:p>
    <w:p>
      <w:pPr>
        <w:spacing w:after="80" w:line="324" w:lineRule="auto"/>
        <w:ind w:firstLine="420"/>
      </w:pPr>
      <w:r>
        <w:rPr>
          <w:rFonts w:ascii="Times New Roman" w:hAnsi="Times New Roman" w:eastAsia="宋体"/>
          <w:b w:val="0"/>
          <w:sz w:val="21"/>
        </w:rPr>
        <w:t>阈值锚定共考察 11 个具备明确化学载体的维度，经上述五条护栏后有 3 个维度成立（bitternes、alcohol、co2），锚定后落在 0–6 区间内的比例中位数为 0.891；其余 8 个维度因载体无感知阈值、载体与感官维度相关性不足或方向相反、或锚点区间退化而判定不成立，其绝对分留空、仅提供相对分级，失效原因在参数表中逐条记录。这一结果本身说明：在本数据集上，化学信号与感官评分的联系只在少数维度上足以支撑绝对标定。需要再次强调，该轨是本文提出的一阶近似而非实测原分。</w:t>
      </w:r>
    </w:p>
    <w:p>
      <w:pPr>
        <w:spacing w:before="80"/>
        <w:jc w:val="center"/>
      </w:pPr>
      <w:r>
        <w:drawing>
          <wp:inline xmlns:a="http://schemas.openxmlformats.org/drawingml/2006/main" xmlns:pic="http://schemas.openxmlformats.org/drawingml/2006/picture">
            <wp:extent cx="4206240" cy="2856054"/>
            <wp:docPr id="2" name="Picture 2"/>
            <wp:cNvGraphicFramePr>
              <a:graphicFrameLocks noChangeAspect="1"/>
            </wp:cNvGraphicFramePr>
            <a:graphic>
              <a:graphicData uri="http://schemas.openxmlformats.org/drawingml/2006/picture">
                <pic:pic>
                  <pic:nvPicPr>
                    <pic:cNvPr id="0" name="01_model_comparison_bootstrap_ci.png"/>
                    <pic:cNvPicPr/>
                  </pic:nvPicPr>
                  <pic:blipFill>
                    <a:blip r:embed="rId10"/>
                    <a:stretch>
                      <a:fillRect/>
                    </a:stretch>
                  </pic:blipFill>
                  <pic:spPr>
                    <a:xfrm>
                      <a:off x="0" y="0"/>
                      <a:ext cx="4206240" cy="2856054"/>
                    </a:xfrm>
                    <a:prstGeom prst="rect"/>
                  </pic:spPr>
                </pic:pic>
              </a:graphicData>
            </a:graphic>
          </wp:inline>
        </w:drawing>
      </w:r>
    </w:p>
    <w:p>
      <w:pPr>
        <w:spacing w:before="40" w:after="160"/>
        <w:jc w:val="center"/>
      </w:pPr>
      <w:r>
        <w:rPr>
          <w:rFonts w:ascii="Times New Roman" w:hAnsi="Times New Roman" w:eastAsia="宋体"/>
          <w:b w:val="0"/>
          <w:sz w:val="18"/>
        </w:rPr>
        <w:t>图 1  模型对比。留出集 Macro-RMSE 与 2000 次配对 bootstrap 的 95% 置信区间（区间重叠即不可宣称某模型显著更优），竖虚线为全局均值基线。</w:t>
      </w:r>
    </w:p>
    <w:p>
      <w:pPr>
        <w:spacing w:before="80"/>
        <w:jc w:val="center"/>
      </w:pPr>
      <w:r>
        <w:drawing>
          <wp:inline xmlns:a="http://schemas.openxmlformats.org/drawingml/2006/main" xmlns:pic="http://schemas.openxmlformats.org/drawingml/2006/picture">
            <wp:extent cx="4206240" cy="7602934"/>
            <wp:docPr id="3" name="Picture 3"/>
            <wp:cNvGraphicFramePr>
              <a:graphicFrameLocks noChangeAspect="1"/>
            </wp:cNvGraphicFramePr>
            <a:graphic>
              <a:graphicData uri="http://schemas.openxmlformats.org/drawingml/2006/picture">
                <pic:pic>
                  <pic:nvPicPr>
                    <pic:cNvPr id="0" name="02_dimension_predictability_facets.png"/>
                    <pic:cNvPicPr/>
                  </pic:nvPicPr>
                  <pic:blipFill>
                    <a:blip r:embed="rId11"/>
                    <a:stretch>
                      <a:fillRect/>
                    </a:stretch>
                  </pic:blipFill>
                  <pic:spPr>
                    <a:xfrm>
                      <a:off x="0" y="0"/>
                      <a:ext cx="4206240" cy="7602934"/>
                    </a:xfrm>
                    <a:prstGeom prst="rect"/>
                  </pic:spPr>
                </pic:pic>
              </a:graphicData>
            </a:graphic>
          </wp:inline>
        </w:drawing>
      </w:r>
    </w:p>
    <w:p>
      <w:pPr>
        <w:spacing w:before="40" w:after="160"/>
        <w:jc w:val="center"/>
      </w:pPr>
      <w:r>
        <w:rPr>
          <w:rFonts w:ascii="Times New Roman" w:hAnsi="Times New Roman" w:eastAsia="宋体"/>
          <w:b w:val="0"/>
          <w:sz w:val="18"/>
        </w:rPr>
        <w:t>图 2  逐维可预测性。留出集 75 个样本，按香气 / 滋味 / 口感 / 缺陷·特殊 / 总体五个报告族分面；柱为测试集 Spearman，点为 R²，竖直零线为无相关基准。</w:t>
      </w:r>
    </w:p>
    <w:p>
      <w:pPr>
        <w:spacing w:before="80"/>
        <w:jc w:val="center"/>
      </w:pPr>
      <w:r>
        <w:drawing>
          <wp:inline xmlns:a="http://schemas.openxmlformats.org/drawingml/2006/main" xmlns:pic="http://schemas.openxmlformats.org/drawingml/2006/picture">
            <wp:extent cx="4206240" cy="2845564"/>
            <wp:docPr id="4" name="Picture 4"/>
            <wp:cNvGraphicFramePr>
              <a:graphicFrameLocks noChangeAspect="1"/>
            </wp:cNvGraphicFramePr>
            <a:graphic>
              <a:graphicData uri="http://schemas.openxmlformats.org/drawingml/2006/picture">
                <pic:pic>
                  <pic:nvPicPr>
                    <pic:cNvPr id="0" name="03_two_track_grade_comparison.png"/>
                    <pic:cNvPicPr/>
                  </pic:nvPicPr>
                  <pic:blipFill>
                    <a:blip r:embed="rId12"/>
                    <a:stretch>
                      <a:fillRect/>
                    </a:stretch>
                  </pic:blipFill>
                  <pic:spPr>
                    <a:xfrm>
                      <a:off x="0" y="0"/>
                      <a:ext cx="4206240" cy="2845564"/>
                    </a:xfrm>
                    <a:prstGeom prst="rect"/>
                  </pic:spPr>
                </pic:pic>
              </a:graphicData>
            </a:graphic>
          </wp:inline>
        </w:drawing>
      </w:r>
    </w:p>
    <w:p>
      <w:pPr>
        <w:spacing w:before="40" w:after="160"/>
        <w:jc w:val="center"/>
      </w:pPr>
      <w:r>
        <w:rPr>
          <w:rFonts w:ascii="Times New Roman" w:hAnsi="Times New Roman" w:eastAsia="宋体"/>
          <w:b w:val="0"/>
          <w:sz w:val="18"/>
        </w:rPr>
        <w:t>图 3  两轨分级对照。左为代理分级 0–6 级的混淆矩阵（行=观测等级、列=预测等级），右为主轨等级 MAE 与副轨绝对分 MAE 的逐维对照（仅统计通过有效性护栏的维度）。</w:t>
      </w:r>
    </w:p>
    <w:p>
      <w:pPr>
        <w:spacing w:before="140" w:after="80" w:line="312" w:lineRule="auto"/>
        <w:jc w:val="left"/>
      </w:pPr>
      <w:r>
        <w:rPr>
          <w:rFonts w:ascii="Times New Roman" w:hAnsi="Times New Roman" w:eastAsia="黑体"/>
          <w:b/>
          <w:sz w:val="26"/>
        </w:rPr>
        <w:t>5.2 消费者感知路径与市场价值</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eastAsia="黑体"/>
                <w:b/>
                <w:sz w:val="17"/>
              </w:rPr>
              <w:t>模型</w:t>
            </w:r>
          </w:p>
        </w:tc>
        <w:tc>
          <w:tcPr>
            <w:tcW w:type="dxa" w:w="1814"/>
          </w:tcPr>
          <w:p>
            <w:pPr>
              <w:jc w:val="center"/>
            </w:pPr>
            <w:r/>
            <w:r>
              <w:rPr>
                <w:rFonts w:ascii="Times New Roman" w:hAnsi="Times New Roman" w:eastAsia="黑体"/>
                <w:b/>
                <w:sz w:val="17"/>
              </w:rPr>
              <w:t>宏平均 RMSE</w:t>
            </w:r>
          </w:p>
        </w:tc>
        <w:tc>
          <w:tcPr>
            <w:tcW w:type="dxa" w:w="1814"/>
          </w:tcPr>
          <w:p>
            <w:pPr>
              <w:jc w:val="center"/>
            </w:pPr>
            <w:r/>
            <w:r>
              <w:rPr>
                <w:rFonts w:ascii="Times New Roman" w:hAnsi="Times New Roman" w:eastAsia="黑体"/>
                <w:b/>
                <w:sz w:val="17"/>
              </w:rPr>
              <w:t>宏平均 MAE</w:t>
            </w:r>
          </w:p>
        </w:tc>
        <w:tc>
          <w:tcPr>
            <w:tcW w:type="dxa" w:w="1814"/>
          </w:tcPr>
          <w:p>
            <w:pPr>
              <w:jc w:val="center"/>
            </w:pPr>
            <w:r/>
            <w:r>
              <w:rPr>
                <w:rFonts w:ascii="Times New Roman" w:hAnsi="Times New Roman" w:eastAsia="黑体"/>
                <w:b/>
                <w:sz w:val="17"/>
              </w:rPr>
              <w:t>逐维 R² 中位数</w:t>
            </w:r>
          </w:p>
        </w:tc>
        <w:tc>
          <w:tcPr>
            <w:tcW w:type="dxa" w:w="1814"/>
          </w:tcPr>
          <w:p>
            <w:pPr>
              <w:jc w:val="center"/>
            </w:pPr>
            <w:r/>
            <w:r>
              <w:rPr>
                <w:rFonts w:ascii="Times New Roman" w:hAnsi="Times New Roman" w:eastAsia="黑体"/>
                <w:b/>
                <w:sz w:val="17"/>
              </w:rPr>
              <w:t>ρ 中位数</w:t>
            </w:r>
          </w:p>
        </w:tc>
      </w:tr>
      <w:tr>
        <w:tc>
          <w:tcPr>
            <w:tcW w:type="dxa" w:w="1814"/>
          </w:tcPr>
          <w:p>
            <w:pPr>
              <w:jc w:val="center"/>
            </w:pPr>
            <w:r/>
            <w:r>
              <w:rPr>
                <w:rFonts w:ascii="Times New Roman" w:hAnsi="Times New Roman" w:eastAsia="宋体"/>
                <w:b w:val="0"/>
                <w:sz w:val="17"/>
              </w:rPr>
              <w:t>global_mean</w:t>
            </w:r>
          </w:p>
        </w:tc>
        <w:tc>
          <w:tcPr>
            <w:tcW w:type="dxa" w:w="1814"/>
          </w:tcPr>
          <w:p>
            <w:pPr>
              <w:jc w:val="center"/>
            </w:pPr>
            <w:r/>
            <w:r>
              <w:rPr>
                <w:rFonts w:ascii="Times New Roman" w:hAnsi="Times New Roman" w:eastAsia="宋体"/>
                <w:b w:val="0"/>
                <w:sz w:val="17"/>
              </w:rPr>
              <w:t>0.8904</w:t>
            </w:r>
          </w:p>
        </w:tc>
        <w:tc>
          <w:tcPr>
            <w:tcW w:type="dxa" w:w="1814"/>
          </w:tcPr>
          <w:p>
            <w:pPr>
              <w:jc w:val="center"/>
            </w:pPr>
            <w:r/>
            <w:r>
              <w:rPr>
                <w:rFonts w:ascii="Times New Roman" w:hAnsi="Times New Roman" w:eastAsia="宋体"/>
                <w:b w:val="0"/>
                <w:sz w:val="17"/>
              </w:rPr>
              <w:t>0.5416</w:t>
            </w:r>
          </w:p>
        </w:tc>
        <w:tc>
          <w:tcPr>
            <w:tcW w:type="dxa" w:w="1814"/>
          </w:tcPr>
          <w:p>
            <w:pPr>
              <w:jc w:val="center"/>
            </w:pPr>
            <w:r/>
            <w:r>
              <w:rPr>
                <w:rFonts w:ascii="Times New Roman" w:hAnsi="Times New Roman" w:eastAsia="宋体"/>
                <w:b w:val="0"/>
                <w:sz w:val="17"/>
              </w:rPr>
              <w:t>-0.0087</w:t>
            </w:r>
          </w:p>
        </w:tc>
        <w:tc>
          <w:tcPr>
            <w:tcW w:type="dxa" w:w="1814"/>
          </w:tcPr>
          <w:p>
            <w:pPr>
              <w:jc w:val="center"/>
            </w:pPr>
            <w:r/>
            <w:r>
              <w:rPr>
                <w:rFonts w:ascii="Times New Roman" w:hAnsi="Times New Roman" w:eastAsia="宋体"/>
                <w:b w:val="0"/>
                <w:sz w:val="17"/>
              </w:rPr>
              <w:t>—</w:t>
            </w:r>
          </w:p>
        </w:tc>
      </w:tr>
      <w:tr>
        <w:tc>
          <w:tcPr>
            <w:tcW w:type="dxa" w:w="1814"/>
          </w:tcPr>
          <w:p>
            <w:pPr>
              <w:jc w:val="center"/>
            </w:pPr>
            <w:r/>
            <w:r>
              <w:rPr>
                <w:rFonts w:ascii="Times New Roman" w:hAnsi="Times New Roman" w:eastAsia="宋体"/>
                <w:b w:val="0"/>
                <w:sz w:val="17"/>
              </w:rPr>
              <w:t>ridge</w:t>
            </w:r>
          </w:p>
        </w:tc>
        <w:tc>
          <w:tcPr>
            <w:tcW w:type="dxa" w:w="1814"/>
          </w:tcPr>
          <w:p>
            <w:pPr>
              <w:jc w:val="center"/>
            </w:pPr>
            <w:r/>
            <w:r>
              <w:rPr>
                <w:rFonts w:ascii="Times New Roman" w:hAnsi="Times New Roman" w:eastAsia="宋体"/>
                <w:b w:val="0"/>
                <w:sz w:val="17"/>
              </w:rPr>
              <w:t>0.8171</w:t>
            </w:r>
          </w:p>
        </w:tc>
        <w:tc>
          <w:tcPr>
            <w:tcW w:type="dxa" w:w="1814"/>
          </w:tcPr>
          <w:p>
            <w:pPr>
              <w:jc w:val="center"/>
            </w:pPr>
            <w:r/>
            <w:r>
              <w:rPr>
                <w:rFonts w:ascii="Times New Roman" w:hAnsi="Times New Roman" w:eastAsia="宋体"/>
                <w:b w:val="0"/>
                <w:sz w:val="17"/>
              </w:rPr>
              <w:t>0.4811</w:t>
            </w:r>
          </w:p>
        </w:tc>
        <w:tc>
          <w:tcPr>
            <w:tcW w:type="dxa" w:w="1814"/>
          </w:tcPr>
          <w:p>
            <w:pPr>
              <w:jc w:val="center"/>
            </w:pPr>
            <w:r/>
            <w:r>
              <w:rPr>
                <w:rFonts w:ascii="Times New Roman" w:hAnsi="Times New Roman" w:eastAsia="宋体"/>
                <w:b w:val="0"/>
                <w:sz w:val="17"/>
              </w:rPr>
              <w:t>0.0856</w:t>
            </w:r>
          </w:p>
        </w:tc>
        <w:tc>
          <w:tcPr>
            <w:tcW w:type="dxa" w:w="1814"/>
          </w:tcPr>
          <w:p>
            <w:pPr>
              <w:jc w:val="center"/>
            </w:pPr>
            <w:r/>
            <w:r>
              <w:rPr>
                <w:rFonts w:ascii="Times New Roman" w:hAnsi="Times New Roman" w:eastAsia="宋体"/>
                <w:b w:val="0"/>
                <w:sz w:val="17"/>
              </w:rPr>
              <w:t>0.3095</w:t>
            </w:r>
          </w:p>
        </w:tc>
      </w:tr>
      <w:tr>
        <w:tc>
          <w:tcPr>
            <w:tcW w:type="dxa" w:w="1814"/>
          </w:tcPr>
          <w:p>
            <w:pPr>
              <w:jc w:val="center"/>
            </w:pPr>
            <w:r/>
            <w:r>
              <w:rPr>
                <w:rFonts w:ascii="Times New Roman" w:hAnsi="Times New Roman" w:eastAsia="宋体"/>
                <w:b w:val="0"/>
                <w:sz w:val="17"/>
              </w:rPr>
              <w:t>pls2</w:t>
            </w:r>
          </w:p>
        </w:tc>
        <w:tc>
          <w:tcPr>
            <w:tcW w:type="dxa" w:w="1814"/>
          </w:tcPr>
          <w:p>
            <w:pPr>
              <w:jc w:val="center"/>
            </w:pPr>
            <w:r/>
            <w:r>
              <w:rPr>
                <w:rFonts w:ascii="Times New Roman" w:hAnsi="Times New Roman" w:eastAsia="宋体"/>
                <w:b w:val="0"/>
                <w:sz w:val="17"/>
              </w:rPr>
              <w:t>0.8245</w:t>
            </w:r>
          </w:p>
        </w:tc>
        <w:tc>
          <w:tcPr>
            <w:tcW w:type="dxa" w:w="1814"/>
          </w:tcPr>
          <w:p>
            <w:pPr>
              <w:jc w:val="center"/>
            </w:pPr>
            <w:r/>
            <w:r>
              <w:rPr>
                <w:rFonts w:ascii="Times New Roman" w:hAnsi="Times New Roman" w:eastAsia="宋体"/>
                <w:b w:val="0"/>
                <w:sz w:val="17"/>
              </w:rPr>
              <w:t>0.4953</w:t>
            </w:r>
          </w:p>
        </w:tc>
        <w:tc>
          <w:tcPr>
            <w:tcW w:type="dxa" w:w="1814"/>
          </w:tcPr>
          <w:p>
            <w:pPr>
              <w:jc w:val="center"/>
            </w:pPr>
            <w:r/>
            <w:r>
              <w:rPr>
                <w:rFonts w:ascii="Times New Roman" w:hAnsi="Times New Roman" w:eastAsia="宋体"/>
                <w:b w:val="0"/>
                <w:sz w:val="17"/>
              </w:rPr>
              <w:t>0.0789</w:t>
            </w:r>
          </w:p>
        </w:tc>
        <w:tc>
          <w:tcPr>
            <w:tcW w:type="dxa" w:w="1814"/>
          </w:tcPr>
          <w:p>
            <w:pPr>
              <w:jc w:val="center"/>
            </w:pPr>
            <w:r/>
            <w:r>
              <w:rPr>
                <w:rFonts w:ascii="Times New Roman" w:hAnsi="Times New Roman" w:eastAsia="宋体"/>
                <w:b w:val="0"/>
                <w:sz w:val="17"/>
              </w:rPr>
              <w:t>0.3400</w:t>
            </w:r>
          </w:p>
        </w:tc>
      </w:tr>
      <w:tr>
        <w:tc>
          <w:tcPr>
            <w:tcW w:type="dxa" w:w="1814"/>
          </w:tcPr>
          <w:p>
            <w:pPr>
              <w:jc w:val="center"/>
            </w:pPr>
            <w:r/>
            <w:r>
              <w:rPr>
                <w:rFonts w:ascii="Times New Roman" w:hAnsi="Times New Roman" w:eastAsia="宋体"/>
                <w:b w:val="0"/>
                <w:sz w:val="17"/>
              </w:rPr>
              <w:t>global_extra_trees</w:t>
            </w:r>
          </w:p>
        </w:tc>
        <w:tc>
          <w:tcPr>
            <w:tcW w:type="dxa" w:w="1814"/>
          </w:tcPr>
          <w:p>
            <w:pPr>
              <w:jc w:val="center"/>
            </w:pPr>
            <w:r/>
            <w:r>
              <w:rPr>
                <w:rFonts w:ascii="Times New Roman" w:hAnsi="Times New Roman" w:eastAsia="宋体"/>
                <w:b w:val="0"/>
                <w:sz w:val="17"/>
              </w:rPr>
              <w:t>0.7737</w:t>
            </w:r>
          </w:p>
        </w:tc>
        <w:tc>
          <w:tcPr>
            <w:tcW w:type="dxa" w:w="1814"/>
          </w:tcPr>
          <w:p>
            <w:pPr>
              <w:jc w:val="center"/>
            </w:pPr>
            <w:r/>
            <w:r>
              <w:rPr>
                <w:rFonts w:ascii="Times New Roman" w:hAnsi="Times New Roman" w:eastAsia="宋体"/>
                <w:b w:val="0"/>
                <w:sz w:val="17"/>
              </w:rPr>
              <w:t>0.4341</w:t>
            </w:r>
          </w:p>
        </w:tc>
        <w:tc>
          <w:tcPr>
            <w:tcW w:type="dxa" w:w="1814"/>
          </w:tcPr>
          <w:p>
            <w:pPr>
              <w:jc w:val="center"/>
            </w:pPr>
            <w:r/>
            <w:r>
              <w:rPr>
                <w:rFonts w:ascii="Times New Roman" w:hAnsi="Times New Roman" w:eastAsia="宋体"/>
                <w:b w:val="0"/>
                <w:sz w:val="17"/>
              </w:rPr>
              <w:t>0.1742</w:t>
            </w:r>
          </w:p>
        </w:tc>
        <w:tc>
          <w:tcPr>
            <w:tcW w:type="dxa" w:w="1814"/>
          </w:tcPr>
          <w:p>
            <w:pPr>
              <w:jc w:val="center"/>
            </w:pPr>
            <w:r/>
            <w:r>
              <w:rPr>
                <w:rFonts w:ascii="Times New Roman" w:hAnsi="Times New Roman" w:eastAsia="宋体"/>
                <w:b w:val="0"/>
                <w:sz w:val="17"/>
              </w:rPr>
              <w:t>0.3891</w:t>
            </w:r>
          </w:p>
        </w:tc>
      </w:tr>
      <w:tr>
        <w:tc>
          <w:tcPr>
            <w:tcW w:type="dxa" w:w="1814"/>
          </w:tcPr>
          <w:p>
            <w:pPr>
              <w:jc w:val="center"/>
            </w:pPr>
            <w:r/>
            <w:r>
              <w:rPr>
                <w:rFonts w:ascii="Times New Roman" w:hAnsi="Times New Roman" w:eastAsia="宋体"/>
                <w:b w:val="0"/>
                <w:sz w:val="17"/>
              </w:rPr>
              <w:t>independent_gbr</w:t>
            </w:r>
          </w:p>
        </w:tc>
        <w:tc>
          <w:tcPr>
            <w:tcW w:type="dxa" w:w="1814"/>
          </w:tcPr>
          <w:p>
            <w:pPr>
              <w:jc w:val="center"/>
            </w:pPr>
            <w:r/>
            <w:r>
              <w:rPr>
                <w:rFonts w:ascii="Times New Roman" w:hAnsi="Times New Roman" w:eastAsia="宋体"/>
                <w:b w:val="0"/>
                <w:sz w:val="17"/>
              </w:rPr>
              <w:t>0.8027</w:t>
            </w:r>
          </w:p>
        </w:tc>
        <w:tc>
          <w:tcPr>
            <w:tcW w:type="dxa" w:w="1814"/>
          </w:tcPr>
          <w:p>
            <w:pPr>
              <w:jc w:val="center"/>
            </w:pPr>
            <w:r/>
            <w:r>
              <w:rPr>
                <w:rFonts w:ascii="Times New Roman" w:hAnsi="Times New Roman" w:eastAsia="宋体"/>
                <w:b w:val="0"/>
                <w:sz w:val="17"/>
              </w:rPr>
              <w:t>0.4614</w:t>
            </w:r>
          </w:p>
        </w:tc>
        <w:tc>
          <w:tcPr>
            <w:tcW w:type="dxa" w:w="1814"/>
          </w:tcPr>
          <w:p>
            <w:pPr>
              <w:jc w:val="center"/>
            </w:pPr>
            <w:r/>
            <w:r>
              <w:rPr>
                <w:rFonts w:ascii="Times New Roman" w:hAnsi="Times New Roman" w:eastAsia="宋体"/>
                <w:b w:val="0"/>
                <w:sz w:val="17"/>
              </w:rPr>
              <w:t>0.0953</w:t>
            </w:r>
          </w:p>
        </w:tc>
        <w:tc>
          <w:tcPr>
            <w:tcW w:type="dxa" w:w="1814"/>
          </w:tcPr>
          <w:p>
            <w:pPr>
              <w:jc w:val="center"/>
            </w:pPr>
            <w:r/>
            <w:r>
              <w:rPr>
                <w:rFonts w:ascii="Times New Roman" w:hAnsi="Times New Roman" w:eastAsia="宋体"/>
                <w:b w:val="0"/>
                <w:sz w:val="17"/>
              </w:rPr>
              <w:t>0.3121</w:t>
            </w:r>
          </w:p>
        </w:tc>
      </w:tr>
    </w:tbl>
    <w:p>
      <w:pPr>
        <w:spacing w:before="40" w:after="160"/>
        <w:jc w:val="center"/>
      </w:pPr>
      <w:r>
        <w:rPr>
          <w:rFonts w:ascii="Times New Roman" w:hAnsi="Times New Roman" w:eastAsia="宋体"/>
          <w:b w:val="0"/>
          <w:sz w:val="18"/>
        </w:rPr>
        <w:t>表 4  化学→183 维消费者描述符的建模结果（留出集宏平均指标）</w:t>
      </w:r>
    </w:p>
    <w:p>
      <w:pPr>
        <w:spacing w:after="80" w:line="324" w:lineRule="auto"/>
        <w:ind w:firstLine="420"/>
      </w:pPr>
      <w:r>
        <w:rPr>
          <w:rFonts w:ascii="Times New Roman" w:hAnsi="Times New Roman" w:eastAsia="宋体"/>
          <w:b w:val="0"/>
          <w:sz w:val="21"/>
        </w:rPr>
        <w:t>以全局均值为基线（宏平均 RMSE = 0.8904），最优模型为 global_extra_trees（宏平均 RMSE = 0.7737，宏平均 MAE = 0.4341，逐维 R² 中位数 = 0.1742，斯皮尔曼中位数 = 0.3891），相对基线改善约 13.1%。该结果说明化学谱对消费者描述符具有可测量的解释力，但解释力有限：它远不足以支持把多维描述符压缩为一个「喜爱度」总分。</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eastAsia="黑体"/>
                <w:b/>
                <w:sz w:val="16"/>
              </w:rPr>
              <w:t>panel_dim</w:t>
            </w:r>
          </w:p>
        </w:tc>
        <w:tc>
          <w:tcPr>
            <w:tcW w:type="dxa" w:w="1814"/>
          </w:tcPr>
          <w:p>
            <w:pPr>
              <w:jc w:val="center"/>
            </w:pPr>
            <w:r/>
            <w:r>
              <w:rPr>
                <w:rFonts w:ascii="Times New Roman" w:hAnsi="Times New Roman" w:eastAsia="黑体"/>
                <w:b/>
                <w:sz w:val="16"/>
              </w:rPr>
              <w:t>consumer_desc</w:t>
            </w:r>
          </w:p>
        </w:tc>
        <w:tc>
          <w:tcPr>
            <w:tcW w:type="dxa" w:w="1814"/>
          </w:tcPr>
          <w:p>
            <w:pPr>
              <w:jc w:val="center"/>
            </w:pPr>
            <w:r/>
            <w:r>
              <w:rPr>
                <w:rFonts w:ascii="Times New Roman" w:hAnsi="Times New Roman" w:eastAsia="黑体"/>
                <w:b/>
                <w:sz w:val="16"/>
              </w:rPr>
              <w:t>rho_truth</w:t>
            </w:r>
          </w:p>
        </w:tc>
        <w:tc>
          <w:tcPr>
            <w:tcW w:type="dxa" w:w="1814"/>
          </w:tcPr>
          <w:p>
            <w:pPr>
              <w:jc w:val="center"/>
            </w:pPr>
            <w:r/>
            <w:r>
              <w:rPr>
                <w:rFonts w:ascii="Times New Roman" w:hAnsi="Times New Roman" w:eastAsia="黑体"/>
                <w:b/>
                <w:sz w:val="16"/>
              </w:rPr>
              <w:t>rho_pred</w:t>
            </w:r>
          </w:p>
        </w:tc>
        <w:tc>
          <w:tcPr>
            <w:tcW w:type="dxa" w:w="1814"/>
          </w:tcPr>
          <w:p>
            <w:pPr>
              <w:jc w:val="center"/>
            </w:pPr>
            <w:r/>
            <w:r>
              <w:rPr>
                <w:rFonts w:ascii="Times New Roman" w:hAnsi="Times New Roman" w:eastAsia="黑体"/>
                <w:b/>
                <w:sz w:val="16"/>
              </w:rPr>
              <w:t>delta</w:t>
            </w:r>
          </w:p>
        </w:tc>
      </w:tr>
      <w:tr>
        <w:tc>
          <w:tcPr>
            <w:tcW w:type="dxa" w:w="1814"/>
          </w:tcPr>
          <w:p>
            <w:pPr>
              <w:jc w:val="center"/>
            </w:pPr>
            <w:r/>
            <w:r>
              <w:rPr>
                <w:rFonts w:ascii="Times New Roman" w:hAnsi="Times New Roman" w:eastAsia="宋体"/>
                <w:b w:val="0"/>
                <w:sz w:val="16"/>
              </w:rPr>
              <w:t>A_hops_citrus</w:t>
            </w:r>
          </w:p>
        </w:tc>
        <w:tc>
          <w:tcPr>
            <w:tcW w:type="dxa" w:w="1814"/>
          </w:tcPr>
          <w:p>
            <w:pPr>
              <w:jc w:val="center"/>
            </w:pPr>
            <w:r/>
            <w:r>
              <w:rPr>
                <w:rFonts w:ascii="Times New Roman" w:hAnsi="Times New Roman" w:eastAsia="宋体"/>
                <w:b w:val="0"/>
                <w:sz w:val="16"/>
              </w:rPr>
              <w:t>aroma_citrus</w:t>
            </w:r>
          </w:p>
        </w:tc>
        <w:tc>
          <w:tcPr>
            <w:tcW w:type="dxa" w:w="1814"/>
          </w:tcPr>
          <w:p>
            <w:pPr>
              <w:jc w:val="center"/>
            </w:pPr>
            <w:r/>
            <w:r>
              <w:rPr>
                <w:rFonts w:ascii="Times New Roman" w:hAnsi="Times New Roman" w:eastAsia="宋体"/>
                <w:b w:val="0"/>
                <w:sz w:val="16"/>
              </w:rPr>
              <w:t>0.395</w:t>
            </w:r>
          </w:p>
        </w:tc>
        <w:tc>
          <w:tcPr>
            <w:tcW w:type="dxa" w:w="1814"/>
          </w:tcPr>
          <w:p>
            <w:pPr>
              <w:jc w:val="center"/>
            </w:pPr>
            <w:r/>
            <w:r>
              <w:rPr>
                <w:rFonts w:ascii="Times New Roman" w:hAnsi="Times New Roman" w:eastAsia="宋体"/>
                <w:b w:val="0"/>
                <w:sz w:val="16"/>
              </w:rPr>
              <w:t>0.708</w:t>
            </w:r>
          </w:p>
        </w:tc>
        <w:tc>
          <w:tcPr>
            <w:tcW w:type="dxa" w:w="1814"/>
          </w:tcPr>
          <w:p>
            <w:pPr>
              <w:jc w:val="center"/>
            </w:pPr>
            <w:r/>
            <w:r>
              <w:rPr>
                <w:rFonts w:ascii="Times New Roman" w:hAnsi="Times New Roman" w:eastAsia="宋体"/>
                <w:b w:val="0"/>
                <w:sz w:val="16"/>
              </w:rPr>
              <w:t>0.313</w:t>
            </w:r>
          </w:p>
        </w:tc>
      </w:tr>
      <w:tr>
        <w:tc>
          <w:tcPr>
            <w:tcW w:type="dxa" w:w="1814"/>
          </w:tcPr>
          <w:p>
            <w:pPr>
              <w:jc w:val="center"/>
            </w:pPr>
            <w:r/>
            <w:r>
              <w:rPr>
                <w:rFonts w:ascii="Times New Roman" w:hAnsi="Times New Roman" w:eastAsia="宋体"/>
                <w:b w:val="0"/>
                <w:sz w:val="16"/>
              </w:rPr>
              <w:t>A_hops_tropical</w:t>
            </w:r>
          </w:p>
        </w:tc>
        <w:tc>
          <w:tcPr>
            <w:tcW w:type="dxa" w:w="1814"/>
          </w:tcPr>
          <w:p>
            <w:pPr>
              <w:jc w:val="center"/>
            </w:pPr>
            <w:r/>
            <w:r>
              <w:rPr>
                <w:rFonts w:ascii="Times New Roman" w:hAnsi="Times New Roman" w:eastAsia="宋体"/>
                <w:b w:val="0"/>
                <w:sz w:val="16"/>
              </w:rPr>
              <w:t>aroma_tropical</w:t>
            </w:r>
          </w:p>
        </w:tc>
        <w:tc>
          <w:tcPr>
            <w:tcW w:type="dxa" w:w="1814"/>
          </w:tcPr>
          <w:p>
            <w:pPr>
              <w:jc w:val="center"/>
            </w:pPr>
            <w:r/>
            <w:r>
              <w:rPr>
                <w:rFonts w:ascii="Times New Roman" w:hAnsi="Times New Roman" w:eastAsia="宋体"/>
                <w:b w:val="0"/>
                <w:sz w:val="16"/>
              </w:rPr>
              <w:t>0.263</w:t>
            </w:r>
          </w:p>
        </w:tc>
        <w:tc>
          <w:tcPr>
            <w:tcW w:type="dxa" w:w="1814"/>
          </w:tcPr>
          <w:p>
            <w:pPr>
              <w:jc w:val="center"/>
            </w:pPr>
            <w:r/>
            <w:r>
              <w:rPr>
                <w:rFonts w:ascii="Times New Roman" w:hAnsi="Times New Roman" w:eastAsia="宋体"/>
                <w:b w:val="0"/>
                <w:sz w:val="16"/>
              </w:rPr>
              <w:t>0.740</w:t>
            </w:r>
          </w:p>
        </w:tc>
        <w:tc>
          <w:tcPr>
            <w:tcW w:type="dxa" w:w="1814"/>
          </w:tcPr>
          <w:p>
            <w:pPr>
              <w:jc w:val="center"/>
            </w:pPr>
            <w:r/>
            <w:r>
              <w:rPr>
                <w:rFonts w:ascii="Times New Roman" w:hAnsi="Times New Roman" w:eastAsia="宋体"/>
                <w:b w:val="0"/>
                <w:sz w:val="16"/>
              </w:rPr>
              <w:t>0.476</w:t>
            </w:r>
          </w:p>
        </w:tc>
      </w:tr>
      <w:tr>
        <w:tc>
          <w:tcPr>
            <w:tcW w:type="dxa" w:w="1814"/>
          </w:tcPr>
          <w:p>
            <w:pPr>
              <w:jc w:val="center"/>
            </w:pPr>
            <w:r/>
            <w:r>
              <w:rPr>
                <w:rFonts w:ascii="Times New Roman" w:hAnsi="Times New Roman" w:eastAsia="宋体"/>
                <w:b w:val="0"/>
                <w:sz w:val="16"/>
              </w:rPr>
              <w:t>A_hops_woody</w:t>
            </w:r>
          </w:p>
        </w:tc>
        <w:tc>
          <w:tcPr>
            <w:tcW w:type="dxa" w:w="1814"/>
          </w:tcPr>
          <w:p>
            <w:pPr>
              <w:jc w:val="center"/>
            </w:pPr>
            <w:r/>
            <w:r>
              <w:rPr>
                <w:rFonts w:ascii="Times New Roman" w:hAnsi="Times New Roman" w:eastAsia="宋体"/>
                <w:b w:val="0"/>
                <w:sz w:val="16"/>
              </w:rPr>
              <w:t>aroma_woody</w:t>
            </w:r>
          </w:p>
        </w:tc>
        <w:tc>
          <w:tcPr>
            <w:tcW w:type="dxa" w:w="1814"/>
          </w:tcPr>
          <w:p>
            <w:pPr>
              <w:jc w:val="center"/>
            </w:pPr>
            <w:r/>
            <w:r>
              <w:rPr>
                <w:rFonts w:ascii="Times New Roman" w:hAnsi="Times New Roman" w:eastAsia="宋体"/>
                <w:b w:val="0"/>
                <w:sz w:val="16"/>
              </w:rPr>
              <w:t>-0.001</w:t>
            </w:r>
          </w:p>
        </w:tc>
        <w:tc>
          <w:tcPr>
            <w:tcW w:type="dxa" w:w="1814"/>
          </w:tcPr>
          <w:p>
            <w:pPr>
              <w:jc w:val="center"/>
            </w:pPr>
            <w:r/>
            <w:r>
              <w:rPr>
                <w:rFonts w:ascii="Times New Roman" w:hAnsi="Times New Roman" w:eastAsia="宋体"/>
                <w:b w:val="0"/>
                <w:sz w:val="16"/>
              </w:rPr>
              <w:t>0.198</w:t>
            </w:r>
          </w:p>
        </w:tc>
        <w:tc>
          <w:tcPr>
            <w:tcW w:type="dxa" w:w="1814"/>
          </w:tcPr>
          <w:p>
            <w:pPr>
              <w:jc w:val="center"/>
            </w:pPr>
            <w:r/>
            <w:r>
              <w:rPr>
                <w:rFonts w:ascii="Times New Roman" w:hAnsi="Times New Roman" w:eastAsia="宋体"/>
                <w:b w:val="0"/>
                <w:sz w:val="16"/>
              </w:rPr>
              <w:t>0.199</w:t>
            </w:r>
          </w:p>
        </w:tc>
      </w:tr>
      <w:tr>
        <w:tc>
          <w:tcPr>
            <w:tcW w:type="dxa" w:w="1814"/>
          </w:tcPr>
          <w:p>
            <w:pPr>
              <w:jc w:val="center"/>
            </w:pPr>
            <w:r/>
            <w:r>
              <w:rPr>
                <w:rFonts w:ascii="Times New Roman" w:hAnsi="Times New Roman" w:eastAsia="宋体"/>
                <w:b w:val="0"/>
                <w:sz w:val="16"/>
              </w:rPr>
              <w:t>A_esters_fruity</w:t>
            </w:r>
          </w:p>
        </w:tc>
        <w:tc>
          <w:tcPr>
            <w:tcW w:type="dxa" w:w="1814"/>
          </w:tcPr>
          <w:p>
            <w:pPr>
              <w:jc w:val="center"/>
            </w:pPr>
            <w:r/>
            <w:r>
              <w:rPr>
                <w:rFonts w:ascii="Times New Roman" w:hAnsi="Times New Roman" w:eastAsia="宋体"/>
                <w:b w:val="0"/>
                <w:sz w:val="16"/>
              </w:rPr>
              <w:t>aroma_fruity</w:t>
            </w:r>
          </w:p>
        </w:tc>
        <w:tc>
          <w:tcPr>
            <w:tcW w:type="dxa" w:w="1814"/>
          </w:tcPr>
          <w:p>
            <w:pPr>
              <w:jc w:val="center"/>
            </w:pPr>
            <w:r/>
            <w:r>
              <w:rPr>
                <w:rFonts w:ascii="Times New Roman" w:hAnsi="Times New Roman" w:eastAsia="宋体"/>
                <w:b w:val="0"/>
                <w:sz w:val="16"/>
              </w:rPr>
              <w:t>-0.034</w:t>
            </w:r>
          </w:p>
        </w:tc>
        <w:tc>
          <w:tcPr>
            <w:tcW w:type="dxa" w:w="1814"/>
          </w:tcPr>
          <w:p>
            <w:pPr>
              <w:jc w:val="center"/>
            </w:pPr>
            <w:r/>
            <w:r>
              <w:rPr>
                <w:rFonts w:ascii="Times New Roman" w:hAnsi="Times New Roman" w:eastAsia="宋体"/>
                <w:b w:val="0"/>
                <w:sz w:val="16"/>
              </w:rPr>
              <w:t>-0.165</w:t>
            </w:r>
          </w:p>
        </w:tc>
        <w:tc>
          <w:tcPr>
            <w:tcW w:type="dxa" w:w="1814"/>
          </w:tcPr>
          <w:p>
            <w:pPr>
              <w:jc w:val="center"/>
            </w:pPr>
            <w:r/>
            <w:r>
              <w:rPr>
                <w:rFonts w:ascii="Times New Roman" w:hAnsi="Times New Roman" w:eastAsia="宋体"/>
                <w:b w:val="0"/>
                <w:sz w:val="16"/>
              </w:rPr>
              <w:t>-0.131</w:t>
            </w:r>
          </w:p>
        </w:tc>
      </w:tr>
      <w:tr>
        <w:tc>
          <w:tcPr>
            <w:tcW w:type="dxa" w:w="1814"/>
          </w:tcPr>
          <w:p>
            <w:pPr>
              <w:jc w:val="center"/>
            </w:pPr>
            <w:r/>
            <w:r>
              <w:rPr>
                <w:rFonts w:ascii="Times New Roman" w:hAnsi="Times New Roman" w:eastAsia="宋体"/>
                <w:b w:val="0"/>
                <w:sz w:val="16"/>
              </w:rPr>
              <w:t>A_esters_ethac</w:t>
            </w:r>
          </w:p>
        </w:tc>
        <w:tc>
          <w:tcPr>
            <w:tcW w:type="dxa" w:w="1814"/>
          </w:tcPr>
          <w:p>
            <w:pPr>
              <w:jc w:val="center"/>
            </w:pPr>
            <w:r/>
            <w:r>
              <w:rPr>
                <w:rFonts w:ascii="Times New Roman" w:hAnsi="Times New Roman" w:eastAsia="宋体"/>
                <w:b w:val="0"/>
                <w:sz w:val="16"/>
              </w:rPr>
              <w:t>aroma_acetate</w:t>
            </w:r>
          </w:p>
        </w:tc>
        <w:tc>
          <w:tcPr>
            <w:tcW w:type="dxa" w:w="1814"/>
          </w:tcPr>
          <w:p>
            <w:pPr>
              <w:jc w:val="center"/>
            </w:pPr>
            <w:r/>
            <w:r>
              <w:rPr>
                <w:rFonts w:ascii="Times New Roman" w:hAnsi="Times New Roman" w:eastAsia="宋体"/>
                <w:b w:val="0"/>
                <w:sz w:val="16"/>
              </w:rPr>
              <w:t>0.006</w:t>
            </w:r>
          </w:p>
        </w:tc>
        <w:tc>
          <w:tcPr>
            <w:tcW w:type="dxa" w:w="1814"/>
          </w:tcPr>
          <w:p>
            <w:pPr>
              <w:jc w:val="center"/>
            </w:pPr>
            <w:r/>
            <w:r>
              <w:rPr>
                <w:rFonts w:ascii="Times New Roman" w:hAnsi="Times New Roman" w:eastAsia="宋体"/>
                <w:b w:val="0"/>
                <w:sz w:val="16"/>
              </w:rPr>
              <w:t>-0.104</w:t>
            </w:r>
          </w:p>
        </w:tc>
        <w:tc>
          <w:tcPr>
            <w:tcW w:type="dxa" w:w="1814"/>
          </w:tcPr>
          <w:p>
            <w:pPr>
              <w:jc w:val="center"/>
            </w:pPr>
            <w:r/>
            <w:r>
              <w:rPr>
                <w:rFonts w:ascii="Times New Roman" w:hAnsi="Times New Roman" w:eastAsia="宋体"/>
                <w:b w:val="0"/>
                <w:sz w:val="16"/>
              </w:rPr>
              <w:t>-0.109</w:t>
            </w:r>
          </w:p>
        </w:tc>
      </w:tr>
      <w:tr>
        <w:tc>
          <w:tcPr>
            <w:tcW w:type="dxa" w:w="1814"/>
          </w:tcPr>
          <w:p>
            <w:pPr>
              <w:jc w:val="center"/>
            </w:pPr>
            <w:r/>
            <w:r>
              <w:rPr>
                <w:rFonts w:ascii="Times New Roman" w:hAnsi="Times New Roman" w:eastAsia="宋体"/>
                <w:b w:val="0"/>
                <w:sz w:val="16"/>
              </w:rPr>
              <w:t>A_esters_isoaa</w:t>
            </w:r>
          </w:p>
        </w:tc>
        <w:tc>
          <w:tcPr>
            <w:tcW w:type="dxa" w:w="1814"/>
          </w:tcPr>
          <w:p>
            <w:pPr>
              <w:jc w:val="center"/>
            </w:pPr>
            <w:r/>
            <w:r>
              <w:rPr>
                <w:rFonts w:ascii="Times New Roman" w:hAnsi="Times New Roman" w:eastAsia="宋体"/>
                <w:b w:val="0"/>
                <w:sz w:val="16"/>
              </w:rPr>
              <w:t>aroma_banana</w:t>
            </w:r>
          </w:p>
        </w:tc>
        <w:tc>
          <w:tcPr>
            <w:tcW w:type="dxa" w:w="1814"/>
          </w:tcPr>
          <w:p>
            <w:pPr>
              <w:jc w:val="center"/>
            </w:pPr>
            <w:r/>
            <w:r>
              <w:rPr>
                <w:rFonts w:ascii="Times New Roman" w:hAnsi="Times New Roman" w:eastAsia="宋体"/>
                <w:b w:val="0"/>
                <w:sz w:val="16"/>
              </w:rPr>
              <w:t>0.196</w:t>
            </w:r>
          </w:p>
        </w:tc>
        <w:tc>
          <w:tcPr>
            <w:tcW w:type="dxa" w:w="1814"/>
          </w:tcPr>
          <w:p>
            <w:pPr>
              <w:jc w:val="center"/>
            </w:pPr>
            <w:r/>
            <w:r>
              <w:rPr>
                <w:rFonts w:ascii="Times New Roman" w:hAnsi="Times New Roman" w:eastAsia="宋体"/>
                <w:b w:val="0"/>
                <w:sz w:val="16"/>
              </w:rPr>
              <w:t>0.307</w:t>
            </w:r>
          </w:p>
        </w:tc>
        <w:tc>
          <w:tcPr>
            <w:tcW w:type="dxa" w:w="1814"/>
          </w:tcPr>
          <w:p>
            <w:pPr>
              <w:jc w:val="center"/>
            </w:pPr>
            <w:r/>
            <w:r>
              <w:rPr>
                <w:rFonts w:ascii="Times New Roman" w:hAnsi="Times New Roman" w:eastAsia="宋体"/>
                <w:b w:val="0"/>
                <w:sz w:val="16"/>
              </w:rPr>
              <w:t>0.111</w:t>
            </w:r>
          </w:p>
        </w:tc>
      </w:tr>
      <w:tr>
        <w:tc>
          <w:tcPr>
            <w:tcW w:type="dxa" w:w="1814"/>
          </w:tcPr>
          <w:p>
            <w:pPr>
              <w:jc w:val="center"/>
            </w:pPr>
            <w:r/>
            <w:r>
              <w:rPr>
                <w:rFonts w:ascii="Times New Roman" w:hAnsi="Times New Roman" w:eastAsia="宋体"/>
                <w:b w:val="0"/>
                <w:sz w:val="16"/>
              </w:rPr>
              <w:t>A_esters_flower</w:t>
            </w:r>
          </w:p>
        </w:tc>
        <w:tc>
          <w:tcPr>
            <w:tcW w:type="dxa" w:w="1814"/>
          </w:tcPr>
          <w:p>
            <w:pPr>
              <w:jc w:val="center"/>
            </w:pPr>
            <w:r/>
            <w:r>
              <w:rPr>
                <w:rFonts w:ascii="Times New Roman" w:hAnsi="Times New Roman" w:eastAsia="宋体"/>
                <w:b w:val="0"/>
                <w:sz w:val="16"/>
              </w:rPr>
              <w:t>aroma_flower</w:t>
            </w:r>
          </w:p>
        </w:tc>
        <w:tc>
          <w:tcPr>
            <w:tcW w:type="dxa" w:w="1814"/>
          </w:tcPr>
          <w:p>
            <w:pPr>
              <w:jc w:val="center"/>
            </w:pPr>
            <w:r/>
            <w:r>
              <w:rPr>
                <w:rFonts w:ascii="Times New Roman" w:hAnsi="Times New Roman" w:eastAsia="宋体"/>
                <w:b w:val="0"/>
                <w:sz w:val="16"/>
              </w:rPr>
              <w:t>0.108</w:t>
            </w:r>
          </w:p>
        </w:tc>
        <w:tc>
          <w:tcPr>
            <w:tcW w:type="dxa" w:w="1814"/>
          </w:tcPr>
          <w:p>
            <w:pPr>
              <w:jc w:val="center"/>
            </w:pPr>
            <w:r/>
            <w:r>
              <w:rPr>
                <w:rFonts w:ascii="Times New Roman" w:hAnsi="Times New Roman" w:eastAsia="宋体"/>
                <w:b w:val="0"/>
                <w:sz w:val="16"/>
              </w:rPr>
              <w:t>-0.146</w:t>
            </w:r>
          </w:p>
        </w:tc>
        <w:tc>
          <w:tcPr>
            <w:tcW w:type="dxa" w:w="1814"/>
          </w:tcPr>
          <w:p>
            <w:pPr>
              <w:jc w:val="center"/>
            </w:pPr>
            <w:r/>
            <w:r>
              <w:rPr>
                <w:rFonts w:ascii="Times New Roman" w:hAnsi="Times New Roman" w:eastAsia="宋体"/>
                <w:b w:val="0"/>
                <w:sz w:val="16"/>
              </w:rPr>
              <w:t>-0.255</w:t>
            </w:r>
          </w:p>
        </w:tc>
      </w:tr>
      <w:tr>
        <w:tc>
          <w:tcPr>
            <w:tcW w:type="dxa" w:w="1814"/>
          </w:tcPr>
          <w:p>
            <w:pPr>
              <w:jc w:val="center"/>
            </w:pPr>
            <w:r/>
            <w:r>
              <w:rPr>
                <w:rFonts w:ascii="Times New Roman" w:hAnsi="Times New Roman" w:eastAsia="宋体"/>
                <w:b w:val="0"/>
                <w:sz w:val="16"/>
              </w:rPr>
              <w:t>A_esters_all</w:t>
            </w:r>
          </w:p>
        </w:tc>
        <w:tc>
          <w:tcPr>
            <w:tcW w:type="dxa" w:w="1814"/>
          </w:tcPr>
          <w:p>
            <w:pPr>
              <w:jc w:val="center"/>
            </w:pPr>
            <w:r/>
            <w:r>
              <w:rPr>
                <w:rFonts w:ascii="Times New Roman" w:hAnsi="Times New Roman" w:eastAsia="宋体"/>
                <w:b w:val="0"/>
                <w:sz w:val="16"/>
              </w:rPr>
              <w:t>aroma_estery</w:t>
            </w:r>
          </w:p>
        </w:tc>
        <w:tc>
          <w:tcPr>
            <w:tcW w:type="dxa" w:w="1814"/>
          </w:tcPr>
          <w:p>
            <w:pPr>
              <w:jc w:val="center"/>
            </w:pPr>
            <w:r/>
            <w:r>
              <w:rPr>
                <w:rFonts w:ascii="Times New Roman" w:hAnsi="Times New Roman" w:eastAsia="宋体"/>
                <w:b w:val="0"/>
                <w:sz w:val="16"/>
              </w:rPr>
              <w:t>0.121</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-0.028</w:t>
            </w:r>
          </w:p>
        </w:tc>
      </w:tr>
      <w:tr>
        <w:tc>
          <w:tcPr>
            <w:tcW w:type="dxa" w:w="1814"/>
          </w:tcPr>
          <w:p>
            <w:pPr>
              <w:jc w:val="center"/>
            </w:pPr>
            <w:r/>
            <w:r>
              <w:rPr>
                <w:rFonts w:ascii="Times New Roman" w:hAnsi="Times New Roman" w:eastAsia="宋体"/>
                <w:b w:val="0"/>
                <w:sz w:val="16"/>
              </w:rPr>
              <w:t>A_malt_bread</w:t>
            </w:r>
          </w:p>
        </w:tc>
        <w:tc>
          <w:tcPr>
            <w:tcW w:type="dxa" w:w="1814"/>
          </w:tcPr>
          <w:p>
            <w:pPr>
              <w:jc w:val="center"/>
            </w:pPr>
            <w:r/>
            <w:r>
              <w:rPr>
                <w:rFonts w:ascii="Times New Roman" w:hAnsi="Times New Roman" w:eastAsia="宋体"/>
                <w:b w:val="0"/>
                <w:sz w:val="16"/>
              </w:rPr>
              <w:t>aroma_bread</w:t>
            </w:r>
          </w:p>
        </w:tc>
        <w:tc>
          <w:tcPr>
            <w:tcW w:type="dxa" w:w="1814"/>
          </w:tcPr>
          <w:p>
            <w:pPr>
              <w:jc w:val="center"/>
            </w:pPr>
            <w:r/>
            <w:r>
              <w:rPr>
                <w:rFonts w:ascii="Times New Roman" w:hAnsi="Times New Roman" w:eastAsia="宋体"/>
                <w:b w:val="0"/>
                <w:sz w:val="16"/>
              </w:rPr>
              <w:t>0.140</w:t>
            </w:r>
          </w:p>
        </w:tc>
        <w:tc>
          <w:tcPr>
            <w:tcW w:type="dxa" w:w="1814"/>
          </w:tcPr>
          <w:p>
            <w:pPr>
              <w:jc w:val="center"/>
            </w:pPr>
            <w:r/>
            <w:r>
              <w:rPr>
                <w:rFonts w:ascii="Times New Roman" w:hAnsi="Times New Roman" w:eastAsia="宋体"/>
                <w:b w:val="0"/>
                <w:sz w:val="16"/>
              </w:rPr>
              <w:t>0.230</w:t>
            </w:r>
          </w:p>
        </w:tc>
        <w:tc>
          <w:tcPr>
            <w:tcW w:type="dxa" w:w="1814"/>
          </w:tcPr>
          <w:p>
            <w:pPr>
              <w:jc w:val="center"/>
            </w:pPr>
            <w:r/>
            <w:r>
              <w:rPr>
                <w:rFonts w:ascii="Times New Roman" w:hAnsi="Times New Roman" w:eastAsia="宋体"/>
                <w:b w:val="0"/>
                <w:sz w:val="16"/>
              </w:rPr>
              <w:t>0.090</w:t>
            </w:r>
          </w:p>
        </w:tc>
      </w:tr>
      <w:tr>
        <w:tc>
          <w:tcPr>
            <w:tcW w:type="dxa" w:w="1814"/>
          </w:tcPr>
          <w:p>
            <w:pPr>
              <w:jc w:val="center"/>
            </w:pPr>
            <w:r/>
            <w:r>
              <w:rPr>
                <w:rFonts w:ascii="Times New Roman" w:hAnsi="Times New Roman" w:eastAsia="宋体"/>
                <w:b w:val="0"/>
                <w:sz w:val="16"/>
              </w:rPr>
              <w:t>A_malt_cara</w:t>
            </w:r>
          </w:p>
        </w:tc>
        <w:tc>
          <w:tcPr>
            <w:tcW w:type="dxa" w:w="1814"/>
          </w:tcPr>
          <w:p>
            <w:pPr>
              <w:jc w:val="center"/>
            </w:pPr>
            <w:r/>
            <w:r>
              <w:rPr>
                <w:rFonts w:ascii="Times New Roman" w:hAnsi="Times New Roman" w:eastAsia="宋体"/>
                <w:b w:val="0"/>
                <w:sz w:val="16"/>
              </w:rPr>
              <w:t>aroma_caramel</w:t>
            </w:r>
          </w:p>
        </w:tc>
        <w:tc>
          <w:tcPr>
            <w:tcW w:type="dxa" w:w="1814"/>
          </w:tcPr>
          <w:p>
            <w:pPr>
              <w:jc w:val="center"/>
            </w:pPr>
            <w:r/>
            <w:r>
              <w:rPr>
                <w:rFonts w:ascii="Times New Roman" w:hAnsi="Times New Roman" w:eastAsia="宋体"/>
                <w:b w:val="0"/>
                <w:sz w:val="16"/>
              </w:rPr>
              <w:t>0.599</w:t>
            </w:r>
          </w:p>
        </w:tc>
        <w:tc>
          <w:tcPr>
            <w:tcW w:type="dxa" w:w="1814"/>
          </w:tcPr>
          <w:p>
            <w:pPr>
              <w:jc w:val="center"/>
            </w:pPr>
            <w:r/>
            <w:r>
              <w:rPr>
                <w:rFonts w:ascii="Times New Roman" w:hAnsi="Times New Roman" w:eastAsia="宋体"/>
                <w:b w:val="0"/>
                <w:sz w:val="16"/>
              </w:rPr>
              <w:t>0.879</w:t>
            </w:r>
          </w:p>
        </w:tc>
        <w:tc>
          <w:tcPr>
            <w:tcW w:type="dxa" w:w="1814"/>
          </w:tcPr>
          <w:p>
            <w:pPr>
              <w:jc w:val="center"/>
            </w:pPr>
            <w:r/>
            <w:r>
              <w:rPr>
                <w:rFonts w:ascii="Times New Roman" w:hAnsi="Times New Roman" w:eastAsia="宋体"/>
                <w:b w:val="0"/>
                <w:sz w:val="16"/>
              </w:rPr>
              <w:t>0.279</w:t>
            </w:r>
          </w:p>
        </w:tc>
      </w:tr>
      <w:tr>
        <w:tc>
          <w:tcPr>
            <w:tcW w:type="dxa" w:w="1814"/>
          </w:tcPr>
          <w:p>
            <w:pPr>
              <w:jc w:val="center"/>
            </w:pPr>
            <w:r/>
            <w:r>
              <w:rPr>
                <w:rFonts w:ascii="Times New Roman" w:hAnsi="Times New Roman" w:eastAsia="宋体"/>
                <w:b w:val="0"/>
                <w:sz w:val="16"/>
              </w:rPr>
              <w:t>F_hops_citrus</w:t>
            </w:r>
          </w:p>
        </w:tc>
        <w:tc>
          <w:tcPr>
            <w:tcW w:type="dxa" w:w="1814"/>
          </w:tcPr>
          <w:p>
            <w:pPr>
              <w:jc w:val="center"/>
            </w:pPr>
            <w:r/>
            <w:r>
              <w:rPr>
                <w:rFonts w:ascii="Times New Roman" w:hAnsi="Times New Roman" w:eastAsia="宋体"/>
                <w:b w:val="0"/>
                <w:sz w:val="16"/>
              </w:rPr>
              <w:t>taste_citrus</w:t>
            </w:r>
          </w:p>
        </w:tc>
        <w:tc>
          <w:tcPr>
            <w:tcW w:type="dxa" w:w="1814"/>
          </w:tcPr>
          <w:p>
            <w:pPr>
              <w:jc w:val="center"/>
            </w:pPr>
            <w:r/>
            <w:r>
              <w:rPr>
                <w:rFonts w:ascii="Times New Roman" w:hAnsi="Times New Roman" w:eastAsia="宋体"/>
                <w:b w:val="0"/>
                <w:sz w:val="16"/>
              </w:rPr>
              <w:t>0.366</w:t>
            </w:r>
          </w:p>
        </w:tc>
        <w:tc>
          <w:tcPr>
            <w:tcW w:type="dxa" w:w="1814"/>
          </w:tcPr>
          <w:p>
            <w:pPr>
              <w:jc w:val="center"/>
            </w:pPr>
            <w:r/>
            <w:r>
              <w:rPr>
                <w:rFonts w:ascii="Times New Roman" w:hAnsi="Times New Roman" w:eastAsia="宋体"/>
                <w:b w:val="0"/>
                <w:sz w:val="16"/>
              </w:rPr>
              <w:t>0.813</w:t>
            </w:r>
          </w:p>
        </w:tc>
        <w:tc>
          <w:tcPr>
            <w:tcW w:type="dxa" w:w="1814"/>
          </w:tcPr>
          <w:p>
            <w:pPr>
              <w:jc w:val="center"/>
            </w:pPr>
            <w:r/>
            <w:r>
              <w:rPr>
                <w:rFonts w:ascii="Times New Roman" w:hAnsi="Times New Roman" w:eastAsia="宋体"/>
                <w:b w:val="0"/>
                <w:sz w:val="16"/>
              </w:rPr>
              <w:t>0.448</w:t>
            </w:r>
          </w:p>
        </w:tc>
      </w:tr>
      <w:tr>
        <w:tc>
          <w:tcPr>
            <w:tcW w:type="dxa" w:w="1814"/>
          </w:tcPr>
          <w:p>
            <w:pPr>
              <w:jc w:val="center"/>
            </w:pPr>
            <w:r/>
            <w:r>
              <w:rPr>
                <w:rFonts w:ascii="Times New Roman" w:hAnsi="Times New Roman" w:eastAsia="宋体"/>
                <w:b w:val="0"/>
                <w:sz w:val="16"/>
              </w:rPr>
              <w:t>F_esters_fruity</w:t>
            </w:r>
          </w:p>
        </w:tc>
        <w:tc>
          <w:tcPr>
            <w:tcW w:type="dxa" w:w="1814"/>
          </w:tcPr>
          <w:p>
            <w:pPr>
              <w:jc w:val="center"/>
            </w:pPr>
            <w:r/>
            <w:r>
              <w:rPr>
                <w:rFonts w:ascii="Times New Roman" w:hAnsi="Times New Roman" w:eastAsia="宋体"/>
                <w:b w:val="0"/>
                <w:sz w:val="16"/>
              </w:rPr>
              <w:t>taste_fruity</w:t>
            </w:r>
          </w:p>
        </w:tc>
        <w:tc>
          <w:tcPr>
            <w:tcW w:type="dxa" w:w="1814"/>
          </w:tcPr>
          <w:p>
            <w:pPr>
              <w:jc w:val="center"/>
            </w:pPr>
            <w:r/>
            <w:r>
              <w:rPr>
                <w:rFonts w:ascii="Times New Roman" w:hAnsi="Times New Roman" w:eastAsia="宋体"/>
                <w:b w:val="0"/>
                <w:sz w:val="16"/>
              </w:rPr>
              <w:t>-0.027</w:t>
            </w:r>
          </w:p>
        </w:tc>
        <w:tc>
          <w:tcPr>
            <w:tcW w:type="dxa" w:w="1814"/>
          </w:tcPr>
          <w:p>
            <w:pPr>
              <w:jc w:val="center"/>
            </w:pPr>
            <w:r/>
            <w:r>
              <w:rPr>
                <w:rFonts w:ascii="Times New Roman" w:hAnsi="Times New Roman" w:eastAsia="宋体"/>
                <w:b w:val="0"/>
                <w:sz w:val="16"/>
              </w:rPr>
              <w:t>-0.356</w:t>
            </w:r>
          </w:p>
        </w:tc>
        <w:tc>
          <w:tcPr>
            <w:tcW w:type="dxa" w:w="1814"/>
          </w:tcPr>
          <w:p>
            <w:pPr>
              <w:jc w:val="center"/>
            </w:pPr>
            <w:r/>
            <w:r>
              <w:rPr>
                <w:rFonts w:ascii="Times New Roman" w:hAnsi="Times New Roman" w:eastAsia="宋体"/>
                <w:b w:val="0"/>
                <w:sz w:val="16"/>
              </w:rPr>
              <w:t>-0.329</w:t>
            </w:r>
          </w:p>
        </w:tc>
      </w:tr>
      <w:tr>
        <w:tc>
          <w:tcPr>
            <w:tcW w:type="dxa" w:w="1814"/>
          </w:tcPr>
          <w:p>
            <w:pPr>
              <w:jc w:val="center"/>
            </w:pPr>
            <w:r/>
            <w:r>
              <w:rPr>
                <w:rFonts w:ascii="Times New Roman" w:hAnsi="Times New Roman" w:eastAsia="宋体"/>
                <w:b w:val="0"/>
                <w:sz w:val="16"/>
              </w:rPr>
              <w:t>F_esters_ethac</w:t>
            </w:r>
          </w:p>
        </w:tc>
        <w:tc>
          <w:tcPr>
            <w:tcW w:type="dxa" w:w="1814"/>
          </w:tcPr>
          <w:p>
            <w:pPr>
              <w:jc w:val="center"/>
            </w:pPr>
            <w:r/>
            <w:r>
              <w:rPr>
                <w:rFonts w:ascii="Times New Roman" w:hAnsi="Times New Roman" w:eastAsia="宋体"/>
                <w:b w:val="0"/>
                <w:sz w:val="16"/>
              </w:rPr>
              <w:t>taste_acetate</w:t>
            </w:r>
          </w:p>
        </w:tc>
        <w:tc>
          <w:tcPr>
            <w:tcW w:type="dxa" w:w="1814"/>
          </w:tcPr>
          <w:p>
            <w:pPr>
              <w:jc w:val="center"/>
            </w:pPr>
            <w:r/>
            <w:r>
              <w:rPr>
                <w:rFonts w:ascii="Times New Roman" w:hAnsi="Times New Roman" w:eastAsia="宋体"/>
                <w:b w:val="0"/>
                <w:sz w:val="16"/>
              </w:rPr>
              <w:t>0.081</w:t>
            </w:r>
          </w:p>
        </w:tc>
        <w:tc>
          <w:tcPr>
            <w:tcW w:type="dxa" w:w="1814"/>
          </w:tcPr>
          <w:p>
            <w:pPr>
              <w:jc w:val="center"/>
            </w:pPr>
            <w:r/>
            <w:r>
              <w:rPr>
                <w:rFonts w:ascii="Times New Roman" w:hAnsi="Times New Roman" w:eastAsia="宋体"/>
                <w:b w:val="0"/>
                <w:sz w:val="16"/>
              </w:rPr>
              <w:t>0.126</w:t>
            </w:r>
          </w:p>
        </w:tc>
        <w:tc>
          <w:tcPr>
            <w:tcW w:type="dxa" w:w="1814"/>
          </w:tcPr>
          <w:p>
            <w:pPr>
              <w:jc w:val="center"/>
            </w:pPr>
            <w:r/>
            <w:r>
              <w:rPr>
                <w:rFonts w:ascii="Times New Roman" w:hAnsi="Times New Roman" w:eastAsia="宋体"/>
                <w:b w:val="0"/>
                <w:sz w:val="16"/>
              </w:rPr>
              <w:t>0.045</w:t>
            </w:r>
          </w:p>
        </w:tc>
      </w:tr>
      <w:tr>
        <w:tc>
          <w:tcPr>
            <w:tcW w:type="dxa" w:w="1814"/>
          </w:tcPr>
          <w:p>
            <w:pPr>
              <w:jc w:val="center"/>
            </w:pPr>
            <w:r/>
            <w:r>
              <w:rPr>
                <w:rFonts w:ascii="Times New Roman" w:hAnsi="Times New Roman" w:eastAsia="宋体"/>
                <w:b w:val="0"/>
                <w:sz w:val="16"/>
              </w:rPr>
              <w:t>F_esters_all</w:t>
            </w:r>
          </w:p>
        </w:tc>
        <w:tc>
          <w:tcPr>
            <w:tcW w:type="dxa" w:w="1814"/>
          </w:tcPr>
          <w:p>
            <w:pPr>
              <w:jc w:val="center"/>
            </w:pPr>
            <w:r/>
            <w:r>
              <w:rPr>
                <w:rFonts w:ascii="Times New Roman" w:hAnsi="Times New Roman" w:eastAsia="宋体"/>
                <w:b w:val="0"/>
                <w:sz w:val="16"/>
              </w:rPr>
              <w:t>taste_estery</w:t>
            </w:r>
          </w:p>
        </w:tc>
        <w:tc>
          <w:tcPr>
            <w:tcW w:type="dxa" w:w="1814"/>
          </w:tcPr>
          <w:p>
            <w:pPr>
              <w:jc w:val="center"/>
            </w:pPr>
            <w:r/>
            <w:r>
              <w:rPr>
                <w:rFonts w:ascii="Times New Roman" w:hAnsi="Times New Roman" w:eastAsia="宋体"/>
                <w:b w:val="0"/>
                <w:sz w:val="16"/>
              </w:rPr>
              <w:t>0.062</w:t>
            </w:r>
          </w:p>
        </w:tc>
        <w:tc>
          <w:tcPr>
            <w:tcW w:type="dxa" w:w="1814"/>
          </w:tcPr>
          <w:p>
            <w:pPr>
              <w:jc w:val="center"/>
            </w:pPr>
            <w:r/>
            <w:r>
              <w:rPr>
                <w:rFonts w:ascii="Times New Roman" w:hAnsi="Times New Roman" w:eastAsia="宋体"/>
                <w:b w:val="0"/>
                <w:sz w:val="16"/>
              </w:rPr>
              <w:t>-0.208</w:t>
            </w:r>
          </w:p>
        </w:tc>
        <w:tc>
          <w:tcPr>
            <w:tcW w:type="dxa" w:w="1814"/>
          </w:tcPr>
          <w:p>
            <w:pPr>
              <w:jc w:val="center"/>
            </w:pPr>
            <w:r/>
            <w:r>
              <w:rPr>
                <w:rFonts w:ascii="Times New Roman" w:hAnsi="Times New Roman" w:eastAsia="宋体"/>
                <w:b w:val="0"/>
                <w:sz w:val="16"/>
              </w:rPr>
              <w:t>-0.270</w:t>
            </w:r>
          </w:p>
        </w:tc>
      </w:tr>
      <w:tr>
        <w:tc>
          <w:tcPr>
            <w:tcW w:type="dxa" w:w="1814"/>
          </w:tcPr>
          <w:p>
            <w:pPr>
              <w:jc w:val="center"/>
            </w:pPr>
            <w:r/>
            <w:r>
              <w:rPr>
                <w:rFonts w:ascii="Times New Roman" w:hAnsi="Times New Roman" w:eastAsia="宋体"/>
                <w:b w:val="0"/>
                <w:sz w:val="16"/>
              </w:rPr>
              <w:t>bitternes</w:t>
            </w:r>
          </w:p>
        </w:tc>
        <w:tc>
          <w:tcPr>
            <w:tcW w:type="dxa" w:w="1814"/>
          </w:tcPr>
          <w:p>
            <w:pPr>
              <w:jc w:val="center"/>
            </w:pPr>
            <w:r/>
            <w:r>
              <w:rPr>
                <w:rFonts w:ascii="Times New Roman" w:hAnsi="Times New Roman" w:eastAsia="宋体"/>
                <w:b w:val="0"/>
                <w:sz w:val="16"/>
              </w:rPr>
              <w:t>taste_bitter</w:t>
            </w:r>
          </w:p>
        </w:tc>
        <w:tc>
          <w:tcPr>
            <w:tcW w:type="dxa" w:w="1814"/>
          </w:tcPr>
          <w:p>
            <w:pPr>
              <w:jc w:val="center"/>
            </w:pPr>
            <w:r/>
            <w:r>
              <w:rPr>
                <w:rFonts w:ascii="Times New Roman" w:hAnsi="Times New Roman" w:eastAsia="宋体"/>
                <w:b w:val="0"/>
                <w:sz w:val="16"/>
              </w:rPr>
              <w:t>0.645</w:t>
            </w:r>
          </w:p>
        </w:tc>
        <w:tc>
          <w:tcPr>
            <w:tcW w:type="dxa" w:w="1814"/>
          </w:tcPr>
          <w:p>
            <w:pPr>
              <w:jc w:val="center"/>
            </w:pPr>
            <w:r/>
            <w:r>
              <w:rPr>
                <w:rFonts w:ascii="Times New Roman" w:hAnsi="Times New Roman" w:eastAsia="宋体"/>
                <w:b w:val="0"/>
                <w:sz w:val="16"/>
              </w:rPr>
              <w:t>0.679</w:t>
            </w:r>
          </w:p>
        </w:tc>
        <w:tc>
          <w:tcPr>
            <w:tcW w:type="dxa" w:w="1814"/>
          </w:tcPr>
          <w:p>
            <w:pPr>
              <w:jc w:val="center"/>
            </w:pPr>
            <w:r/>
            <w:r>
              <w:rPr>
                <w:rFonts w:ascii="Times New Roman" w:hAnsi="Times New Roman" w:eastAsia="宋体"/>
                <w:b w:val="0"/>
                <w:sz w:val="16"/>
              </w:rPr>
              <w:t>0.034</w:t>
            </w:r>
          </w:p>
        </w:tc>
      </w:tr>
    </w:tbl>
    <w:p>
      <w:pPr>
        <w:spacing w:before="40" w:after="160"/>
        <w:jc w:val="center"/>
      </w:pPr>
      <w:r>
        <w:rPr>
          <w:rFonts w:ascii="Times New Roman" w:hAnsi="Times New Roman" w:eastAsia="宋体"/>
          <w:b w:val="0"/>
          <w:sz w:val="18"/>
        </w:rPr>
        <w:t>表 5  品评组感官与消费者描述符的交叉一致性检验（共 33 组配对，此处列出前 15 组，完整表见支撑材料）</w:t>
      </w:r>
    </w:p>
    <w:p>
      <w:pPr>
        <w:spacing w:after="80" w:line="324" w:lineRule="auto"/>
        <w:ind w:firstLine="420"/>
      </w:pPr>
      <w:r>
        <w:rPr>
          <w:rFonts w:ascii="Times New Roman" w:hAnsi="Times New Roman" w:eastAsia="宋体"/>
          <w:b w:val="0"/>
          <w:sz w:val="21"/>
        </w:rPr>
        <w:t>交叉一致性检验在 33 组语义配对上比较「同一化学量在品评组感官与消费者描述符两侧的实测相关」与「由模型预测得到的相关」，偏差 |Δ| 的中位数为 0.166、最大值为 0.478，其中 18 组（54.5%）的 |Δ| 不超过 0.2。该结果说明两条测量通道的一致性是</w:t>
      </w:r>
      <w:r>
        <w:rPr>
          <w:rFonts w:ascii="Times New Roman" w:hAnsi="Times New Roman" w:eastAsia="宋体"/>
          <w:b/>
          <w:sz w:val="21"/>
        </w:rPr>
        <w:t>有限的</w:t>
      </w:r>
      <w:r>
        <w:rPr>
          <w:rFonts w:ascii="Times New Roman" w:hAnsi="Times New Roman" w:eastAsia="宋体"/>
          <w:b w:val="0"/>
          <w:sz w:val="21"/>
        </w:rPr>
        <w:t>：只有约一半的语义配对能被「化学→感官」模型较好地迁移到消费者描述符一侧，因此本文把交叉一致性检验作为诊断而非验证，消费者描述符不可替代品评组评分。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c>
          <w:tcPr>
            <w:tcW w:type="dxa" w:w="2267"/>
          </w:tcPr>
          <w:p>
            <w:pPr>
              <w:jc w:val="center"/>
            </w:pPr>
            <w:r/>
            <w:r>
              <w:rPr>
                <w:rFonts w:ascii="Times New Roman" w:hAnsi="Times New Roman" w:eastAsia="黑体"/>
                <w:b/>
                <w:sz w:val="16"/>
              </w:rPr>
              <w:t>项</w:t>
            </w:r>
          </w:p>
        </w:tc>
        <w:tc>
          <w:tcPr>
            <w:tcW w:type="dxa" w:w="2267"/>
          </w:tcPr>
          <w:p>
            <w:pPr>
              <w:jc w:val="center"/>
            </w:pPr>
            <w:r/>
            <w:r>
              <w:rPr>
                <w:rFonts w:ascii="Times New Roman" w:hAnsi="Times New Roman" w:eastAsia="黑体"/>
                <w:b/>
                <w:sz w:val="16"/>
              </w:rPr>
              <w:t>ols</w:t>
            </w:r>
          </w:p>
        </w:tc>
        <w:tc>
          <w:tcPr>
            <w:tcW w:type="dxa" w:w="2267"/>
          </w:tcPr>
          <w:p>
            <w:pPr>
              <w:jc w:val="center"/>
            </w:pPr>
            <w:r/>
            <w:r>
              <w:rPr>
                <w:rFonts w:ascii="Times New Roman" w:hAnsi="Times New Roman" w:eastAsia="黑体"/>
                <w:b/>
                <w:sz w:val="16"/>
              </w:rPr>
              <w:t>ols_with_abv</w:t>
            </w:r>
          </w:p>
        </w:tc>
        <w:tc>
          <w:tcPr>
            <w:tcW w:type="dxa" w:w="2267"/>
          </w:tcPr>
          <w:p>
            <w:pPr>
              <w:jc w:val="center"/>
            </w:pPr>
            <w:r/>
            <w:r>
              <w:rPr>
                <w:rFonts w:ascii="Times New Roman" w:hAnsi="Times New Roman" w:eastAsia="黑体"/>
                <w:b/>
                <w:sz w:val="16"/>
              </w:rPr>
              <w:t>fixed_effects</w:t>
            </w:r>
          </w:p>
        </w:tc>
      </w:tr>
      <w:tr>
        <w:tc>
          <w:tcPr>
            <w:tcW w:type="dxa" w:w="2267"/>
          </w:tcPr>
          <w:p>
            <w:pPr>
              <w:jc w:val="center"/>
            </w:pPr>
            <w:r/>
            <w:r>
              <w:rPr>
                <w:rFonts w:ascii="Times New Roman" w:hAnsi="Times New Roman" w:eastAsia="宋体"/>
                <w:b w:val="0"/>
                <w:sz w:val="16"/>
              </w:rPr>
              <w:t>aroma_citrus</w:t>
            </w:r>
          </w:p>
        </w:tc>
        <w:tc>
          <w:tcPr>
            <w:tcW w:type="dxa" w:w="2267"/>
          </w:tcPr>
          <w:p>
            <w:pPr>
              <w:jc w:val="center"/>
            </w:pPr>
            <w:r/>
            <w:r>
              <w:rPr>
                <w:rFonts w:ascii="Times New Roman" w:hAnsi="Times New Roman" w:eastAsia="宋体"/>
                <w:b w:val="0"/>
                <w:sz w:val="16"/>
              </w:rPr>
              <w:t>-0.119</w:t>
            </w:r>
          </w:p>
        </w:tc>
        <w:tc>
          <w:tcPr>
            <w:tcW w:type="dxa" w:w="2267"/>
          </w:tcPr>
          <w:p>
            <w:pPr>
              <w:jc w:val="center"/>
            </w:pPr>
            <w:r/>
            <w:r>
              <w:rPr>
                <w:rFonts w:ascii="Times New Roman" w:hAnsi="Times New Roman" w:eastAsia="宋体"/>
                <w:b w:val="0"/>
                <w:sz w:val="16"/>
              </w:rPr>
              <w:t>-0.077</w:t>
            </w:r>
          </w:p>
        </w:tc>
        <w:tc>
          <w:tcPr>
            <w:tcW w:type="dxa" w:w="2267"/>
          </w:tcPr>
          <w:p>
            <w:pPr>
              <w:jc w:val="center"/>
            </w:pPr>
            <w:r/>
            <w:r>
              <w:rPr>
                <w:rFonts w:ascii="Times New Roman" w:hAnsi="Times New Roman" w:eastAsia="宋体"/>
                <w:b w:val="0"/>
                <w:sz w:val="16"/>
              </w:rPr>
              <w:t>-0.015</w:t>
            </w:r>
          </w:p>
        </w:tc>
      </w:tr>
      <w:tr>
        <w:tc>
          <w:tcPr>
            <w:tcW w:type="dxa" w:w="2267"/>
          </w:tcPr>
          <w:p>
            <w:pPr>
              <w:jc w:val="center"/>
            </w:pPr>
            <w:r/>
            <w:r>
              <w:rPr>
                <w:rFonts w:ascii="Times New Roman" w:hAnsi="Times New Roman" w:eastAsia="宋体"/>
                <w:b w:val="0"/>
                <w:sz w:val="16"/>
              </w:rPr>
              <w:t>aroma_fruity</w:t>
            </w:r>
          </w:p>
        </w:tc>
        <w:tc>
          <w:tcPr>
            <w:tcW w:type="dxa" w:w="2267"/>
          </w:tcPr>
          <w:p>
            <w:pPr>
              <w:jc w:val="center"/>
            </w:pPr>
            <w:r/>
            <w:r>
              <w:rPr>
                <w:rFonts w:ascii="Times New Roman" w:hAnsi="Times New Roman" w:eastAsia="宋体"/>
                <w:b w:val="0"/>
                <w:sz w:val="16"/>
              </w:rPr>
              <w:t>-0.234</w:t>
            </w:r>
          </w:p>
        </w:tc>
        <w:tc>
          <w:tcPr>
            <w:tcW w:type="dxa" w:w="2267"/>
          </w:tcPr>
          <w:p>
            <w:pPr>
              <w:jc w:val="center"/>
            </w:pPr>
            <w:r/>
            <w:r>
              <w:rPr>
                <w:rFonts w:ascii="Times New Roman" w:hAnsi="Times New Roman" w:eastAsia="宋体"/>
                <w:b w:val="0"/>
                <w:sz w:val="16"/>
              </w:rPr>
              <w:t>-0.418</w:t>
            </w:r>
          </w:p>
        </w:tc>
        <w:tc>
          <w:tcPr>
            <w:tcW w:type="dxa" w:w="2267"/>
          </w:tcPr>
          <w:p>
            <w:pPr>
              <w:jc w:val="center"/>
            </w:pPr>
            <w:r/>
            <w:r>
              <w:rPr>
                <w:rFonts w:ascii="Times New Roman" w:hAnsi="Times New Roman" w:eastAsia="宋体"/>
                <w:b w:val="0"/>
                <w:sz w:val="16"/>
              </w:rPr>
              <w:t>-0.106</w:t>
            </w:r>
          </w:p>
        </w:tc>
      </w:tr>
      <w:tr>
        <w:tc>
          <w:tcPr>
            <w:tcW w:type="dxa" w:w="2267"/>
          </w:tcPr>
          <w:p>
            <w:pPr>
              <w:jc w:val="center"/>
            </w:pPr>
            <w:r/>
            <w:r>
              <w:rPr>
                <w:rFonts w:ascii="Times New Roman" w:hAnsi="Times New Roman" w:eastAsia="宋体"/>
                <w:b w:val="0"/>
                <w:sz w:val="16"/>
              </w:rPr>
              <w:t>aroma_hoppy</w:t>
            </w:r>
          </w:p>
        </w:tc>
        <w:tc>
          <w:tcPr>
            <w:tcW w:type="dxa" w:w="2267"/>
          </w:tcPr>
          <w:p>
            <w:pPr>
              <w:jc w:val="center"/>
            </w:pPr>
            <w:r/>
            <w:r>
              <w:rPr>
                <w:rFonts w:ascii="Times New Roman" w:hAnsi="Times New Roman" w:eastAsia="宋体"/>
                <w:b w:val="0"/>
                <w:sz w:val="16"/>
              </w:rPr>
              <w:t>-0.631</w:t>
            </w:r>
          </w:p>
        </w:tc>
        <w:tc>
          <w:tcPr>
            <w:tcW w:type="dxa" w:w="2267"/>
          </w:tcPr>
          <w:p>
            <w:pPr>
              <w:jc w:val="center"/>
            </w:pPr>
            <w:r/>
            <w:r>
              <w:rPr>
                <w:rFonts w:ascii="Times New Roman" w:hAnsi="Times New Roman" w:eastAsia="宋体"/>
                <w:b w:val="0"/>
                <w:sz w:val="16"/>
              </w:rPr>
              <w:t>-0.528</w:t>
            </w:r>
          </w:p>
        </w:tc>
        <w:tc>
          <w:tcPr>
            <w:tcW w:type="dxa" w:w="2267"/>
          </w:tcPr>
          <w:p>
            <w:pPr>
              <w:jc w:val="center"/>
            </w:pPr>
            <w:r/>
            <w:r>
              <w:rPr>
                <w:rFonts w:ascii="Times New Roman" w:hAnsi="Times New Roman" w:eastAsia="宋体"/>
                <w:b w:val="0"/>
                <w:sz w:val="16"/>
              </w:rPr>
              <w:t>-0.776</w:t>
            </w:r>
          </w:p>
        </w:tc>
      </w:tr>
      <w:tr>
        <w:tc>
          <w:tcPr>
            <w:tcW w:type="dxa" w:w="2267"/>
          </w:tcPr>
          <w:p>
            <w:pPr>
              <w:jc w:val="center"/>
            </w:pPr>
            <w:r/>
            <w:r>
              <w:rPr>
                <w:rFonts w:ascii="Times New Roman" w:hAnsi="Times New Roman" w:eastAsia="宋体"/>
                <w:b w:val="0"/>
                <w:sz w:val="16"/>
              </w:rPr>
              <w:t>palate_carbonation</w:t>
            </w:r>
          </w:p>
        </w:tc>
        <w:tc>
          <w:tcPr>
            <w:tcW w:type="dxa" w:w="2267"/>
          </w:tcPr>
          <w:p>
            <w:pPr>
              <w:jc w:val="center"/>
            </w:pPr>
            <w:r/>
            <w:r>
              <w:rPr>
                <w:rFonts w:ascii="Times New Roman" w:hAnsi="Times New Roman" w:eastAsia="宋体"/>
                <w:b w:val="0"/>
                <w:sz w:val="16"/>
              </w:rPr>
              <w:t>0.239</w:t>
            </w:r>
          </w:p>
        </w:tc>
        <w:tc>
          <w:tcPr>
            <w:tcW w:type="dxa" w:w="2267"/>
          </w:tcPr>
          <w:p>
            <w:pPr>
              <w:jc w:val="center"/>
            </w:pPr>
            <w:r/>
            <w:r>
              <w:rPr>
                <w:rFonts w:ascii="Times New Roman" w:hAnsi="Times New Roman" w:eastAsia="宋体"/>
                <w:b w:val="0"/>
                <w:sz w:val="16"/>
              </w:rPr>
              <w:t>0.057</w:t>
            </w:r>
          </w:p>
        </w:tc>
        <w:tc>
          <w:tcPr>
            <w:tcW w:type="dxa" w:w="2267"/>
          </w:tcPr>
          <w:p>
            <w:pPr>
              <w:jc w:val="center"/>
            </w:pPr>
            <w:r/>
            <w:r>
              <w:rPr>
                <w:rFonts w:ascii="Times New Roman" w:hAnsi="Times New Roman" w:eastAsia="宋体"/>
                <w:b w:val="0"/>
                <w:sz w:val="16"/>
              </w:rPr>
              <w:t>0.084</w:t>
            </w:r>
          </w:p>
        </w:tc>
      </w:tr>
      <w:tr>
        <w:tc>
          <w:tcPr>
            <w:tcW w:type="dxa" w:w="2267"/>
          </w:tcPr>
          <w:p>
            <w:pPr>
              <w:jc w:val="center"/>
            </w:pPr>
            <w:r/>
            <w:r>
              <w:rPr>
                <w:rFonts w:ascii="Times New Roman" w:hAnsi="Times New Roman" w:eastAsia="宋体"/>
                <w:b w:val="0"/>
                <w:sz w:val="16"/>
              </w:rPr>
              <w:t>taste_bitter</w:t>
            </w:r>
          </w:p>
        </w:tc>
        <w:tc>
          <w:tcPr>
            <w:tcW w:type="dxa" w:w="2267"/>
          </w:tcPr>
          <w:p>
            <w:pPr>
              <w:jc w:val="center"/>
            </w:pPr>
            <w:r/>
            <w:r>
              <w:rPr>
                <w:rFonts w:ascii="Times New Roman" w:hAnsi="Times New Roman" w:eastAsia="宋体"/>
                <w:b w:val="0"/>
                <w:sz w:val="16"/>
              </w:rPr>
              <w:t>0.323</w:t>
            </w:r>
          </w:p>
        </w:tc>
        <w:tc>
          <w:tcPr>
            <w:tcW w:type="dxa" w:w="2267"/>
          </w:tcPr>
          <w:p>
            <w:pPr>
              <w:jc w:val="center"/>
            </w:pPr>
            <w:r/>
            <w:r>
              <w:rPr>
                <w:rFonts w:ascii="Times New Roman" w:hAnsi="Times New Roman" w:eastAsia="宋体"/>
                <w:b w:val="0"/>
                <w:sz w:val="16"/>
              </w:rPr>
              <w:t>0.173</w:t>
            </w:r>
          </w:p>
        </w:tc>
        <w:tc>
          <w:tcPr>
            <w:tcW w:type="dxa" w:w="2267"/>
          </w:tcPr>
          <w:p>
            <w:pPr>
              <w:jc w:val="center"/>
            </w:pPr>
            <w:r/>
            <w:r>
              <w:rPr>
                <w:rFonts w:ascii="Times New Roman" w:hAnsi="Times New Roman" w:eastAsia="宋体"/>
                <w:b w:val="0"/>
                <w:sz w:val="16"/>
              </w:rPr>
              <w:t>0.619</w:t>
            </w:r>
          </w:p>
        </w:tc>
      </w:tr>
      <w:tr>
        <w:tc>
          <w:tcPr>
            <w:tcW w:type="dxa" w:w="2267"/>
          </w:tcPr>
          <w:p>
            <w:pPr>
              <w:jc w:val="center"/>
            </w:pPr>
            <w:r/>
            <w:r>
              <w:rPr>
                <w:rFonts w:ascii="Times New Roman" w:hAnsi="Times New Roman" w:eastAsia="宋体"/>
                <w:b w:val="0"/>
                <w:sz w:val="16"/>
              </w:rPr>
              <w:t>taste_fruity</w:t>
            </w:r>
          </w:p>
        </w:tc>
        <w:tc>
          <w:tcPr>
            <w:tcW w:type="dxa" w:w="2267"/>
          </w:tcPr>
          <w:p>
            <w:pPr>
              <w:jc w:val="center"/>
            </w:pPr>
            <w:r/>
            <w:r>
              <w:rPr>
                <w:rFonts w:ascii="Times New Roman" w:hAnsi="Times New Roman" w:eastAsia="宋体"/>
                <w:b w:val="0"/>
                <w:sz w:val="16"/>
              </w:rPr>
              <w:t>0.452</w:t>
            </w:r>
          </w:p>
        </w:tc>
        <w:tc>
          <w:tcPr>
            <w:tcW w:type="dxa" w:w="2267"/>
          </w:tcPr>
          <w:p>
            <w:pPr>
              <w:jc w:val="center"/>
            </w:pPr>
            <w:r/>
            <w:r>
              <w:rPr>
                <w:rFonts w:ascii="Times New Roman" w:hAnsi="Times New Roman" w:eastAsia="宋体"/>
                <w:b w:val="0"/>
                <w:sz w:val="16"/>
              </w:rPr>
              <w:t>0.586</w:t>
            </w:r>
          </w:p>
        </w:tc>
        <w:tc>
          <w:tcPr>
            <w:tcW w:type="dxa" w:w="2267"/>
          </w:tcPr>
          <w:p>
            <w:pPr>
              <w:jc w:val="center"/>
            </w:pPr>
            <w:r/>
            <w:r>
              <w:rPr>
                <w:rFonts w:ascii="Times New Roman" w:hAnsi="Times New Roman" w:eastAsia="宋体"/>
                <w:b w:val="0"/>
                <w:sz w:val="16"/>
              </w:rPr>
              <w:t>0.184</w:t>
            </w:r>
          </w:p>
        </w:tc>
      </w:tr>
      <w:tr>
        <w:tc>
          <w:tcPr>
            <w:tcW w:type="dxa" w:w="2267"/>
          </w:tcPr>
          <w:p>
            <w:pPr>
              <w:jc w:val="center"/>
            </w:pPr>
            <w:r/>
            <w:r>
              <w:rPr>
                <w:rFonts w:ascii="Times New Roman" w:hAnsi="Times New Roman" w:eastAsia="宋体"/>
                <w:b w:val="0"/>
                <w:sz w:val="16"/>
              </w:rPr>
              <w:t>taste_stale</w:t>
            </w:r>
          </w:p>
        </w:tc>
        <w:tc>
          <w:tcPr>
            <w:tcW w:type="dxa" w:w="2267"/>
          </w:tcPr>
          <w:p>
            <w:pPr>
              <w:jc w:val="center"/>
            </w:pPr>
            <w:r/>
            <w:r>
              <w:rPr>
                <w:rFonts w:ascii="Times New Roman" w:hAnsi="Times New Roman" w:eastAsia="宋体"/>
                <w:b w:val="0"/>
                <w:sz w:val="16"/>
              </w:rPr>
              <w:t>-0.240</w:t>
            </w:r>
          </w:p>
        </w:tc>
        <w:tc>
          <w:tcPr>
            <w:tcW w:type="dxa" w:w="2267"/>
          </w:tcPr>
          <w:p>
            <w:pPr>
              <w:jc w:val="center"/>
            </w:pPr>
            <w:r/>
            <w:r>
              <w:rPr>
                <w:rFonts w:ascii="Times New Roman" w:hAnsi="Times New Roman" w:eastAsia="宋体"/>
                <w:b w:val="0"/>
                <w:sz w:val="16"/>
              </w:rPr>
              <w:t>-0.143</w:t>
            </w:r>
          </w:p>
        </w:tc>
        <w:tc>
          <w:tcPr>
            <w:tcW w:type="dxa" w:w="2267"/>
          </w:tcPr>
          <w:p>
            <w:pPr>
              <w:jc w:val="center"/>
            </w:pPr>
            <w:r/>
            <w:r>
              <w:rPr>
                <w:rFonts w:ascii="Times New Roman" w:hAnsi="Times New Roman" w:eastAsia="宋体"/>
                <w:b w:val="0"/>
                <w:sz w:val="16"/>
              </w:rPr>
              <w:t>-0.204</w:t>
            </w:r>
          </w:p>
        </w:tc>
      </w:tr>
      <w:tr>
        <w:tc>
          <w:tcPr>
            <w:tcW w:type="dxa" w:w="2267"/>
          </w:tcPr>
          <w:p>
            <w:pPr>
              <w:jc w:val="center"/>
            </w:pPr>
            <w:r/>
            <w:r>
              <w:rPr>
                <w:rFonts w:ascii="Times New Roman" w:hAnsi="Times New Roman" w:eastAsia="宋体"/>
                <w:b w:val="0"/>
                <w:sz w:val="16"/>
              </w:rPr>
              <w:t>taste_sweet</w:t>
            </w:r>
          </w:p>
        </w:tc>
        <w:tc>
          <w:tcPr>
            <w:tcW w:type="dxa" w:w="2267"/>
          </w:tcPr>
          <w:p>
            <w:pPr>
              <w:jc w:val="center"/>
            </w:pPr>
            <w:r/>
            <w:r>
              <w:rPr>
                <w:rFonts w:ascii="Times New Roman" w:hAnsi="Times New Roman" w:eastAsia="宋体"/>
                <w:b w:val="0"/>
                <w:sz w:val="16"/>
              </w:rPr>
              <w:t>-0.608</w:t>
            </w:r>
          </w:p>
        </w:tc>
        <w:tc>
          <w:tcPr>
            <w:tcW w:type="dxa" w:w="2267"/>
          </w:tcPr>
          <w:p>
            <w:pPr>
              <w:jc w:val="center"/>
            </w:pPr>
            <w:r/>
            <w:r>
              <w:rPr>
                <w:rFonts w:ascii="Times New Roman" w:hAnsi="Times New Roman" w:eastAsia="宋体"/>
                <w:b w:val="0"/>
                <w:sz w:val="16"/>
              </w:rPr>
              <w:t>-0.577</w:t>
            </w:r>
          </w:p>
        </w:tc>
        <w:tc>
          <w:tcPr>
            <w:tcW w:type="dxa" w:w="2267"/>
          </w:tcPr>
          <w:p>
            <w:pPr>
              <w:jc w:val="center"/>
            </w:pPr>
            <w:r/>
            <w:r>
              <w:rPr>
                <w:rFonts w:ascii="Times New Roman" w:hAnsi="Times New Roman" w:eastAsia="宋体"/>
                <w:b w:val="0"/>
                <w:sz w:val="16"/>
              </w:rPr>
              <w:t>-0.589</w:t>
            </w:r>
          </w:p>
        </w:tc>
      </w:tr>
    </w:tbl>
    <w:p>
      <w:pPr>
        <w:spacing w:before="40" w:after="160"/>
        <w:jc w:val="center"/>
      </w:pPr>
      <w:r>
        <w:rPr>
          <w:rFonts w:ascii="Times New Roman" w:hAnsi="Times New Roman" w:eastAsia="宋体"/>
          <w:b w:val="0"/>
          <w:sz w:val="18"/>
        </w:rPr>
        <w:t>表 6  以价格为外部价值信号的回归系数（三个模型并列，n = 189）</w:t>
      </w:r>
    </w:p>
    <w:p>
      <w:pPr>
        <w:spacing w:after="80" w:line="324" w:lineRule="auto"/>
        <w:ind w:firstLine="420"/>
      </w:pPr>
      <w:r>
        <w:rPr>
          <w:rFonts w:ascii="Times New Roman" w:hAnsi="Times New Roman" w:eastAsia="宋体"/>
          <w:b w:val="0"/>
          <w:sz w:val="21"/>
        </w:rPr>
        <w:t>价格回归以可算几何均价的 189 款样品为样本，并列给出 3 组模型：ols；ols_with_abv；fixed_effects（依次为不控变量、控制酒精度、控制酒精度并加入风格固定效应）。ols 的 R² = 0.340、ols_with_abv 的 R² = 0.366、fixed_effects 的 R² = 0.472，在 8 个可跨模型比较的描述符项中，有 8 项的系数符号在三个模型间保持一致，说明化学—感知组合携带的信息不完全由酒精度与风格标签解释。需要强调其边界：价格来自单一零售体系，是市场价值的代理，</w:t>
      </w:r>
      <w:r>
        <w:rPr>
          <w:rFonts w:ascii="Times New Roman" w:hAnsi="Times New Roman" w:eastAsia="宋体"/>
          <w:b/>
          <w:sz w:val="21"/>
        </w:rPr>
        <w:t>不是消费者效用的直接测量</w:t>
      </w:r>
      <w:r>
        <w:rPr>
          <w:rFonts w:ascii="Times New Roman" w:hAnsi="Times New Roman" w:eastAsia="宋体"/>
          <w:b w:val="0"/>
          <w:sz w:val="21"/>
        </w:rPr>
        <w:t>，因此本文不据此推断任何「提升消费者喜爱度」的因果结论。回归的自变量是</w:t>
      </w:r>
      <w:r>
        <w:rPr>
          <w:rFonts w:ascii="Times New Roman" w:hAnsi="Times New Roman" w:eastAsia="宋体"/>
          <w:b/>
          <w:sz w:val="21"/>
        </w:rPr>
        <w:t>化学模型给出的消费者描述符折外（5 折 OOF）预测值</w:t>
      </w:r>
      <w:r>
        <w:rPr>
          <w:rFonts w:ascii="Times New Roman" w:hAnsi="Times New Roman" w:eastAsia="宋体"/>
          <w:b w:val="0"/>
          <w:sz w:val="21"/>
        </w:rPr>
        <w:t>，而非实测感官评分——这样可避免用同一批样本既训练又评价，但也意味着系数解释的是「化学谱所预测的感知」与价格的关系。在 fixed_effects 规格下 8 个实质项中只有 3 项满足 |t| &gt; 2，即多数系数在常规显著性水平上与零无法区分，故本文只把价格回归当作</w:t>
      </w:r>
      <w:r>
        <w:rPr>
          <w:rFonts w:ascii="Times New Roman" w:hAnsi="Times New Roman" w:eastAsia="宋体"/>
          <w:b/>
          <w:sz w:val="21"/>
        </w:rPr>
        <w:t>方向性</w:t>
      </w:r>
      <w:r>
        <w:rPr>
          <w:rFonts w:ascii="Times New Roman" w:hAnsi="Times New Roman" w:eastAsia="宋体"/>
          <w:b w:val="0"/>
          <w:sz w:val="21"/>
        </w:rPr>
        <w:t>证据，而非精确的弹性估计。</w:t>
      </w:r>
    </w:p>
    <w:p>
      <w:pPr>
        <w:spacing w:before="80"/>
        <w:jc w:val="center"/>
      </w:pPr>
      <w:r>
        <w:drawing>
          <wp:inline xmlns:a="http://schemas.openxmlformats.org/drawingml/2006/main" xmlns:pic="http://schemas.openxmlformats.org/drawingml/2006/picture">
            <wp:extent cx="4206240" cy="2750717"/>
            <wp:docPr id="5" name="Picture 5"/>
            <wp:cNvGraphicFramePr>
              <a:graphicFrameLocks noChangeAspect="1"/>
            </wp:cNvGraphicFramePr>
            <a:graphic>
              <a:graphicData uri="http://schemas.openxmlformats.org/drawingml/2006/picture">
                <pic:pic>
                  <pic:nvPicPr>
                    <pic:cNvPr id="0" name="fig1_consumer_predictability.png"/>
                    <pic:cNvPicPr/>
                  </pic:nvPicPr>
                  <pic:blipFill>
                    <a:blip r:embed="rId13"/>
                    <a:stretch>
                      <a:fillRect/>
                    </a:stretch>
                  </pic:blipFill>
                  <pic:spPr>
                    <a:xfrm>
                      <a:off x="0" y="0"/>
                      <a:ext cx="4206240" cy="2750717"/>
                    </a:xfrm>
                    <a:prstGeom prst="rect"/>
                  </pic:spPr>
                </pic:pic>
              </a:graphicData>
            </a:graphic>
          </wp:inline>
        </w:drawing>
      </w:r>
    </w:p>
    <w:p>
      <w:pPr>
        <w:spacing w:before="40" w:after="160"/>
        <w:jc w:val="center"/>
      </w:pPr>
      <w:r>
        <w:rPr>
          <w:rFonts w:ascii="Times New Roman" w:hAnsi="Times New Roman" w:eastAsia="宋体"/>
          <w:b w:val="0"/>
          <w:sz w:val="18"/>
        </w:rPr>
        <w:t>图 4  逐维可预测性对比。左侧为品评组 50 个感官维度的袋外决定系数分布（箱线图），右侧为消费者 183 个描述符的袋外决定系数分布（散点），两者均以同一化学特征矩阵与同一 5 折分层划分评估。消费者路径最优模型 global_extra_trees 的宏平均 RMSE 为 0.7737，优于全局均值基线 0.8904（改善 13.1%）；其逐维 R² 中位数 0.174、斯皮尔曼中位数 0.389。图中虚线为 R²=0 参考线。</w:t>
      </w:r>
    </w:p>
    <w:p>
      <w:pPr>
        <w:spacing w:before="80"/>
        <w:jc w:val="center"/>
      </w:pPr>
      <w:r>
        <w:drawing>
          <wp:inline xmlns:a="http://schemas.openxmlformats.org/drawingml/2006/main" xmlns:pic="http://schemas.openxmlformats.org/drawingml/2006/picture">
            <wp:extent cx="4206240" cy="2922131"/>
            <wp:docPr id="6" name="Picture 6"/>
            <wp:cNvGraphicFramePr>
              <a:graphicFrameLocks noChangeAspect="1"/>
            </wp:cNvGraphicFramePr>
            <a:graphic>
              <a:graphicData uri="http://schemas.openxmlformats.org/drawingml/2006/picture">
                <pic:pic>
                  <pic:nvPicPr>
                    <pic:cNvPr id="0" name="fig2_cross_consistency.png"/>
                    <pic:cNvPicPr/>
                  </pic:nvPicPr>
                  <pic:blipFill>
                    <a:blip r:embed="rId14"/>
                    <a:stretch>
                      <a:fillRect/>
                    </a:stretch>
                  </pic:blipFill>
                  <pic:spPr>
                    <a:xfrm>
                      <a:off x="0" y="0"/>
                      <a:ext cx="4206240" cy="2922131"/>
                    </a:xfrm>
                    <a:prstGeom prst="rect"/>
                  </pic:spPr>
                </pic:pic>
              </a:graphicData>
            </a:graphic>
          </wp:inline>
        </w:drawing>
      </w:r>
    </w:p>
    <w:p>
      <w:pPr>
        <w:spacing w:before="40" w:after="160"/>
        <w:jc w:val="center"/>
      </w:pPr>
      <w:r>
        <w:rPr>
          <w:rFonts w:ascii="Times New Roman" w:hAnsi="Times New Roman" w:eastAsia="宋体"/>
          <w:b w:val="0"/>
          <w:sz w:val="18"/>
        </w:rPr>
        <w:t>图 5  两条感知路径一致性。横轴为品评组路径与消费者路径在同一感官维度上的实测相关（ρ 真值），纵轴为化学模型预测的相关（ρ 预测），共 33 组配对；虚线为 ρ 预测 = ρ 真值的一致线。两组相关的绝对偏差中位数为 0.166，其中 54.5% 不超过 0.2。需注意品评组维度与消费者描述符来自不同词汇表，二者映射存在循环性风险，故本图只用于方向性对照，不作为因果证据。</w:t>
      </w:r>
    </w:p>
    <w:p>
      <w:pPr>
        <w:spacing w:before="80"/>
        <w:jc w:val="center"/>
      </w:pPr>
      <w:r>
        <w:drawing>
          <wp:inline xmlns:a="http://schemas.openxmlformats.org/drawingml/2006/main" xmlns:pic="http://schemas.openxmlformats.org/drawingml/2006/picture">
            <wp:extent cx="4206240" cy="3011643"/>
            <wp:docPr id="7" name="Picture 7"/>
            <wp:cNvGraphicFramePr>
              <a:graphicFrameLocks noChangeAspect="1"/>
            </wp:cNvGraphicFramePr>
            <a:graphic>
              <a:graphicData uri="http://schemas.openxmlformats.org/drawingml/2006/picture">
                <pic:pic>
                  <pic:nvPicPr>
                    <pic:cNvPr id="0" name="fig4_price_effects.png"/>
                    <pic:cNvPicPr/>
                  </pic:nvPicPr>
                  <pic:blipFill>
                    <a:blip r:embed="rId15"/>
                    <a:stretch>
                      <a:fillRect/>
                    </a:stretch>
                  </pic:blipFill>
                  <pic:spPr>
                    <a:xfrm>
                      <a:off x="0" y="0"/>
                      <a:ext cx="4206240" cy="3011643"/>
                    </a:xfrm>
                    <a:prstGeom prst="rect"/>
                  </pic:spPr>
                </pic:pic>
              </a:graphicData>
            </a:graphic>
          </wp:inline>
        </w:drawing>
      </w:r>
    </w:p>
    <w:p>
      <w:pPr>
        <w:spacing w:before="40" w:after="160"/>
        <w:jc w:val="center"/>
      </w:pPr>
      <w:r>
        <w:rPr>
          <w:rFonts w:ascii="Times New Roman" w:hAnsi="Times New Roman" w:eastAsia="宋体"/>
          <w:b w:val="0"/>
          <w:sz w:val="18"/>
        </w:rPr>
        <w:t>图 6  价格部分效应。三个设定下 log 价格对各感官维度的偏回归系数及 95% 置信区间：ols（R²=0.340）、ols_with_abv（加入 ABV，R²=0.366）、fixed_effects（再加入风格固定效应、按风格聚类稳健标准误，R²=0.472），样本量 n=189（仅含 ≥2 家零售报价的啤酒）。价格来自单一零售源附件，此处仅作为外部价值信号，不作市场因果解释。</w:t>
      </w:r>
    </w:p>
    <w:p>
      <w:pPr>
        <w:spacing w:before="140" w:after="80" w:line="312" w:lineRule="auto"/>
        <w:jc w:val="left"/>
      </w:pPr>
      <w:r>
        <w:rPr>
          <w:rFonts w:ascii="Times New Roman" w:hAnsi="Times New Roman" w:eastAsia="黑体"/>
          <w:b/>
          <w:sz w:val="26"/>
        </w:rPr>
        <w:t>5.3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Times New Roman" w:hAnsi="Times New Roman" w:eastAsia="黑体"/>
                <w:b/>
                <w:sz w:val="16"/>
              </w:rPr>
              <w:t>|ρ| 阈值</w:t>
            </w:r>
          </w:p>
        </w:tc>
        <w:tc>
          <w:tcPr>
            <w:tcW w:type="dxa" w:w="1008"/>
          </w:tcPr>
          <w:p>
            <w:pPr>
              <w:jc w:val="center"/>
            </w:pPr>
            <w:r/>
            <w:r>
              <w:rPr>
                <w:rFonts w:ascii="Times New Roman" w:hAnsi="Times New Roman" w:eastAsia="黑体"/>
                <w:b/>
                <w:sz w:val="16"/>
              </w:rPr>
              <w:t>边数</w:t>
            </w:r>
          </w:p>
        </w:tc>
        <w:tc>
          <w:tcPr>
            <w:tcW w:type="dxa" w:w="1008"/>
          </w:tcPr>
          <w:p>
            <w:pPr>
              <w:jc w:val="center"/>
            </w:pPr>
            <w:r/>
            <w:r>
              <w:rPr>
                <w:rFonts w:ascii="Times New Roman" w:hAnsi="Times New Roman" w:eastAsia="黑体"/>
                <w:b/>
                <w:sz w:val="16"/>
              </w:rPr>
              <w:t>连通分量</w:t>
            </w:r>
          </w:p>
        </w:tc>
        <w:tc>
          <w:tcPr>
            <w:tcW w:type="dxa" w:w="1008"/>
          </w:tcPr>
          <w:p>
            <w:pPr>
              <w:jc w:val="center"/>
            </w:pPr>
            <w:r/>
            <w:r>
              <w:rPr>
                <w:rFonts w:ascii="Times New Roman" w:hAnsi="Times New Roman" w:eastAsia="黑体"/>
                <w:b/>
                <w:sz w:val="16"/>
              </w:rPr>
              <w:t>社区数</w:t>
            </w:r>
          </w:p>
        </w:tc>
        <w:tc>
          <w:tcPr>
            <w:tcW w:type="dxa" w:w="1008"/>
          </w:tcPr>
          <w:p>
            <w:pPr>
              <w:jc w:val="center"/>
            </w:pPr>
            <w:r/>
            <w:r>
              <w:rPr>
                <w:rFonts w:ascii="Times New Roman" w:hAnsi="Times New Roman" w:eastAsia="黑体"/>
                <w:b/>
                <w:sz w:val="16"/>
              </w:rPr>
              <w:t>最大社区</w:t>
            </w:r>
          </w:p>
        </w:tc>
        <w:tc>
          <w:tcPr>
            <w:tcW w:type="dxa" w:w="1008"/>
          </w:tcPr>
          <w:p>
            <w:pPr>
              <w:jc w:val="center"/>
            </w:pPr>
            <w:r/>
            <w:r>
              <w:rPr>
                <w:rFonts w:ascii="Times New Roman" w:hAnsi="Times New Roman" w:eastAsia="黑体"/>
                <w:b/>
                <w:sz w:val="16"/>
              </w:rPr>
              <w:t>孤立节点</w:t>
            </w:r>
          </w:p>
        </w:tc>
        <w:tc>
          <w:tcPr>
            <w:tcW w:type="dxa" w:w="1008"/>
          </w:tcPr>
          <w:p>
            <w:pPr>
              <w:jc w:val="center"/>
            </w:pPr>
            <w:r/>
            <w:r>
              <w:rPr>
                <w:rFonts w:ascii="Times New Roman" w:hAnsi="Times New Roman" w:eastAsia="黑体"/>
                <w:b/>
                <w:sz w:val="16"/>
              </w:rPr>
              <w:t>模块度 Q</w:t>
            </w:r>
          </w:p>
        </w:tc>
        <w:tc>
          <w:tcPr>
            <w:tcW w:type="dxa" w:w="1008"/>
          </w:tcPr>
          <w:p>
            <w:pPr>
              <w:jc w:val="center"/>
            </w:pPr>
            <w:r/>
            <w:r>
              <w:rPr>
                <w:rFonts w:ascii="Times New Roman" w:hAnsi="Times New Roman" w:eastAsia="黑体"/>
                <w:b/>
                <w:sz w:val="16"/>
              </w:rPr>
              <w:t>化学纯度</w:t>
            </w:r>
          </w:p>
        </w:tc>
        <w:tc>
          <w:tcPr>
            <w:tcW w:type="dxa" w:w="1008"/>
          </w:tcPr>
          <w:p>
            <w:pPr>
              <w:jc w:val="center"/>
            </w:pPr>
            <w:r/>
            <w:r>
              <w:rPr>
                <w:rFonts w:ascii="Times New Roman" w:hAnsi="Times New Roman" w:eastAsia="黑体"/>
                <w:b/>
                <w:sz w:val="16"/>
              </w:rPr>
              <w:t>边密度</w:t>
            </w:r>
          </w:p>
        </w:tc>
      </w:tr>
      <w:tr>
        <w:tc>
          <w:tcPr>
            <w:tcW w:type="dxa" w:w="1008"/>
          </w:tcPr>
          <w:p>
            <w:pPr>
              <w:jc w:val="center"/>
            </w:pPr>
            <w:r/>
            <w:r>
              <w:rPr>
                <w:rFonts w:ascii="Times New Roman" w:hAnsi="Times New Roman" w:eastAsia="宋体"/>
                <w:b w:val="0"/>
                <w:sz w:val="16"/>
              </w:rPr>
              <w:t>0.500</w:t>
            </w:r>
          </w:p>
        </w:tc>
        <w:tc>
          <w:tcPr>
            <w:tcW w:type="dxa" w:w="1008"/>
          </w:tcPr>
          <w:p>
            <w:pPr>
              <w:jc w:val="center"/>
            </w:pPr>
            <w:r/>
            <w:r>
              <w:rPr>
                <w:rFonts w:ascii="Times New Roman" w:hAnsi="Times New Roman" w:eastAsia="宋体"/>
                <w:b w:val="0"/>
                <w:sz w:val="16"/>
              </w:rPr>
              <w:t>645</w:t>
            </w:r>
          </w:p>
        </w:tc>
        <w:tc>
          <w:tcPr>
            <w:tcW w:type="dxa" w:w="1008"/>
          </w:tcPr>
          <w:p>
            <w:pPr>
              <w:jc w:val="center"/>
            </w:pPr>
            <w:r/>
            <w:r>
              <w:rPr>
                <w:rFonts w:ascii="Times New Roman" w:hAnsi="Times New Roman" w:eastAsia="宋体"/>
                <w:b w:val="0"/>
                <w:sz w:val="16"/>
              </w:rPr>
              <w:t>52</w:t>
            </w:r>
          </w:p>
        </w:tc>
        <w:tc>
          <w:tcPr>
            <w:tcW w:type="dxa" w:w="1008"/>
          </w:tcPr>
          <w:p>
            <w:pPr>
              <w:jc w:val="center"/>
            </w:pPr>
            <w:r/>
            <w:r>
              <w:rPr>
                <w:rFonts w:ascii="Times New Roman" w:hAnsi="Times New Roman" w:eastAsia="宋体"/>
                <w:b w:val="0"/>
                <w:sz w:val="16"/>
              </w:rPr>
              <w:t>59</w:t>
            </w:r>
          </w:p>
        </w:tc>
        <w:tc>
          <w:tcPr>
            <w:tcW w:type="dxa" w:w="1008"/>
          </w:tcPr>
          <w:p>
            <w:pPr>
              <w:jc w:val="center"/>
            </w:pPr>
            <w:r/>
            <w:r>
              <w:rPr>
                <w:rFonts w:ascii="Times New Roman" w:hAnsi="Times New Roman" w:eastAsia="宋体"/>
                <w:b w:val="0"/>
                <w:sz w:val="16"/>
              </w:rPr>
              <w:t>33</w:t>
            </w:r>
          </w:p>
        </w:tc>
        <w:tc>
          <w:tcPr>
            <w:tcW w:type="dxa" w:w="1008"/>
          </w:tcPr>
          <w:p>
            <w:pPr>
              <w:jc w:val="center"/>
            </w:pPr>
            <w:r/>
            <w:r>
              <w:rPr>
                <w:rFonts w:ascii="Times New Roman" w:hAnsi="Times New Roman" w:eastAsia="宋体"/>
                <w:b w:val="0"/>
                <w:sz w:val="16"/>
              </w:rPr>
              <w:t>48</w:t>
            </w:r>
          </w:p>
        </w:tc>
        <w:tc>
          <w:tcPr>
            <w:tcW w:type="dxa" w:w="1008"/>
          </w:tcPr>
          <w:p>
            <w:pPr>
              <w:jc w:val="center"/>
            </w:pPr>
            <w:r/>
            <w:r>
              <w:rPr>
                <w:rFonts w:ascii="Times New Roman" w:hAnsi="Times New Roman" w:eastAsia="宋体"/>
                <w:b w:val="0"/>
                <w:sz w:val="16"/>
              </w:rPr>
              <w:t>0.651</w:t>
            </w:r>
          </w:p>
        </w:tc>
        <w:tc>
          <w:tcPr>
            <w:tcW w:type="dxa" w:w="1008"/>
          </w:tcPr>
          <w:p>
            <w:pPr>
              <w:jc w:val="center"/>
            </w:pPr>
            <w:r/>
            <w:r>
              <w:rPr>
                <w:rFonts w:ascii="Times New Roman" w:hAnsi="Times New Roman" w:eastAsia="宋体"/>
                <w:b w:val="0"/>
                <w:sz w:val="16"/>
              </w:rPr>
              <w:t>0.563</w:t>
            </w:r>
          </w:p>
        </w:tc>
        <w:tc>
          <w:tcPr>
            <w:tcW w:type="dxa" w:w="1008"/>
          </w:tcPr>
          <w:p>
            <w:pPr>
              <w:jc w:val="center"/>
            </w:pPr>
            <w:r/>
            <w:r>
              <w:rPr>
                <w:rFonts w:ascii="Times New Roman" w:hAnsi="Times New Roman" w:eastAsia="宋体"/>
                <w:b w:val="0"/>
                <w:sz w:val="16"/>
              </w:rPr>
              <w:t>0.024</w:t>
            </w:r>
          </w:p>
        </w:tc>
      </w:tr>
      <w:tr>
        <w:tc>
          <w:tcPr>
            <w:tcW w:type="dxa" w:w="1008"/>
          </w:tcPr>
          <w:p>
            <w:pPr>
              <w:jc w:val="center"/>
            </w:pPr>
            <w:r/>
            <w:r>
              <w:rPr>
                <w:rFonts w:ascii="Times New Roman" w:hAnsi="Times New Roman" w:eastAsia="宋体"/>
                <w:b w:val="0"/>
                <w:sz w:val="16"/>
              </w:rPr>
              <w:t>0.600</w:t>
            </w:r>
          </w:p>
        </w:tc>
        <w:tc>
          <w:tcPr>
            <w:tcW w:type="dxa" w:w="1008"/>
          </w:tcPr>
          <w:p>
            <w:pPr>
              <w:jc w:val="center"/>
            </w:pPr>
            <w:r/>
            <w:r>
              <w:rPr>
                <w:rFonts w:ascii="Times New Roman" w:hAnsi="Times New Roman" w:eastAsia="宋体"/>
                <w:b w:val="0"/>
                <w:sz w:val="16"/>
              </w:rPr>
              <w:t>266</w:t>
            </w:r>
          </w:p>
        </w:tc>
        <w:tc>
          <w:tcPr>
            <w:tcW w:type="dxa" w:w="1008"/>
          </w:tcPr>
          <w:p>
            <w:pPr>
              <w:jc w:val="center"/>
            </w:pPr>
            <w:r/>
            <w:r>
              <w:rPr>
                <w:rFonts w:ascii="Times New Roman" w:hAnsi="Times New Roman" w:eastAsia="宋体"/>
                <w:b w:val="0"/>
                <w:sz w:val="16"/>
              </w:rPr>
              <w:t>114</w:t>
            </w:r>
          </w:p>
        </w:tc>
        <w:tc>
          <w:tcPr>
            <w:tcW w:type="dxa" w:w="1008"/>
          </w:tcPr>
          <w:p>
            <w:pPr>
              <w:jc w:val="center"/>
            </w:pPr>
            <w:r/>
            <w:r>
              <w:rPr>
                <w:rFonts w:ascii="Times New Roman" w:hAnsi="Times New Roman" w:eastAsia="宋体"/>
                <w:b w:val="0"/>
                <w:sz w:val="16"/>
              </w:rPr>
              <w:t>120</w:t>
            </w:r>
          </w:p>
        </w:tc>
        <w:tc>
          <w:tcPr>
            <w:tcW w:type="dxa" w:w="1008"/>
          </w:tcPr>
          <w:p>
            <w:pPr>
              <w:jc w:val="center"/>
            </w:pPr>
            <w:r/>
            <w:r>
              <w:rPr>
                <w:rFonts w:ascii="Times New Roman" w:hAnsi="Times New Roman" w:eastAsia="宋体"/>
                <w:b w:val="0"/>
                <w:sz w:val="16"/>
              </w:rPr>
              <w:t>21</w:t>
            </w:r>
          </w:p>
        </w:tc>
        <w:tc>
          <w:tcPr>
            <w:tcW w:type="dxa" w:w="1008"/>
          </w:tcPr>
          <w:p>
            <w:pPr>
              <w:jc w:val="center"/>
            </w:pPr>
            <w:r/>
            <w:r>
              <w:rPr>
                <w:rFonts w:ascii="Times New Roman" w:hAnsi="Times New Roman" w:eastAsia="宋体"/>
                <w:b w:val="0"/>
                <w:sz w:val="16"/>
              </w:rPr>
              <w:t>101</w:t>
            </w:r>
          </w:p>
        </w:tc>
        <w:tc>
          <w:tcPr>
            <w:tcW w:type="dxa" w:w="1008"/>
          </w:tcPr>
          <w:p>
            <w:pPr>
              <w:jc w:val="center"/>
            </w:pPr>
            <w:r/>
            <w:r>
              <w:rPr>
                <w:rFonts w:ascii="Times New Roman" w:hAnsi="Times New Roman" w:eastAsia="宋体"/>
                <w:b w:val="0"/>
                <w:sz w:val="16"/>
              </w:rPr>
              <w:t>0.746</w:t>
            </w:r>
          </w:p>
        </w:tc>
        <w:tc>
          <w:tcPr>
            <w:tcW w:type="dxa" w:w="1008"/>
          </w:tcPr>
          <w:p>
            <w:pPr>
              <w:jc w:val="center"/>
            </w:pPr>
            <w:r/>
            <w:r>
              <w:rPr>
                <w:rFonts w:ascii="Times New Roman" w:hAnsi="Times New Roman" w:eastAsia="宋体"/>
                <w:b w:val="0"/>
                <w:sz w:val="16"/>
              </w:rPr>
              <w:t>0.661</w:t>
            </w:r>
          </w:p>
        </w:tc>
        <w:tc>
          <w:tcPr>
            <w:tcW w:type="dxa" w:w="1008"/>
          </w:tcPr>
          <w:p>
            <w:pPr>
              <w:jc w:val="center"/>
            </w:pPr>
            <w:r/>
            <w:r>
              <w:rPr>
                <w:rFonts w:ascii="Times New Roman" w:hAnsi="Times New Roman" w:eastAsia="宋体"/>
                <w:b w:val="0"/>
                <w:sz w:val="16"/>
              </w:rPr>
              <w:t>0.010</w:t>
            </w:r>
          </w:p>
        </w:tc>
      </w:tr>
      <w:tr>
        <w:tc>
          <w:tcPr>
            <w:tcW w:type="dxa" w:w="1008"/>
          </w:tcPr>
          <w:p>
            <w:pPr>
              <w:jc w:val="center"/>
            </w:pPr>
            <w:r/>
            <w:r>
              <w:rPr>
                <w:rFonts w:ascii="Times New Roman" w:hAnsi="Times New Roman" w:eastAsia="宋体"/>
                <w:b w:val="0"/>
                <w:sz w:val="16"/>
              </w:rPr>
              <w:t>0.700</w:t>
            </w:r>
          </w:p>
        </w:tc>
        <w:tc>
          <w:tcPr>
            <w:tcW w:type="dxa" w:w="1008"/>
          </w:tcPr>
          <w:p>
            <w:pPr>
              <w:jc w:val="center"/>
            </w:pPr>
            <w:r/>
            <w:r>
              <w:rPr>
                <w:rFonts w:ascii="Times New Roman" w:hAnsi="Times New Roman" w:eastAsia="宋体"/>
                <w:b w:val="0"/>
                <w:sz w:val="16"/>
              </w:rPr>
              <w:t>109</w:t>
            </w:r>
          </w:p>
        </w:tc>
        <w:tc>
          <w:tcPr>
            <w:tcW w:type="dxa" w:w="1008"/>
          </w:tcPr>
          <w:p>
            <w:pPr>
              <w:jc w:val="center"/>
            </w:pPr>
            <w:r/>
            <w:r>
              <w:rPr>
                <w:rFonts w:ascii="Times New Roman" w:hAnsi="Times New Roman" w:eastAsia="宋体"/>
                <w:b w:val="0"/>
                <w:sz w:val="16"/>
              </w:rPr>
              <w:t>169</w:t>
            </w:r>
          </w:p>
        </w:tc>
        <w:tc>
          <w:tcPr>
            <w:tcW w:type="dxa" w:w="1008"/>
          </w:tcPr>
          <w:p>
            <w:pPr>
              <w:jc w:val="center"/>
            </w:pPr>
            <w:r/>
            <w:r>
              <w:rPr>
                <w:rFonts w:ascii="Times New Roman" w:hAnsi="Times New Roman" w:eastAsia="宋体"/>
                <w:b w:val="0"/>
                <w:sz w:val="16"/>
              </w:rPr>
              <w:t>171</w:t>
            </w:r>
          </w:p>
        </w:tc>
        <w:tc>
          <w:tcPr>
            <w:tcW w:type="dxa" w:w="1008"/>
          </w:tcPr>
          <w:p>
            <w:pPr>
              <w:jc w:val="center"/>
            </w:pPr>
            <w:r/>
            <w:r>
              <w:rPr>
                <w:rFonts w:ascii="Times New Roman" w:hAnsi="Times New Roman" w:eastAsia="宋体"/>
                <w:b w:val="0"/>
                <w:sz w:val="16"/>
              </w:rPr>
              <w:t>11</w:t>
            </w:r>
          </w:p>
        </w:tc>
        <w:tc>
          <w:tcPr>
            <w:tcW w:type="dxa" w:w="1008"/>
          </w:tcPr>
          <w:p>
            <w:pPr>
              <w:jc w:val="center"/>
            </w:pPr>
            <w:r/>
            <w:r>
              <w:rPr>
                <w:rFonts w:ascii="Times New Roman" w:hAnsi="Times New Roman" w:eastAsia="宋体"/>
                <w:b w:val="0"/>
                <w:sz w:val="16"/>
              </w:rPr>
              <w:t>150</w:t>
            </w:r>
          </w:p>
        </w:tc>
        <w:tc>
          <w:tcPr>
            <w:tcW w:type="dxa" w:w="1008"/>
          </w:tcPr>
          <w:p>
            <w:pPr>
              <w:jc w:val="center"/>
            </w:pPr>
            <w:r/>
            <w:r>
              <w:rPr>
                <w:rFonts w:ascii="Times New Roman" w:hAnsi="Times New Roman" w:eastAsia="宋体"/>
                <w:b w:val="0"/>
                <w:sz w:val="16"/>
              </w:rPr>
              <w:t>0.751</w:t>
            </w:r>
          </w:p>
        </w:tc>
        <w:tc>
          <w:tcPr>
            <w:tcW w:type="dxa" w:w="1008"/>
          </w:tcPr>
          <w:p>
            <w:pPr>
              <w:jc w:val="center"/>
            </w:pPr>
            <w:r/>
            <w:r>
              <w:rPr>
                <w:rFonts w:ascii="Times New Roman" w:hAnsi="Times New Roman" w:eastAsia="宋体"/>
                <w:b w:val="0"/>
                <w:sz w:val="16"/>
              </w:rPr>
              <w:t>0.778</w:t>
            </w:r>
          </w:p>
        </w:tc>
        <w:tc>
          <w:tcPr>
            <w:tcW w:type="dxa" w:w="1008"/>
          </w:tcPr>
          <w:p>
            <w:pPr>
              <w:jc w:val="center"/>
            </w:pPr>
            <w:r/>
            <w:r>
              <w:rPr>
                <w:rFonts w:ascii="Times New Roman" w:hAnsi="Times New Roman" w:eastAsia="宋体"/>
                <w:b w:val="0"/>
                <w:sz w:val="16"/>
              </w:rPr>
              <w:t>0.004</w:t>
            </w:r>
          </w:p>
        </w:tc>
      </w:tr>
      <w:tr>
        <w:tc>
          <w:tcPr>
            <w:tcW w:type="dxa" w:w="1008"/>
          </w:tcPr>
          <w:p>
            <w:pPr>
              <w:jc w:val="center"/>
            </w:pPr>
            <w:r/>
            <w:r>
              <w:rPr>
                <w:rFonts w:ascii="Times New Roman" w:hAnsi="Times New Roman" w:eastAsia="宋体"/>
                <w:b w:val="0"/>
                <w:sz w:val="16"/>
              </w:rPr>
              <w:t>0.800</w:t>
            </w:r>
          </w:p>
        </w:tc>
        <w:tc>
          <w:tcPr>
            <w:tcW w:type="dxa" w:w="1008"/>
          </w:tcPr>
          <w:p>
            <w:pPr>
              <w:jc w:val="center"/>
            </w:pPr>
            <w:r/>
            <w:r>
              <w:rPr>
                <w:rFonts w:ascii="Times New Roman" w:hAnsi="Times New Roman" w:eastAsia="宋体"/>
                <w:b w:val="0"/>
                <w:sz w:val="16"/>
              </w:rPr>
              <w:t>39</w:t>
            </w:r>
          </w:p>
        </w:tc>
        <w:tc>
          <w:tcPr>
            <w:tcW w:type="dxa" w:w="1008"/>
          </w:tcPr>
          <w:p>
            <w:pPr>
              <w:jc w:val="center"/>
            </w:pPr>
            <w:r/>
            <w:r>
              <w:rPr>
                <w:rFonts w:ascii="Times New Roman" w:hAnsi="Times New Roman" w:eastAsia="宋体"/>
                <w:b w:val="0"/>
                <w:sz w:val="16"/>
              </w:rPr>
              <w:t>207</w:t>
            </w:r>
          </w:p>
        </w:tc>
        <w:tc>
          <w:tcPr>
            <w:tcW w:type="dxa" w:w="1008"/>
          </w:tcPr>
          <w:p>
            <w:pPr>
              <w:jc w:val="center"/>
            </w:pPr>
            <w:r/>
            <w:r>
              <w:rPr>
                <w:rFonts w:ascii="Times New Roman" w:hAnsi="Times New Roman" w:eastAsia="宋体"/>
                <w:b w:val="0"/>
                <w:sz w:val="16"/>
              </w:rPr>
              <w:t>208</w:t>
            </w:r>
          </w:p>
        </w:tc>
        <w:tc>
          <w:tcPr>
            <w:tcW w:type="dxa" w:w="1008"/>
          </w:tcPr>
          <w:p>
            <w:pPr>
              <w:jc w:val="center"/>
            </w:pPr>
            <w:r/>
            <w:r>
              <w:rPr>
                <w:rFonts w:ascii="Times New Roman" w:hAnsi="Times New Roman" w:eastAsia="宋体"/>
                <w:b w:val="0"/>
                <w:sz w:val="16"/>
              </w:rPr>
              <w:t>7</w:t>
            </w:r>
          </w:p>
        </w:tc>
        <w:tc>
          <w:tcPr>
            <w:tcW w:type="dxa" w:w="1008"/>
          </w:tcPr>
          <w:p>
            <w:pPr>
              <w:jc w:val="center"/>
            </w:pPr>
            <w:r/>
            <w:r>
              <w:rPr>
                <w:rFonts w:ascii="Times New Roman" w:hAnsi="Times New Roman" w:eastAsia="宋体"/>
                <w:b w:val="0"/>
                <w:sz w:val="16"/>
              </w:rPr>
              <w:t>194</w:t>
            </w:r>
          </w:p>
        </w:tc>
        <w:tc>
          <w:tcPr>
            <w:tcW w:type="dxa" w:w="1008"/>
          </w:tcPr>
          <w:p>
            <w:pPr>
              <w:jc w:val="center"/>
            </w:pPr>
            <w:r/>
            <w:r>
              <w:rPr>
                <w:rFonts w:ascii="Times New Roman" w:hAnsi="Times New Roman" w:eastAsia="宋体"/>
                <w:b w:val="0"/>
                <w:sz w:val="16"/>
              </w:rPr>
              <w:t>0.682</w:t>
            </w:r>
          </w:p>
        </w:tc>
        <w:tc>
          <w:tcPr>
            <w:tcW w:type="dxa" w:w="1008"/>
          </w:tcPr>
          <w:p>
            <w:pPr>
              <w:jc w:val="center"/>
            </w:pPr>
            <w:r/>
            <w:r>
              <w:rPr>
                <w:rFonts w:ascii="Times New Roman" w:hAnsi="Times New Roman" w:eastAsia="宋体"/>
                <w:b w:val="0"/>
                <w:sz w:val="16"/>
              </w:rPr>
              <w:t>0.811</w:t>
            </w:r>
          </w:p>
        </w:tc>
        <w:tc>
          <w:tcPr>
            <w:tcW w:type="dxa" w:w="1008"/>
          </w:tcPr>
          <w:p>
            <w:pPr>
              <w:jc w:val="center"/>
            </w:pPr>
            <w:r/>
            <w:r>
              <w:rPr>
                <w:rFonts w:ascii="Times New Roman" w:hAnsi="Times New Roman" w:eastAsia="宋体"/>
                <w:b w:val="0"/>
                <w:sz w:val="16"/>
              </w:rPr>
              <w:t>0.001</w:t>
            </w:r>
          </w:p>
        </w:tc>
      </w:tr>
    </w:tbl>
    <w:p>
      <w:pPr>
        <w:spacing w:before="40" w:after="160"/>
        <w:jc w:val="center"/>
      </w:pPr>
      <w:r>
        <w:rPr>
          <w:rFonts w:ascii="Times New Roman" w:hAnsi="Times New Roman" w:eastAsia="宋体"/>
          <w:b w:val="0"/>
          <w:sz w:val="18"/>
        </w:rPr>
        <w:t>表 7  共表达图的阈值敏感性（模块度、化学纯度与连通性）</w:t>
      </w:r>
    </w:p>
    <w:p>
      <w:pPr>
        <w:spacing w:before="80"/>
        <w:jc w:val="center"/>
      </w:pPr>
    </w:p>
    <w:tbl>
      <w:tblPr>
        <w:tblStyle w:val="16"/>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rFonts w:ascii="Times New Roman" w:hAnsi="Times New Roman" w:eastAsia="黑体"/>
                <w:b/>
                <w:sz w:val="17"/>
              </w:rPr>
              <w:t>community</w:t>
            </w:r>
          </w:p>
        </w:tc>
        <w:tc>
          <w:tcPr>
            <w:tcW w:type="dxa" w:w="1512"/>
          </w:tcPr>
          <w:p>
            <w:pPr>
              <w:jc w:val="center"/>
            </w:pPr>
            <w:r/>
            <w:r>
              <w:rPr>
                <w:rFonts w:ascii="Times New Roman" w:hAnsi="Times New Roman" w:eastAsia="黑体"/>
                <w:b/>
                <w:sz w:val="17"/>
              </w:rPr>
              <w:t>n_nodes</w:t>
            </w:r>
          </w:p>
        </w:tc>
        <w:tc>
          <w:tcPr>
            <w:tcW w:type="dxa" w:w="1512"/>
          </w:tcPr>
          <w:p>
            <w:pPr>
              <w:jc w:val="center"/>
            </w:pPr>
            <w:r/>
            <w:r>
              <w:rPr>
                <w:rFonts w:ascii="Times New Roman" w:hAnsi="Times New Roman" w:eastAsia="黑体"/>
                <w:b/>
                <w:sz w:val="17"/>
              </w:rPr>
              <w:t>top_origin_paper</w:t>
            </w:r>
          </w:p>
        </w:tc>
        <w:tc>
          <w:tcPr>
            <w:tcW w:type="dxa" w:w="1512"/>
          </w:tcPr>
          <w:p>
            <w:pPr>
              <w:jc w:val="center"/>
            </w:pPr>
            <w:r/>
            <w:r>
              <w:rPr>
                <w:rFonts w:ascii="Times New Roman" w:hAnsi="Times New Roman" w:eastAsia="黑体"/>
                <w:b/>
                <w:sz w:val="17"/>
              </w:rPr>
              <w:t>top_origin_share</w:t>
            </w:r>
          </w:p>
        </w:tc>
        <w:tc>
          <w:tcPr>
            <w:tcW w:type="dxa" w:w="1512"/>
          </w:tcPr>
          <w:p>
            <w:pPr>
              <w:jc w:val="center"/>
            </w:pPr>
            <w:r/>
            <w:r>
              <w:rPr>
                <w:rFonts w:ascii="Times New Roman" w:hAnsi="Times New Roman" w:eastAsia="黑体"/>
                <w:b/>
                <w:sz w:val="17"/>
              </w:rPr>
              <w:t>mean_degree</w:t>
            </w:r>
          </w:p>
        </w:tc>
        <w:tc>
          <w:tcPr>
            <w:tcW w:type="dxa" w:w="1512"/>
          </w:tcPr>
          <w:p>
            <w:pPr>
              <w:jc w:val="center"/>
            </w:pPr>
            <w:r/>
            <w:r>
              <w:rPr>
                <w:rFonts w:ascii="Times New Roman" w:hAnsi="Times New Roman" w:eastAsia="黑体"/>
                <w:b/>
                <w:sz w:val="17"/>
              </w:rPr>
              <w:t>n_defect_nodes</w:t>
            </w:r>
          </w:p>
        </w:tc>
      </w:tr>
      <w:tr>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21</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0.5714</w:t>
            </w:r>
          </w:p>
        </w:tc>
        <w:tc>
          <w:tcPr>
            <w:tcW w:type="dxa" w:w="1512"/>
          </w:tcPr>
          <w:p>
            <w:pPr>
              <w:jc w:val="center"/>
            </w:pPr>
            <w:r/>
            <w:r>
              <w:rPr>
                <w:rFonts w:ascii="Times New Roman" w:hAnsi="Times New Roman" w:eastAsia="宋体"/>
                <w:b w:val="0"/>
                <w:sz w:val="17"/>
              </w:rPr>
              <w:t>2.619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39</w:t>
            </w:r>
          </w:p>
        </w:tc>
        <w:tc>
          <w:tcPr>
            <w:tcW w:type="dxa" w:w="1512"/>
          </w:tcPr>
          <w:p>
            <w:pPr>
              <w:jc w:val="center"/>
            </w:pPr>
            <w:r/>
            <w:r>
              <w:rPr>
                <w:rFonts w:ascii="Times New Roman" w:hAnsi="Times New Roman" w:eastAsia="宋体"/>
                <w:b w:val="0"/>
                <w:sz w:val="17"/>
              </w:rPr>
              <w:t>17</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0.8824</w:t>
            </w:r>
          </w:p>
        </w:tc>
        <w:tc>
          <w:tcPr>
            <w:tcW w:type="dxa" w:w="1512"/>
          </w:tcPr>
          <w:p>
            <w:pPr>
              <w:jc w:val="center"/>
            </w:pPr>
            <w:r/>
            <w:r>
              <w:rPr>
                <w:rFonts w:ascii="Times New Roman" w:hAnsi="Times New Roman" w:eastAsia="宋体"/>
                <w:b w:val="0"/>
                <w:sz w:val="17"/>
              </w:rPr>
              <w:t>6.706</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16</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0.75</w:t>
            </w:r>
          </w:p>
        </w:tc>
        <w:tc>
          <w:tcPr>
            <w:tcW w:type="dxa" w:w="1512"/>
          </w:tcPr>
          <w:p>
            <w:pPr>
              <w:jc w:val="center"/>
            </w:pPr>
            <w:r/>
            <w:r>
              <w:rPr>
                <w:rFonts w:ascii="Times New Roman" w:hAnsi="Times New Roman" w:eastAsia="宋体"/>
                <w:b w:val="0"/>
                <w:sz w:val="17"/>
              </w:rPr>
              <w:t>10.69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0</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0.8667</w:t>
            </w:r>
          </w:p>
        </w:tc>
        <w:tc>
          <w:tcPr>
            <w:tcW w:type="dxa" w:w="1512"/>
          </w:tcPr>
          <w:p>
            <w:pPr>
              <w:jc w:val="center"/>
            </w:pPr>
            <w:r/>
            <w:r>
              <w:rPr>
                <w:rFonts w:ascii="Times New Roman" w:hAnsi="Times New Roman" w:eastAsia="宋体"/>
                <w:b w:val="0"/>
                <w:sz w:val="17"/>
              </w:rPr>
              <w:t>4.533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0.3333</w:t>
            </w:r>
          </w:p>
        </w:tc>
        <w:tc>
          <w:tcPr>
            <w:tcW w:type="dxa" w:w="1512"/>
          </w:tcPr>
          <w:p>
            <w:pPr>
              <w:jc w:val="center"/>
            </w:pPr>
            <w:r/>
            <w:r>
              <w:rPr>
                <w:rFonts w:ascii="Times New Roman" w:hAnsi="Times New Roman" w:eastAsia="宋体"/>
                <w:b w:val="0"/>
                <w:sz w:val="17"/>
              </w:rPr>
              <w:t>2.667</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47</w:t>
            </w:r>
          </w:p>
        </w:tc>
        <w:tc>
          <w:tcPr>
            <w:tcW w:type="dxa" w:w="1512"/>
          </w:tcPr>
          <w:p>
            <w:pPr>
              <w:jc w:val="center"/>
            </w:pPr>
            <w:r/>
            <w:r>
              <w:rPr>
                <w:rFonts w:ascii="Times New Roman" w:hAnsi="Times New Roman" w:eastAsia="宋体"/>
                <w:b w:val="0"/>
                <w:sz w:val="17"/>
              </w:rPr>
              <w:t>12</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0.5833</w:t>
            </w:r>
          </w:p>
        </w:tc>
        <w:tc>
          <w:tcPr>
            <w:tcW w:type="dxa" w:w="1512"/>
          </w:tcPr>
          <w:p>
            <w:pPr>
              <w:jc w:val="center"/>
            </w:pPr>
            <w:r/>
            <w:r>
              <w:rPr>
                <w:rFonts w:ascii="Times New Roman" w:hAnsi="Times New Roman" w:eastAsia="宋体"/>
                <w:b w:val="0"/>
                <w:sz w:val="17"/>
              </w:rPr>
              <w:t>2.583</w:t>
            </w:r>
          </w:p>
        </w:tc>
        <w:tc>
          <w:tcPr>
            <w:tcW w:type="dxa" w:w="1512"/>
          </w:tcPr>
          <w:p>
            <w:pPr>
              <w:jc w:val="center"/>
            </w:pPr>
            <w:r/>
            <w:r>
              <w:rPr>
                <w:rFonts w:ascii="Times New Roman" w:hAnsi="Times New Roman" w:eastAsia="宋体"/>
                <w:b w:val="0"/>
                <w:sz w:val="17"/>
              </w:rPr>
              <w:t>0</w:t>
            </w:r>
          </w:p>
        </w:tc>
      </w:tr>
    </w:tbl>
    <w:p>
      <w:pPr>
        <w:spacing w:before="40" w:after="160"/>
        <w:jc w:val="center"/>
      </w:pPr>
      <w:r>
        <w:rPr>
          <w:rFonts w:ascii="Times New Roman" w:hAnsi="Times New Roman" w:eastAsia="宋体"/>
          <w:b w:val="0"/>
          <w:sz w:val="18"/>
        </w:rPr>
        <w:t>表 8  主要共表达社区的化学来源构成（完整社区表见支撑材料）</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tcPr>
          <w:p>
            <w:pPr>
              <w:jc w:val="center"/>
            </w:pPr>
            <w:r/>
            <w:r>
              <w:rPr>
                <w:rFonts w:ascii="Times New Roman" w:hAnsi="Times New Roman" w:eastAsia="黑体"/>
                <w:b/>
                <w:sz w:val="16"/>
              </w:rPr>
              <w:t>感官维度</w:t>
            </w:r>
          </w:p>
        </w:tc>
        <w:tc>
          <w:tcPr>
            <w:tcW w:type="dxa" w:w="825"/>
          </w:tcPr>
          <w:p>
            <w:pPr>
              <w:jc w:val="center"/>
            </w:pPr>
            <w:r/>
            <w:r>
              <w:rPr>
                <w:rFonts w:ascii="Times New Roman" w:hAnsi="Times New Roman" w:eastAsia="黑体"/>
                <w:b/>
                <w:sz w:val="16"/>
              </w:rPr>
              <w:t>排名</w:t>
            </w:r>
          </w:p>
        </w:tc>
        <w:tc>
          <w:tcPr>
            <w:tcW w:type="dxa" w:w="825"/>
          </w:tcPr>
          <w:p>
            <w:pPr>
              <w:jc w:val="center"/>
            </w:pPr>
            <w:r/>
            <w:r>
              <w:rPr>
                <w:rFonts w:ascii="Times New Roman" w:hAnsi="Times New Roman" w:eastAsia="黑体"/>
                <w:b/>
                <w:sz w:val="16"/>
              </w:rPr>
              <w:t>化合物</w:t>
            </w:r>
          </w:p>
        </w:tc>
        <w:tc>
          <w:tcPr>
            <w:tcW w:type="dxa" w:w="825"/>
          </w:tcPr>
          <w:p>
            <w:pPr>
              <w:jc w:val="center"/>
            </w:pPr>
            <w:r/>
            <w:r>
              <w:rPr>
                <w:rFonts w:ascii="Times New Roman" w:hAnsi="Times New Roman" w:eastAsia="黑体"/>
                <w:b/>
                <w:sz w:val="16"/>
              </w:rPr>
              <w:t>方向</w:t>
            </w:r>
          </w:p>
        </w:tc>
        <w:tc>
          <w:tcPr>
            <w:tcW w:type="dxa" w:w="825"/>
          </w:tcPr>
          <w:p>
            <w:pPr>
              <w:jc w:val="center"/>
            </w:pPr>
            <w:r/>
            <w:r>
              <w:rPr>
                <w:rFonts w:ascii="Times New Roman" w:hAnsi="Times New Roman" w:eastAsia="黑体"/>
                <w:b/>
                <w:sz w:val="16"/>
              </w:rPr>
              <w:t>E2 |ρ|</w:t>
            </w:r>
          </w:p>
        </w:tc>
        <w:tc>
          <w:tcPr>
            <w:tcW w:type="dxa" w:w="825"/>
          </w:tcPr>
          <w:p>
            <w:pPr>
              <w:jc w:val="center"/>
            </w:pPr>
            <w:r/>
            <w:r>
              <w:rPr>
                <w:rFonts w:ascii="Times New Roman" w:hAnsi="Times New Roman" w:eastAsia="黑体"/>
                <w:b/>
                <w:sz w:val="16"/>
              </w:rPr>
              <w:t>E1 秩</w:t>
            </w:r>
          </w:p>
        </w:tc>
        <w:tc>
          <w:tcPr>
            <w:tcW w:type="dxa" w:w="825"/>
          </w:tcPr>
          <w:p>
            <w:pPr>
              <w:jc w:val="center"/>
            </w:pPr>
            <w:r/>
            <w:r>
              <w:rPr>
                <w:rFonts w:ascii="Times New Roman" w:hAnsi="Times New Roman" w:eastAsia="黑体"/>
                <w:b/>
                <w:sz w:val="16"/>
              </w:rPr>
              <w:t>E3 归因</w:t>
            </w:r>
          </w:p>
        </w:tc>
        <w:tc>
          <w:tcPr>
            <w:tcW w:type="dxa" w:w="825"/>
          </w:tcPr>
          <w:p>
            <w:pPr>
              <w:jc w:val="center"/>
            </w:pPr>
            <w:r/>
            <w:r>
              <w:rPr>
                <w:rFonts w:ascii="Times New Roman" w:hAnsi="Times New Roman" w:eastAsia="黑体"/>
                <w:b/>
                <w:sz w:val="16"/>
              </w:rPr>
              <w:t>重采样频率</w:t>
            </w:r>
          </w:p>
        </w:tc>
        <w:tc>
          <w:tcPr>
            <w:tcW w:type="dxa" w:w="825"/>
          </w:tcPr>
          <w:p>
            <w:pPr>
              <w:jc w:val="center"/>
            </w:pPr>
            <w:r/>
            <w:r>
              <w:rPr>
                <w:rFonts w:ascii="Times New Roman" w:hAnsi="Times New Roman" w:eastAsia="黑体"/>
                <w:b/>
                <w:sz w:val="16"/>
              </w:rPr>
              <w:t>Jaccard</w:t>
            </w:r>
          </w:p>
        </w:tc>
        <w:tc>
          <w:tcPr>
            <w:tcW w:type="dxa" w:w="825"/>
          </w:tcPr>
          <w:p>
            <w:pPr>
              <w:jc w:val="center"/>
            </w:pPr>
            <w:r/>
            <w:r>
              <w:rPr>
                <w:rFonts w:ascii="Times New Roman" w:hAnsi="Times New Roman" w:eastAsia="黑体"/>
                <w:b/>
                <w:sz w:val="16"/>
              </w:rPr>
              <w:t>判定</w:t>
            </w:r>
          </w:p>
        </w:tc>
        <w:tc>
          <w:tcPr>
            <w:tcW w:type="dxa" w:w="825"/>
          </w:tcPr>
          <w:p>
            <w:pPr>
              <w:jc w:val="center"/>
            </w:pPr>
            <w:r/>
            <w:r>
              <w:rPr>
                <w:rFonts w:ascii="Times New Roman" w:hAnsi="Times New Roman" w:eastAsia="黑体"/>
                <w:b/>
                <w:sz w:val="16"/>
              </w:rPr>
              <w:t>化学合理</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0.541</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0.172</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0.431</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0.445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0.361</w:t>
            </w:r>
          </w:p>
        </w:tc>
        <w:tc>
          <w:tcPr>
            <w:tcW w:type="dxa" w:w="825"/>
          </w:tcPr>
          <w:p>
            <w:pPr>
              <w:jc w:val="center"/>
            </w:pPr>
            <w:r/>
            <w:r>
              <w:rPr>
                <w:rFonts w:ascii="Times New Roman" w:hAnsi="Times New Roman" w:eastAsia="宋体"/>
                <w:b w:val="0"/>
                <w:sz w:val="16"/>
              </w:rPr>
              <w:t>5.000</w:t>
            </w:r>
          </w:p>
        </w:tc>
        <w:tc>
          <w:tcPr>
            <w:tcW w:type="dxa" w:w="825"/>
          </w:tcPr>
          <w:p>
            <w:pPr>
              <w:jc w:val="center"/>
            </w:pPr>
            <w:r/>
            <w:r>
              <w:rPr>
                <w:rFonts w:ascii="Times New Roman" w:hAnsi="Times New Roman" w:eastAsia="宋体"/>
                <w:b w:val="0"/>
                <w:sz w:val="16"/>
              </w:rPr>
              <w:t>0.027</w:t>
            </w:r>
          </w:p>
        </w:tc>
        <w:tc>
          <w:tcPr>
            <w:tcW w:type="dxa" w:w="825"/>
          </w:tcPr>
          <w:p>
            <w:pPr>
              <w:jc w:val="center"/>
            </w:pPr>
            <w:r/>
            <w:r>
              <w:rPr>
                <w:rFonts w:ascii="Times New Roman" w:hAnsi="Times New Roman" w:eastAsia="宋体"/>
                <w:b w:val="0"/>
                <w:sz w:val="16"/>
              </w:rPr>
              <w:t>0.200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terpinen.4.ol</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0.015</w:t>
            </w:r>
          </w:p>
        </w:tc>
        <w:tc>
          <w:tcPr>
            <w:tcW w:type="dxa" w:w="825"/>
          </w:tcPr>
          <w:p>
            <w:pPr>
              <w:jc w:val="center"/>
            </w:pPr>
            <w:r/>
            <w:r>
              <w:rPr>
                <w:rFonts w:ascii="Times New Roman" w:hAnsi="Times New Roman" w:eastAsia="宋体"/>
                <w:b w:val="0"/>
                <w:sz w:val="16"/>
              </w:rPr>
              <w:t>0.130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nerol.oxide</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0.152</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0.025</w:t>
            </w:r>
          </w:p>
        </w:tc>
        <w:tc>
          <w:tcPr>
            <w:tcW w:type="dxa" w:w="825"/>
          </w:tcPr>
          <w:p>
            <w:pPr>
              <w:jc w:val="center"/>
            </w:pPr>
            <w:r/>
            <w:r>
              <w:rPr>
                <w:rFonts w:ascii="Times New Roman" w:hAnsi="Times New Roman" w:eastAsia="宋体"/>
                <w:b w:val="0"/>
                <w:sz w:val="16"/>
              </w:rPr>
              <w:t>0.040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octyl_acetate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0.184</w:t>
            </w:r>
          </w:p>
        </w:tc>
        <w:tc>
          <w:tcPr>
            <w:tcW w:type="dxa" w:w="825"/>
          </w:tcPr>
          <w:p>
            <w:pPr>
              <w:jc w:val="center"/>
            </w:pPr>
            <w:r/>
            <w:r>
              <w:rPr>
                <w:rFonts w:ascii="Times New Roman" w:hAnsi="Times New Roman" w:eastAsia="宋体"/>
                <w:b w:val="0"/>
                <w:sz w:val="16"/>
              </w:rPr>
              <w:t>3.000</w:t>
            </w:r>
          </w:p>
        </w:tc>
        <w:tc>
          <w:tcPr>
            <w:tcW w:type="dxa" w:w="825"/>
          </w:tcPr>
          <w:p>
            <w:pPr>
              <w:jc w:val="center"/>
            </w:pPr>
            <w:r/>
            <w:r>
              <w:rPr>
                <w:rFonts w:ascii="Times New Roman" w:hAnsi="Times New Roman" w:eastAsia="宋体"/>
                <w:b w:val="0"/>
                <w:sz w:val="16"/>
              </w:rPr>
              <w:t>0.012</w:t>
            </w:r>
          </w:p>
        </w:tc>
        <w:tc>
          <w:tcPr>
            <w:tcW w:type="dxa" w:w="825"/>
          </w:tcPr>
          <w:p>
            <w:pPr>
              <w:jc w:val="center"/>
            </w:pPr>
            <w:r/>
            <w:r>
              <w:rPr>
                <w:rFonts w:ascii="Times New Roman" w:hAnsi="Times New Roman" w:eastAsia="宋体"/>
                <w:b w:val="0"/>
                <w:sz w:val="16"/>
              </w:rPr>
              <w:t>0.080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0.329</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0.034</w:t>
            </w:r>
          </w:p>
        </w:tc>
        <w:tc>
          <w:tcPr>
            <w:tcW w:type="dxa" w:w="825"/>
          </w:tcPr>
          <w:p>
            <w:pPr>
              <w:jc w:val="center"/>
            </w:pPr>
            <w:r/>
            <w:r>
              <w:rPr>
                <w:rFonts w:ascii="Times New Roman" w:hAnsi="Times New Roman" w:eastAsia="宋体"/>
                <w:b w:val="0"/>
                <w:sz w:val="16"/>
              </w:rPr>
              <w:t>0.525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0.232</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0.046</w:t>
            </w:r>
          </w:p>
        </w:tc>
        <w:tc>
          <w:tcPr>
            <w:tcW w:type="dxa" w:w="825"/>
          </w:tcPr>
          <w:p>
            <w:pPr>
              <w:jc w:val="center"/>
            </w:pPr>
            <w:r/>
            <w:r>
              <w:rPr>
                <w:rFonts w:ascii="Times New Roman" w:hAnsi="Times New Roman" w:eastAsia="宋体"/>
                <w:b w:val="0"/>
                <w:sz w:val="16"/>
              </w:rPr>
              <w:t>0.255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ethyl.tiglate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0.238</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0.038</w:t>
            </w:r>
          </w:p>
        </w:tc>
        <w:tc>
          <w:tcPr>
            <w:tcW w:type="dxa" w:w="825"/>
          </w:tcPr>
          <w:p>
            <w:pPr>
              <w:jc w:val="center"/>
            </w:pPr>
            <w:r/>
            <w:r>
              <w:rPr>
                <w:rFonts w:ascii="Times New Roman" w:hAnsi="Times New Roman" w:eastAsia="宋体"/>
                <w:b w:val="0"/>
                <w:sz w:val="16"/>
              </w:rPr>
              <w:t>0.250</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0.564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0.151</w:t>
            </w:r>
          </w:p>
        </w:tc>
        <w:tc>
          <w:tcPr>
            <w:tcW w:type="dxa" w:w="825"/>
          </w:tcPr>
          <w:p>
            <w:pPr>
              <w:jc w:val="center"/>
            </w:pPr>
            <w:r/>
            <w:r>
              <w:rPr>
                <w:rFonts w:ascii="Times New Roman" w:hAnsi="Times New Roman" w:eastAsia="宋体"/>
                <w:b w:val="0"/>
                <w:sz w:val="16"/>
              </w:rPr>
              <w:t>0.985</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bl>
    <w:p>
      <w:pPr>
        <w:spacing w:before="40" w:after="160"/>
        <w:jc w:val="center"/>
      </w:pPr>
      <w:r>
        <w:rPr>
          <w:rFonts w:ascii="Times New Roman" w:hAnsi="Times New Roman" w:eastAsia="宋体"/>
          <w:b w:val="0"/>
          <w:sz w:val="18"/>
        </w:rPr>
        <w:t>表 9  各感官维度的 Top-3 关键化合物及其稳定性判定（前 10 行，完整表见支撑材料）</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明显偏低，说明特征重要性与线性秩相关的视角差异较大；本文因此把归因路与相关路并列呈现，而不宣称其中某一路线更接近真值。须并列说明的是，「稳健」与「化学合理性」是</w:t>
      </w:r>
      <w:r>
        <w:rPr>
          <w:rFonts w:ascii="Times New Roman" w:hAnsi="Times New Roman" w:eastAsia="宋体"/>
          <w:b/>
          <w:sz w:val="21"/>
        </w:rPr>
        <w:t>两道独立判据</w:t>
      </w:r>
      <w:r>
        <w:rPr>
          <w:rFonts w:ascii="Times New Roman" w:hAnsi="Times New Roman" w:eastAsia="宋体"/>
          <w:b w:val="0"/>
          <w:sz w:val="21"/>
        </w:rPr>
        <w:t xml:space="preserve">：全表 150 行中仅 36 行通过化学合理性检验，被判为稳健关键因素的 32 行中只有 9 行同时通过，其余 23 行虽在统计判据上稳健，但其化学来源归属或载体类别论证不成立，本文在表中保留这些行以示区分，不把它们作为可采纳的造谱依据。若只看每个感官维度排名第 1 的化合物，同时满足「稳健」与「化学合理」的仅 6 条，这正是本文把 Top-3 定位为「候选与稳健的参考集」而非可直接使用的造谱配方的原因。此外须报告一项负结果：50 个感官维度中有 </w:t>
      </w:r>
      <w:r>
        <w:rPr>
          <w:rFonts w:ascii="Times New Roman" w:hAnsi="Times New Roman" w:eastAsia="宋体"/>
          <w:b/>
          <w:sz w:val="21"/>
        </w:rPr>
        <w:t>28 个没有任何稳健关键化合物</w:t>
      </w:r>
      <w:r>
        <w:rPr>
          <w:rFonts w:ascii="Times New Roman" w:hAnsi="Times New Roman" w:eastAsia="宋体"/>
          <w:b w:val="0"/>
          <w:sz w:val="21"/>
        </w:rPr>
        <w:t>，本文不对这些维度给出 Top-3 结论，以免把「排序靠前」误读为「可采纳」。</w:t>
      </w:r>
    </w:p>
    <w:p>
      <w:pPr>
        <w:spacing w:before="80"/>
        <w:jc w:val="center"/>
      </w:pPr>
      <w:r>
        <w:drawing>
          <wp:inline xmlns:a="http://schemas.openxmlformats.org/drawingml/2006/main" xmlns:pic="http://schemas.openxmlformats.org/drawingml/2006/picture">
            <wp:extent cx="4206240" cy="4783075"/>
            <wp:docPr id="8" name="Picture 8"/>
            <wp:cNvGraphicFramePr>
              <a:graphicFrameLocks noChangeAspect="1"/>
            </wp:cNvGraphicFramePr>
            <a:graphic>
              <a:graphicData uri="http://schemas.openxmlformats.org/drawingml/2006/picture">
                <pic:pic>
                  <pic:nvPicPr>
                    <pic:cNvPr id="0" name="fig1_coexpression_network_by_origin.png"/>
                    <pic:cNvPicPr/>
                  </pic:nvPicPr>
                  <pic:blipFill>
                    <a:blip r:embed="rId16"/>
                    <a:stretch>
                      <a:fillRect/>
                    </a:stretch>
                  </pic:blipFill>
                  <pic:spPr>
                    <a:xfrm>
                      <a:off x="0" y="0"/>
                      <a:ext cx="4206240" cy="4783075"/>
                    </a:xfrm>
                    <a:prstGeom prst="rect"/>
                  </pic:spPr>
                </pic:pic>
              </a:graphicData>
            </a:graphic>
          </wp:inline>
        </w:drawing>
      </w:r>
    </w:p>
    <w:p>
      <w:pPr>
        <w:spacing w:before="40" w:after="160"/>
        <w:jc w:val="center"/>
      </w:pPr>
      <w:r>
        <w:rPr>
          <w:rFonts w:ascii="Times New Roman" w:hAnsi="Times New Roman" w:eastAsia="宋体"/>
          <w:b w:val="0"/>
          <w:sz w:val="18"/>
        </w:rPr>
        <w:t>图 7  共表达网络（按来源）。基于 2.csv 的斯皮尔曼相关，取 |ρ| ≥ 0.6 的边构成网络：全图 231 节点 / 266 边、114 个连通分量，其中 101 个节点在该阈值下不含任何关联边（孤立节点）而未绘出，其来源构成见后文的「社区化学成分」图；本图绘出 130 个有边节点。节点大小 = 度数，边粗细 = |ρ|，橙红描边为缺陷化合物；节点按化学来源着色；仅标注度数最高的 6 个节点，完整节点清单见支撑材料表。</w:t>
      </w:r>
    </w:p>
    <w:p>
      <w:pPr>
        <w:spacing w:before="80"/>
        <w:jc w:val="center"/>
      </w:pPr>
      <w:r>
        <w:drawing>
          <wp:inline xmlns:a="http://schemas.openxmlformats.org/drawingml/2006/main" xmlns:pic="http://schemas.openxmlformats.org/drawingml/2006/picture">
            <wp:extent cx="4206240" cy="3696736"/>
            <wp:docPr id="9" name="Picture 9"/>
            <wp:cNvGraphicFramePr>
              <a:graphicFrameLocks noChangeAspect="1"/>
            </wp:cNvGraphicFramePr>
            <a:graphic>
              <a:graphicData uri="http://schemas.openxmlformats.org/drawingml/2006/picture">
                <pic:pic>
                  <pic:nvPicPr>
                    <pic:cNvPr id="0" name="fig3_community_composition_heatmap.png"/>
                    <pic:cNvPicPr/>
                  </pic:nvPicPr>
                  <pic:blipFill>
                    <a:blip r:embed="rId17"/>
                    <a:stretch>
                      <a:fillRect/>
                    </a:stretch>
                  </pic:blipFill>
                  <pic:spPr>
                    <a:xfrm>
                      <a:off x="0" y="0"/>
                      <a:ext cx="4206240" cy="3696736"/>
                    </a:xfrm>
                    <a:prstGeom prst="rect"/>
                  </pic:spPr>
                </pic:pic>
              </a:graphicData>
            </a:graphic>
          </wp:inline>
        </w:drawing>
      </w:r>
    </w:p>
    <w:p>
      <w:pPr>
        <w:spacing w:before="40" w:after="160"/>
        <w:jc w:val="center"/>
      </w:pPr>
      <w:r>
        <w:rPr>
          <w:rFonts w:ascii="Times New Roman" w:hAnsi="Times New Roman" w:eastAsia="宋体"/>
          <w:b w:val="0"/>
          <w:sz w:val="18"/>
        </w:rPr>
        <w:t>图 8  社区化学成分。非平凡社区（n ≥ 2）前 19 个，左为测量块（block）构成、右为化学来源（origin_paper）构成，单元格为该社区在该类别下的成员数（透视表缺失记 0）；完整社区成员清单见支撑材料表。</w:t>
      </w:r>
    </w:p>
    <w:p>
      <w:pPr>
        <w:spacing w:before="80"/>
        <w:jc w:val="center"/>
      </w:pPr>
      <w:r>
        <w:drawing>
          <wp:inline xmlns:a="http://schemas.openxmlformats.org/drawingml/2006/main" xmlns:pic="http://schemas.openxmlformats.org/drawingml/2006/picture">
            <wp:extent cx="4206240" cy="5052583"/>
            <wp:docPr id="10" name="Picture 10"/>
            <wp:cNvGraphicFramePr>
              <a:graphicFrameLocks noChangeAspect="1"/>
            </wp:cNvGraphicFramePr>
            <a:graphic>
              <a:graphicData uri="http://schemas.openxmlformats.org/drawingml/2006/picture">
                <pic:pic>
                  <pic:nvPicPr>
                    <pic:cNvPr id="0" name="fig4_top3_bootstrap_frequency.png"/>
                    <pic:cNvPicPr/>
                  </pic:nvPicPr>
                  <pic:blipFill>
                    <a:blip r:embed="rId18"/>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9  Top-3 入选频率。各感官维度 Top-1/2/3 关键化合物的 bootstrap（B=200）入选频率，横轴为 50 个感官维度（分上下两栏），蓝色虚线为入选阈值 0.60。</w:t>
      </w:r>
    </w:p>
    <w:p>
      <w:pPr>
        <w:spacing w:before="140" w:after="80" w:line="312" w:lineRule="auto"/>
        <w:jc w:val="left"/>
      </w:pPr>
      <w:r>
        <w:rPr>
          <w:rFonts w:ascii="Times New Roman" w:hAnsi="Times New Roman" w:eastAsia="黑体"/>
          <w:b/>
          <w:sz w:val="26"/>
        </w:rPr>
        <w:t>5.4 与原文的对照及缺陷化合物剂量再检验</w:t>
      </w:r>
    </w:p>
    <w:p>
      <w:pPr>
        <w:spacing w:before="80"/>
        <w:jc w:val="center"/>
      </w:pPr>
    </w:p>
    <w:tbl>
      <w:tblPr>
        <w:tblStyle w:val="16"/>
        <w:tblW w:type="auto" w:w="0"/>
        <w:tblLayout w:type="autofit"/>
        <w:tblLook w:firstColumn="1" w:firstRow="1" w:lastColumn="0" w:lastRow="0" w:noHBand="0" w:noVBand="1" w:val="04A0"/>
      </w:tblPr>
      <w:tblGrid>
        <w:gridCol w:w="3023"/>
        <w:gridCol w:w="3023"/>
        <w:gridCol w:w="3023"/>
      </w:tblGrid>
      <w:tr>
        <w:tc>
          <w:tcPr>
            <w:tcW w:type="dxa" w:w="3023"/>
          </w:tcPr>
          <w:p>
            <w:pPr>
              <w:jc w:val="center"/>
            </w:pPr>
            <w:r/>
            <w:r>
              <w:rPr>
                <w:rFonts w:ascii="Times New Roman" w:hAnsi="Times New Roman" w:eastAsia="黑体"/>
                <w:b/>
                <w:sz w:val="16"/>
              </w:rPr>
              <w:t>对照项</w:t>
            </w:r>
          </w:p>
        </w:tc>
        <w:tc>
          <w:tcPr>
            <w:tcW w:type="dxa" w:w="3023"/>
          </w:tcPr>
          <w:p>
            <w:pPr>
              <w:jc w:val="center"/>
            </w:pPr>
            <w:r/>
            <w:r>
              <w:rPr>
                <w:rFonts w:ascii="Times New Roman" w:hAnsi="Times New Roman" w:eastAsia="黑体"/>
                <w:b/>
                <w:sz w:val="16"/>
              </w:rPr>
              <w:t>本文实测</w:t>
            </w:r>
          </w:p>
        </w:tc>
        <w:tc>
          <w:tcPr>
            <w:tcW w:type="dxa" w:w="3023"/>
          </w:tcPr>
          <w:p>
            <w:pPr>
              <w:jc w:val="center"/>
            </w:pPr>
            <w:r/>
            <w:r>
              <w:rPr>
                <w:rFonts w:ascii="Times New Roman" w:hAnsi="Times New Roman" w:eastAsia="黑体"/>
                <w:b/>
                <w:sz w:val="16"/>
              </w:rPr>
              <w:t>与原文的关系与口径差异</w:t>
            </w:r>
          </w:p>
        </w:tc>
      </w:tr>
      <w:tr>
        <w:tc>
          <w:tcPr>
            <w:tcW w:type="dxa" w:w="3023"/>
          </w:tcPr>
          <w:p>
            <w:pPr>
              <w:jc w:val="center"/>
            </w:pPr>
            <w:r/>
            <w:r>
              <w:rPr>
                <w:rFonts w:ascii="Times New Roman" w:hAnsi="Times New Roman" w:eastAsia="宋体"/>
                <w:b w:val="0"/>
                <w:sz w:val="16"/>
              </w:rPr>
              <w:t>样本与特征规模</w:t>
            </w:r>
          </w:p>
        </w:tc>
        <w:tc>
          <w:tcPr>
            <w:tcW w:type="dxa" w:w="3023"/>
          </w:tcPr>
          <w:p>
            <w:pPr>
              <w:jc w:val="center"/>
            </w:pPr>
            <w:r/>
            <w:r>
              <w:rPr>
                <w:rFonts w:ascii="Times New Roman" w:hAnsi="Times New Roman" w:eastAsia="宋体"/>
                <w:b w:val="0"/>
                <w:sz w:val="16"/>
              </w:rPr>
              <w:t>250 款啤酒；231 个化学量（剔除 4 个派生求和列后 227 特征）</w:t>
            </w:r>
          </w:p>
        </w:tc>
        <w:tc>
          <w:tcPr>
            <w:tcW w:type="dxa" w:w="3023"/>
          </w:tcPr>
          <w:p>
            <w:pPr>
              <w:jc w:val="center"/>
            </w:pPr>
            <w:r/>
            <w:r>
              <w:rPr>
                <w:rFonts w:ascii="Times New Roman" w:hAnsi="Times New Roman" w:eastAsia="宋体"/>
                <w:b w:val="0"/>
                <w:sz w:val="16"/>
              </w:rPr>
              <w:t>与原文同源附件；全部数值由本文重新读取与复算，未沿用原文中间结果</w:t>
            </w:r>
          </w:p>
        </w:tc>
      </w:tr>
      <w:tr>
        <w:tc>
          <w:tcPr>
            <w:tcW w:type="dxa" w:w="3023"/>
          </w:tcPr>
          <w:p>
            <w:pPr>
              <w:jc w:val="center"/>
            </w:pPr>
            <w:r/>
            <w:r>
              <w:rPr>
                <w:rFonts w:ascii="Times New Roman" w:hAnsi="Times New Roman" w:eastAsia="宋体"/>
                <w:b w:val="0"/>
                <w:sz w:val="16"/>
              </w:rPr>
              <w:t>相关矩阵类型</w:t>
            </w:r>
          </w:p>
        </w:tc>
        <w:tc>
          <w:tcPr>
            <w:tcW w:type="dxa" w:w="3023"/>
          </w:tcPr>
          <w:p>
            <w:pPr>
              <w:jc w:val="center"/>
            </w:pPr>
            <w:r/>
            <w:r>
              <w:rPr>
                <w:rFonts w:ascii="Times New Roman" w:hAnsi="Times New Roman" w:eastAsia="宋体"/>
                <w:b w:val="0"/>
                <w:sz w:val="16"/>
              </w:rPr>
              <w:t>斯皮尔曼（逐元素复算 max|Δ|=0）</w:t>
            </w:r>
          </w:p>
        </w:tc>
        <w:tc>
          <w:tcPr>
            <w:tcW w:type="dxa" w:w="3023"/>
          </w:tcPr>
          <w:p>
            <w:pPr>
              <w:jc w:val="center"/>
            </w:pPr>
            <w:r/>
            <w:r>
              <w:rPr>
                <w:rFonts w:ascii="Times New Roman" w:hAnsi="Times New Roman" w:eastAsia="宋体"/>
                <w:b w:val="0"/>
                <w:sz w:val="16"/>
              </w:rPr>
              <w:t>官方赛题文本称皮尔逊；原文与附件《数据说明》均为斯皮尔曼，本文以复算裁定（见 3.2、3.6）</w:t>
            </w:r>
          </w:p>
        </w:tc>
      </w:tr>
      <w:tr>
        <w:tc>
          <w:tcPr>
            <w:tcW w:type="dxa" w:w="3023"/>
          </w:tcPr>
          <w:p>
            <w:pPr>
              <w:jc w:val="center"/>
            </w:pPr>
            <w:r/>
            <w:r>
              <w:rPr>
                <w:rFonts w:ascii="Times New Roman" w:hAnsi="Times New Roman" w:eastAsia="宋体"/>
                <w:b w:val="0"/>
                <w:sz w:val="16"/>
              </w:rPr>
              <w:t>风格数</w:t>
            </w:r>
          </w:p>
        </w:tc>
        <w:tc>
          <w:tcPr>
            <w:tcW w:type="dxa" w:w="3023"/>
          </w:tcPr>
          <w:p>
            <w:pPr>
              <w:jc w:val="center"/>
            </w:pPr>
            <w:r/>
            <w:r>
              <w:rPr>
                <w:rFonts w:ascii="Times New Roman" w:hAnsi="Times New Roman" w:eastAsia="宋体"/>
                <w:b w:val="0"/>
                <w:sz w:val="16"/>
              </w:rPr>
              <w:t>22 个细分风格（175/75 分层切分）</w:t>
            </w:r>
          </w:p>
        </w:tc>
        <w:tc>
          <w:tcPr>
            <w:tcW w:type="dxa" w:w="3023"/>
          </w:tcPr>
          <w:p>
            <w:pPr>
              <w:jc w:val="center"/>
            </w:pPr>
            <w:r/>
            <w:r>
              <w:rPr>
                <w:rFonts w:ascii="Times New Roman" w:hAnsi="Times New Roman" w:eastAsia="宋体"/>
                <w:b w:val="0"/>
                <w:sz w:val="16"/>
              </w:rPr>
              <w:t>与原文同源于附件的分类列；本文按该列分层，保证风格构成不泄漏</w:t>
            </w:r>
          </w:p>
        </w:tc>
      </w:tr>
      <w:tr>
        <w:tc>
          <w:tcPr>
            <w:tcW w:type="dxa" w:w="3023"/>
          </w:tcPr>
          <w:p>
            <w:pPr>
              <w:jc w:val="center"/>
            </w:pPr>
            <w:r/>
            <w:r>
              <w:rPr>
                <w:rFonts w:ascii="Times New Roman" w:hAnsi="Times New Roman" w:eastAsia="宋体"/>
                <w:b w:val="0"/>
                <w:sz w:val="16"/>
              </w:rPr>
              <w:t>品评规模</w:t>
            </w:r>
          </w:p>
        </w:tc>
        <w:tc>
          <w:tcPr>
            <w:tcW w:type="dxa" w:w="3023"/>
          </w:tcPr>
          <w:p>
            <w:pPr>
              <w:jc w:val="center"/>
            </w:pPr>
            <w:r/>
            <w:r>
              <w:rPr>
                <w:rFonts w:ascii="Times New Roman" w:hAnsi="Times New Roman" w:eastAsia="宋体"/>
                <w:b w:val="0"/>
                <w:sz w:val="16"/>
              </w:rPr>
              <w:t>12 张空白品评卡、50 维品评组感官、0 条品评记录</w:t>
            </w:r>
          </w:p>
        </w:tc>
        <w:tc>
          <w:tcPr>
            <w:tcW w:type="dxa" w:w="3023"/>
          </w:tcPr>
          <w:p>
            <w:pPr>
              <w:jc w:val="center"/>
            </w:pPr>
            <w:r/>
            <w:r>
              <w:rPr>
                <w:rFonts w:ascii="Times New Roman" w:hAnsi="Times New Roman" w:eastAsia="宋体"/>
                <w:b w:val="0"/>
                <w:sz w:val="16"/>
              </w:rPr>
              <w:t>原文的品评记录未随附件提供，故本文的 0–6 分制为构造值（见 3.4、4.1）</w:t>
            </w:r>
          </w:p>
        </w:tc>
      </w:tr>
      <w:tr>
        <w:tc>
          <w:tcPr>
            <w:tcW w:type="dxa" w:w="3023"/>
          </w:tcPr>
          <w:p>
            <w:pPr>
              <w:jc w:val="center"/>
            </w:pPr>
            <w:r/>
            <w:r>
              <w:rPr>
                <w:rFonts w:ascii="Times New Roman" w:hAnsi="Times New Roman" w:eastAsia="宋体"/>
                <w:b w:val="0"/>
                <w:sz w:val="16"/>
              </w:rPr>
              <w:t>最优模型族</w:t>
            </w:r>
          </w:p>
        </w:tc>
        <w:tc>
          <w:tcPr>
            <w:tcW w:type="dxa" w:w="3023"/>
          </w:tcPr>
          <w:p>
            <w:pPr>
              <w:jc w:val="center"/>
            </w:pPr>
            <w:r/>
            <w:r>
              <w:rPr>
                <w:rFonts w:ascii="Times New Roman" w:hAnsi="Times New Roman" w:eastAsia="宋体"/>
                <w:b w:val="0"/>
                <w:sz w:val="16"/>
              </w:rPr>
              <w:t>independent_gbr（宏平均 RMSE = 0.4880）</w:t>
            </w:r>
          </w:p>
        </w:tc>
        <w:tc>
          <w:tcPr>
            <w:tcW w:type="dxa" w:w="3023"/>
          </w:tcPr>
          <w:p>
            <w:pPr>
              <w:jc w:val="center"/>
            </w:pPr>
            <w:r/>
            <w:r>
              <w:rPr>
                <w:rFonts w:ascii="Times New Roman" w:hAnsi="Times New Roman" w:eastAsia="宋体"/>
                <w:b w:val="0"/>
                <w:sz w:val="16"/>
              </w:rPr>
              <w:t>本文不复现原文的模型选择，仅以其重要性先验（E4）作为外部印证，不参与主排序</w:t>
            </w:r>
          </w:p>
        </w:tc>
      </w:tr>
      <w:tr>
        <w:tc>
          <w:tcPr>
            <w:tcW w:type="dxa" w:w="3023"/>
          </w:tcPr>
          <w:p>
            <w:pPr>
              <w:jc w:val="center"/>
            </w:pPr>
            <w:r/>
            <w:r>
              <w:rPr>
                <w:rFonts w:ascii="Times New Roman" w:hAnsi="Times New Roman" w:eastAsia="宋体"/>
                <w:b w:val="0"/>
                <w:sz w:val="16"/>
              </w:rPr>
              <w:t>关键化合物</w:t>
            </w:r>
          </w:p>
        </w:tc>
        <w:tc>
          <w:tcPr>
            <w:tcW w:type="dxa" w:w="3023"/>
          </w:tcPr>
          <w:p>
            <w:pPr>
              <w:jc w:val="center"/>
            </w:pPr>
            <w:r/>
            <w:r>
              <w:rPr>
                <w:rFonts w:ascii="Times New Roman" w:hAnsi="Times New Roman" w:eastAsia="宋体"/>
                <w:b w:val="0"/>
                <w:sz w:val="16"/>
              </w:rPr>
              <w:t>22 个感官维度至少含一项稳健关键化合物</w:t>
            </w:r>
          </w:p>
        </w:tc>
        <w:tc>
          <w:tcPr>
            <w:tcW w:type="dxa" w:w="3023"/>
          </w:tcPr>
          <w:p>
            <w:pPr>
              <w:jc w:val="center"/>
            </w:pPr>
            <w:r/>
            <w:r>
              <w:rPr>
                <w:rFonts w:ascii="Times New Roman" w:hAnsi="Times New Roman" w:eastAsia="宋体"/>
                <w:b w:val="0"/>
                <w:sz w:val="16"/>
              </w:rPr>
              <w:t>本文排序由自算全量相关与 SHAP 归因给出；原文结论以先验形式参与四路证据之一</w:t>
            </w:r>
          </w:p>
        </w:tc>
      </w:tr>
      <w:tr>
        <w:tc>
          <w:tcPr>
            <w:tcW w:type="dxa" w:w="3023"/>
          </w:tcPr>
          <w:p>
            <w:pPr>
              <w:jc w:val="center"/>
            </w:pPr>
            <w:r/>
            <w:r>
              <w:rPr>
                <w:rFonts w:ascii="Times New Roman" w:hAnsi="Times New Roman" w:eastAsia="宋体"/>
                <w:b w:val="0"/>
                <w:sz w:val="16"/>
              </w:rPr>
              <w:t>消费者喜爱度</w:t>
            </w:r>
          </w:p>
        </w:tc>
        <w:tc>
          <w:tcPr>
            <w:tcW w:type="dxa" w:w="3023"/>
          </w:tcPr>
          <w:p>
            <w:pPr>
              <w:jc w:val="center"/>
            </w:pPr>
            <w:r/>
            <w:r>
              <w:rPr>
                <w:rFonts w:ascii="Times New Roman" w:hAnsi="Times New Roman" w:eastAsia="宋体"/>
                <w:b w:val="0"/>
                <w:sz w:val="16"/>
              </w:rPr>
              <w:t>不可检验（附件无任何消费者评分标签）</w:t>
            </w:r>
          </w:p>
        </w:tc>
        <w:tc>
          <w:tcPr>
            <w:tcW w:type="dxa" w:w="3023"/>
          </w:tcPr>
          <w:p>
            <w:pPr>
              <w:jc w:val="center"/>
            </w:pPr>
            <w:r/>
            <w:r>
              <w:rPr>
                <w:rFonts w:ascii="Times New Roman" w:hAnsi="Times New Roman" w:eastAsia="宋体"/>
                <w:b w:val="0"/>
                <w:sz w:val="16"/>
              </w:rPr>
              <w:t>原文结论链条中的「提升消费者喜爱度」一环，在本附件条件下没有可检验的标签</w:t>
            </w:r>
          </w:p>
        </w:tc>
      </w:tr>
    </w:tbl>
    <w:p>
      <w:pPr>
        <w:spacing w:before="40" w:after="160"/>
        <w:jc w:val="center"/>
      </w:pPr>
      <w:r>
        <w:rPr>
          <w:rFonts w:ascii="Times New Roman" w:hAnsi="Times New Roman" w:eastAsia="宋体"/>
          <w:b w:val="0"/>
          <w:sz w:val="18"/>
        </w:rPr>
        <w:t>表 10  本文与原文（Nature Communications, 2024）的可量化对照</w:t>
      </w:r>
    </w:p>
    <w:p>
      <w:pPr>
        <w:spacing w:after="80" w:line="324" w:lineRule="auto"/>
        <w:ind w:firstLine="420"/>
      </w:pPr>
      <w:r>
        <w:rPr>
          <w:rFonts w:ascii="Times New Roman" w:hAnsi="Times New Roman" w:eastAsia="宋体"/>
          <w:b w:val="0"/>
          <w:sz w:val="21"/>
        </w:rPr>
        <w:t>上表只列可逐项核对的对照点：凡本文未能独立复核的原文数值一律不写入表格，而是注明其在本附件中不可得。可以看到，本文与原文共享同一份数据，但在</w:t>
      </w:r>
      <w:r>
        <w:rPr>
          <w:rFonts w:ascii="Times New Roman" w:hAnsi="Times New Roman" w:eastAsia="宋体"/>
          <w:b/>
          <w:sz w:val="21"/>
        </w:rPr>
        <w:t>标度、相关类型与品评可得性</w:t>
      </w:r>
      <w:r>
        <w:rPr>
          <w:rFonts w:ascii="Times New Roman" w:hAnsi="Times New Roman" w:eastAsia="宋体"/>
          <w:b w:val="0"/>
          <w:sz w:val="21"/>
        </w:rPr>
        <w:t>三个口径上做了明确的重新裁定，这三处裁定也正是本文全部结论成立的前提。</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eastAsia="黑体"/>
                <w:b/>
                <w:sz w:val="16"/>
              </w:rPr>
              <w:t>化合物</w:t>
            </w:r>
          </w:p>
        </w:tc>
        <w:tc>
          <w:tcPr>
            <w:tcW w:type="dxa" w:w="1814"/>
          </w:tcPr>
          <w:p>
            <w:pPr>
              <w:jc w:val="center"/>
            </w:pPr>
            <w:r/>
            <w:r>
              <w:rPr>
                <w:rFonts w:ascii="Times New Roman" w:hAnsi="Times New Roman" w:eastAsia="黑体"/>
                <w:b/>
                <w:sz w:val="16"/>
              </w:rPr>
              <w:t>配对感官维度</w:t>
            </w:r>
          </w:p>
        </w:tc>
        <w:tc>
          <w:tcPr>
            <w:tcW w:type="dxa" w:w="1814"/>
          </w:tcPr>
          <w:p>
            <w:pPr>
              <w:jc w:val="center"/>
            </w:pPr>
            <w:r/>
            <w:r>
              <w:rPr>
                <w:rFonts w:ascii="Times New Roman" w:hAnsi="Times New Roman" w:eastAsia="黑体"/>
                <w:b/>
                <w:sz w:val="16"/>
              </w:rPr>
              <w:t>全体 ρ</w:t>
            </w:r>
          </w:p>
        </w:tc>
        <w:tc>
          <w:tcPr>
            <w:tcW w:type="dxa" w:w="1814"/>
          </w:tcPr>
          <w:p>
            <w:pPr>
              <w:jc w:val="center"/>
            </w:pPr>
            <w:r/>
            <w:r>
              <w:rPr>
                <w:rFonts w:ascii="Times New Roman" w:hAnsi="Times New Roman" w:eastAsia="黑体"/>
                <w:b/>
                <w:sz w:val="16"/>
              </w:rPr>
              <w:t>分位组内 ρ 模式</w:t>
            </w:r>
          </w:p>
        </w:tc>
        <w:tc>
          <w:tcPr>
            <w:tcW w:type="dxa" w:w="1814"/>
          </w:tcPr>
          <w:p>
            <w:pPr>
              <w:jc w:val="center"/>
            </w:pPr>
            <w:r/>
            <w:r>
              <w:rPr>
                <w:rFonts w:ascii="Times New Roman" w:hAnsi="Times New Roman" w:eastAsia="黑体"/>
                <w:b/>
                <w:sz w:val="16"/>
              </w:rPr>
              <w:t>风格稳健比例</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酯类香气</w:t>
            </w:r>
          </w:p>
        </w:tc>
        <w:tc>
          <w:tcPr>
            <w:tcW w:type="dxa" w:w="1814"/>
          </w:tcPr>
          <w:p>
            <w:pPr>
              <w:jc w:val="center"/>
            </w:pPr>
            <w:r/>
            <w:r>
              <w:rPr>
                <w:rFonts w:ascii="Times New Roman" w:hAnsi="Times New Roman" w:eastAsia="宋体"/>
                <w:b w:val="0"/>
                <w:sz w:val="16"/>
              </w:rPr>
              <w:t>0.321</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0.750</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酯类味</w:t>
            </w:r>
          </w:p>
        </w:tc>
        <w:tc>
          <w:tcPr>
            <w:tcW w:type="dxa" w:w="1814"/>
          </w:tcPr>
          <w:p>
            <w:pPr>
              <w:jc w:val="center"/>
            </w:pPr>
            <w:r/>
            <w:r>
              <w:rPr>
                <w:rFonts w:ascii="Times New Roman" w:hAnsi="Times New Roman" w:eastAsia="宋体"/>
                <w:b w:val="0"/>
                <w:sz w:val="16"/>
              </w:rPr>
              <w:t>0.380</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0.875</w:t>
            </w:r>
          </w:p>
        </w:tc>
      </w:tr>
      <w:tr>
        <w:tc>
          <w:tcPr>
            <w:tcW w:type="dxa" w:w="1814"/>
          </w:tcPr>
          <w:p>
            <w:pPr>
              <w:jc w:val="center"/>
            </w:pPr>
            <w:r/>
            <w:r>
              <w:rPr>
                <w:rFonts w:ascii="Times New Roman" w:hAnsi="Times New Roman" w:eastAsia="宋体"/>
                <w:b w:val="0"/>
                <w:sz w:val="16"/>
              </w:rPr>
              <w:t>芳樟醇</w:t>
            </w:r>
          </w:p>
        </w:tc>
        <w:tc>
          <w:tcPr>
            <w:tcW w:type="dxa" w:w="1814"/>
          </w:tcPr>
          <w:p>
            <w:pPr>
              <w:jc w:val="center"/>
            </w:pPr>
            <w:r/>
            <w:r>
              <w:rPr>
                <w:rFonts w:ascii="Times New Roman" w:hAnsi="Times New Roman" w:eastAsia="宋体"/>
                <w:b w:val="0"/>
                <w:sz w:val="16"/>
              </w:rPr>
              <w:t>柑橘香气</w:t>
            </w:r>
          </w:p>
        </w:tc>
        <w:tc>
          <w:tcPr>
            <w:tcW w:type="dxa" w:w="1814"/>
          </w:tcPr>
          <w:p>
            <w:pPr>
              <w:jc w:val="center"/>
            </w:pPr>
            <w:r/>
            <w:r>
              <w:rPr>
                <w:rFonts w:ascii="Times New Roman" w:hAnsi="Times New Roman" w:eastAsia="宋体"/>
                <w:b w:val="0"/>
                <w:sz w:val="16"/>
              </w:rPr>
              <w:t>0.327</w:t>
            </w:r>
          </w:p>
        </w:tc>
        <w:tc>
          <w:tcPr>
            <w:tcW w:type="dxa" w:w="1814"/>
          </w:tcPr>
          <w:p>
            <w:pPr>
              <w:jc w:val="center"/>
            </w:pPr>
            <w:r/>
            <w:r>
              <w:rPr>
                <w:rFonts w:ascii="Times New Roman" w:hAnsi="Times New Roman" w:eastAsia="宋体"/>
                <w:b w:val="0"/>
                <w:sz w:val="16"/>
              </w:rPr>
              <w:t>monotonic_positive</w:t>
            </w:r>
          </w:p>
        </w:tc>
        <w:tc>
          <w:tcPr>
            <w:tcW w:type="dxa" w:w="1814"/>
          </w:tcPr>
          <w:p>
            <w:pPr>
              <w:jc w:val="center"/>
            </w:pPr>
            <w:r/>
            <w:r>
              <w:rPr>
                <w:rFonts w:ascii="Times New Roman" w:hAnsi="Times New Roman" w:eastAsia="宋体"/>
                <w:b w:val="0"/>
                <w:sz w:val="16"/>
              </w:rPr>
              <w:t>0.167</w:t>
            </w:r>
          </w:p>
        </w:tc>
      </w:tr>
      <w:tr>
        <w:tc>
          <w:tcPr>
            <w:tcW w:type="dxa" w:w="1814"/>
          </w:tcPr>
          <w:p>
            <w:pPr>
              <w:jc w:val="center"/>
            </w:pPr>
            <w:r/>
            <w:r>
              <w:rPr>
                <w:rFonts w:ascii="Times New Roman" w:hAnsi="Times New Roman" w:eastAsia="宋体"/>
                <w:b w:val="0"/>
                <w:sz w:val="16"/>
              </w:rPr>
              <w:t>二甲基硫醚</w:t>
            </w:r>
          </w:p>
        </w:tc>
        <w:tc>
          <w:tcPr>
            <w:tcW w:type="dxa" w:w="1814"/>
          </w:tcPr>
          <w:p>
            <w:pPr>
              <w:jc w:val="center"/>
            </w:pPr>
            <w:r/>
            <w:r>
              <w:rPr>
                <w:rFonts w:ascii="Times New Roman" w:hAnsi="Times New Roman" w:eastAsia="宋体"/>
                <w:b w:val="0"/>
                <w:sz w:val="16"/>
              </w:rPr>
              <w:t>硫醚感知</w:t>
            </w:r>
          </w:p>
        </w:tc>
        <w:tc>
          <w:tcPr>
            <w:tcW w:type="dxa" w:w="1814"/>
          </w:tcPr>
          <w:p>
            <w:pPr>
              <w:jc w:val="center"/>
            </w:pPr>
            <w:r/>
            <w:r>
              <w:rPr>
                <w:rFonts w:ascii="Times New Roman" w:hAnsi="Times New Roman" w:eastAsia="宋体"/>
                <w:b w:val="0"/>
                <w:sz w:val="16"/>
              </w:rPr>
              <w:t>0.088</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双乙酰</w:t>
            </w:r>
          </w:p>
        </w:tc>
        <w:tc>
          <w:tcPr>
            <w:tcW w:type="dxa" w:w="1814"/>
          </w:tcPr>
          <w:p>
            <w:pPr>
              <w:jc w:val="center"/>
            </w:pPr>
            <w:r/>
            <w:r>
              <w:rPr>
                <w:rFonts w:ascii="Times New Roman" w:hAnsi="Times New Roman" w:eastAsia="宋体"/>
                <w:b w:val="0"/>
                <w:sz w:val="16"/>
              </w:rPr>
              <w:t>双乙酰感知</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trans-2-壬烯醛</w:t>
            </w:r>
          </w:p>
        </w:tc>
        <w:tc>
          <w:tcPr>
            <w:tcW w:type="dxa" w:w="1814"/>
          </w:tcPr>
          <w:p>
            <w:pPr>
              <w:jc w:val="center"/>
            </w:pPr>
            <w:r/>
            <w:r>
              <w:rPr>
                <w:rFonts w:ascii="Times New Roman" w:hAnsi="Times New Roman" w:eastAsia="宋体"/>
                <w:b w:val="0"/>
                <w:sz w:val="16"/>
              </w:rPr>
              <w:t>氧化感知</w:t>
            </w:r>
          </w:p>
        </w:tc>
        <w:tc>
          <w:tcPr>
            <w:tcW w:type="dxa" w:w="1814"/>
          </w:tcPr>
          <w:p>
            <w:pPr>
              <w:jc w:val="center"/>
            </w:pPr>
            <w:r/>
            <w:r>
              <w:rPr>
                <w:rFonts w:ascii="Times New Roman" w:hAnsi="Times New Roman" w:eastAsia="宋体"/>
                <w:b w:val="0"/>
                <w:sz w:val="16"/>
              </w:rPr>
              <w:t>-0.151</w:t>
            </w:r>
          </w:p>
        </w:tc>
        <w:tc>
          <w:tcPr>
            <w:tcW w:type="dxa" w:w="1814"/>
          </w:tcPr>
          <w:p>
            <w:pPr>
              <w:jc w:val="center"/>
            </w:pPr>
            <w:r/>
            <w:r>
              <w:rPr>
                <w:rFonts w:ascii="Times New Roman" w:hAnsi="Times New Roman" w:eastAsia="宋体"/>
                <w:b w:val="0"/>
                <w:sz w:val="16"/>
              </w:rPr>
              <w:t>monotonic_negative</w:t>
            </w:r>
          </w:p>
        </w:tc>
        <w:tc>
          <w:tcPr>
            <w:tcW w:type="dxa" w:w="1814"/>
          </w:tcPr>
          <w:p>
            <w:pPr>
              <w:jc w:val="center"/>
            </w:pPr>
            <w:r/>
            <w:r>
              <w:rPr>
                <w:rFonts w:ascii="Times New Roman" w:hAnsi="Times New Roman" w:eastAsia="宋体"/>
                <w:b w:val="0"/>
                <w:sz w:val="16"/>
              </w:rPr>
              <w:t>0.000</w:t>
            </w:r>
          </w:p>
        </w:tc>
      </w:tr>
    </w:tbl>
    <w:p>
      <w:pPr>
        <w:spacing w:before="40" w:after="160"/>
        <w:jc w:val="center"/>
      </w:pPr>
      <w:r>
        <w:rPr>
          <w:rFonts w:ascii="Times New Roman" w:hAnsi="Times New Roman" w:eastAsia="宋体"/>
          <w:b w:val="0"/>
          <w:sz w:val="18"/>
        </w:rPr>
        <w:t>表 11  缺陷化合物—感官维度的剂量—响应判定（六行配对）</w:t>
      </w:r>
    </w:p>
    <w:p>
      <w:pPr>
        <w:spacing w:after="80" w:line="324" w:lineRule="auto"/>
        <w:ind w:firstLine="420"/>
      </w:pPr>
      <w:r>
        <w:rPr>
          <w:rFonts w:ascii="Times New Roman" w:hAnsi="Times New Roman" w:eastAsia="宋体"/>
          <w:b w:val="0"/>
          <w:sz w:val="21"/>
        </w:rPr>
        <w:t>判定口径为：把样品按该化合物的浓度分为四分位组，在每个分位组内计算化合物与感官维度的斯皮尔曼相关；四个分位组的组内相关符号一致且感官中位数随之单调时判为 monotonic_positive，符号一致为负判为 monotonic_negative，符号不一致判为 non_monotonic，四组相关均接近零判为 none。</w:t>
      </w:r>
    </w:p>
    <w:p>
      <w:pPr>
        <w:spacing w:after="80" w:line="324" w:lineRule="auto"/>
        <w:ind w:firstLine="420"/>
      </w:pPr>
      <w:r>
        <w:rPr>
          <w:rFonts w:ascii="Times New Roman" w:hAnsi="Times New Roman" w:eastAsia="宋体"/>
          <w:b w:val="0"/>
          <w:sz w:val="21"/>
        </w:rPr>
        <w:t>按此口径，6 行配对的判定结果为：严格单调正向 1 行（芳樟醇→柑橘香气（全体 ρ = +0.327，正向、存在可测相关；组内判定为单调正向））；严格单调反向 1 行（trans-2-壬烯醛→氧化感知（全体 ρ = -0.151，反向、存在可测相关；组内判定为单调反向））；方向不一致而判为非单调 4 行（乙酸乙酯→酯类香气（全体 ρ = +0.321，正向、存在可测相关；组内判定为非单调）；乙酸乙酯→酯类味（全体 ρ = +0.380，正向、存在可测相关；组内判定为非单调）；二甲基硫醚→硫醚感知（全体 ρ = +0.088，正向、近乎不相关；组内判定为非单调）；双乙酰→双乙酰感知（全体 ρ = -0.093，反向、近乎不相关；组内判定为非单调））。其中全体 |ρ| 小于 0.1、可视为近乎不相关的配对为 二甲基硫醚→硫醚感知、双乙酰→双乙酰感知。这说明「浓度越高、该感官维度越强」这一朴素剂量—响应在本附件上并不普遍成立：相关在全体样品上为正，并不意味着它在浓度分位内部稳定成立。</w:t>
      </w:r>
    </w:p>
    <w:p>
      <w:pPr>
        <w:spacing w:after="80" w:line="324" w:lineRule="auto"/>
        <w:ind w:firstLine="420"/>
      </w:pPr>
      <w:r>
        <w:rPr>
          <w:rFonts w:ascii="Times New Roman" w:hAnsi="Times New Roman" w:eastAsia="宋体"/>
          <w:b w:val="0"/>
          <w:sz w:val="21"/>
        </w:rPr>
        <w:t>就三类缺陷化合物而言，二甲基硫醚→硫醚感知（全体 ρ = +0.088，正向、近乎不相关；组内判定为非单调）；双乙酰→双乙酰感知（全体 ρ = -0.093，反向、近乎不相关；组内判定为非单调）；trans-2-壬烯醛→氧化感知（全体 ρ = -0.151，反向、存在可测相关；组内判定为单调反向）。其中二甲基硫醚的相关方向为正、双乙酰的相关方向为负、trans-2-壬烯醛的相关方向为负。其中呈负向的化合物与「浓度升高即更难闻」的朴素预期相反，这一方向与问题三中「压低缺陷化合物浓度反而使该维度的预测评分略有升高」的观察一致。本文在此只陈述二者方向一致这一事实，不据此推断共同的发酵机制——本附件不含任何发酵过程记录，「共同成因」与「直接致因」两种解释在现有数据下同样成立。</w:t>
      </w:r>
    </w:p>
    <w:p>
      <w:pPr>
        <w:spacing w:after="80" w:line="324" w:lineRule="auto"/>
        <w:ind w:firstLine="420"/>
      </w:pPr>
      <w:r>
        <w:rPr>
          <w:rFonts w:ascii="Times New Roman" w:hAnsi="Times New Roman" w:eastAsia="宋体"/>
          <w:b w:val="0"/>
          <w:sz w:val="21"/>
        </w:rPr>
        <w:t>风格分层稳健性检验在样本量不低于 8 的风格上（共 16 个风格）重算了上述关系。各配对内部与全体相关同号的风格比例分别为 乙酸乙酯→酯类香气 0.62（16 个风格）、乙酸乙酯→酯类味 0.62（16 个风格）、芳樟醇→柑橘香气 0.88（16 个风格）、二甲基硫醚→硫醚感知 0.56（16 个风格）、双乙酰→双乙酰感知 0.62（16 个风格）、trans-2-壬烯醛→氧化感知 0.56（16 个风格），中位数 0.625；按「模式是否与全体一致」计的风格稳健比例在 0.000 至 1.000 之间，其分母是</w:t>
      </w:r>
      <w:r>
        <w:rPr>
          <w:rFonts w:ascii="Times New Roman" w:hAnsi="Times New Roman" w:eastAsia="宋体"/>
          <w:b/>
          <w:sz w:val="21"/>
        </w:rPr>
        <w:t>四分位可判</w:t>
      </w:r>
      <w:r>
        <w:rPr>
          <w:rFonts w:ascii="Times New Roman" w:hAnsi="Times New Roman" w:eastAsia="宋体"/>
          <w:b w:val="0"/>
          <w:sz w:val="21"/>
        </w:rPr>
        <w:t>的风格数（6–8 个），比上文的 16 个风格少，因为部分风格样本量不足以在四个浓度四分位内同时判定模式；逐配对为 乙酸乙酯→酯类香气 6/8、乙酸乙酯→酯类味 7/8、芳樟醇→柑橘香气 1/6、二甲基硫醚→硫醚感知 8/8、双乙酰→双乙酰感知 8/8、trans-2-壬烯醛→氧化感知 0/7，其中 trans-2-壬烯醛为 0/7，即无任何可判风格支持该方向，说明其反向关系在多数风格中并不复现。因此本文把上述剂量—响应结论作为方向性证据而非精确斜率，并在讨论中说明风格构成混杂的风险。</w:t>
      </w:r>
    </w:p>
    <w:p>
      <w:pPr>
        <w:spacing w:after="80" w:line="324" w:lineRule="auto"/>
        <w:ind w:firstLine="420"/>
      </w:pPr>
      <w:r>
        <w:rPr>
          <w:rFonts w:ascii="Times New Roman" w:hAnsi="Times New Roman" w:eastAsia="宋体"/>
          <w:b w:val="0"/>
          <w:sz w:val="21"/>
        </w:rPr>
        <w:t>最后必须再次强调：</w:t>
      </w:r>
      <w:r>
        <w:rPr>
          <w:rFonts w:ascii="Times New Roman" w:hAnsi="Times New Roman" w:eastAsia="宋体"/>
          <w:b/>
          <w:sz w:val="21"/>
        </w:rPr>
        <w:t>原文结论链条中的「提升消费者喜爱度」一环在本附件条件下不可检验</w:t>
      </w:r>
      <w:r>
        <w:rPr>
          <w:rFonts w:ascii="Times New Roman" w:hAnsi="Times New Roman" w:eastAsia="宋体"/>
          <w:b w:val="0"/>
          <w:sz w:val="21"/>
        </w:rPr>
        <w:t>——附件既没有消费者评分标签，也没有购买行为数据，任何关于喜爱度提升幅度的数字都无从核验。本文在该位置给出的只是两个可检验的替代证据：消费者描述符的可预测性，以及化学谱对市场价值的解释力。二者都不等价于喜爱度，因此本文既不复现原文的喜爱度结论，也不否定它，只把它标注为在本数据条件下不可检验。</w:t>
      </w:r>
    </w:p>
    <w:p>
      <w:pPr>
        <w:spacing w:before="80"/>
        <w:jc w:val="center"/>
      </w:pPr>
      <w:r>
        <w:drawing>
          <wp:inline xmlns:a="http://schemas.openxmlformats.org/drawingml/2006/main" xmlns:pic="http://schemas.openxmlformats.org/drawingml/2006/picture">
            <wp:extent cx="4206240" cy="2439044"/>
            <wp:docPr id="11" name="Picture 11"/>
            <wp:cNvGraphicFramePr>
              <a:graphicFrameLocks noChangeAspect="1"/>
            </wp:cNvGraphicFramePr>
            <a:graphic>
              <a:graphicData uri="http://schemas.openxmlformats.org/drawingml/2006/picture">
                <pic:pic>
                  <pic:nvPicPr>
                    <pic:cNvPr id="0" name="fig3_dose_response.png"/>
                    <pic:cNvPicPr/>
                  </pic:nvPicPr>
                  <pic:blipFill>
                    <a:blip r:embed="rId19"/>
                    <a:stretch>
                      <a:fillRect/>
                    </a:stretch>
                  </pic:blipFill>
                  <pic:spPr>
                    <a:xfrm>
                      <a:off x="0" y="0"/>
                      <a:ext cx="4206240" cy="2439044"/>
                    </a:xfrm>
                    <a:prstGeom prst="rect"/>
                  </pic:spPr>
                </pic:pic>
              </a:graphicData>
            </a:graphic>
          </wp:inline>
        </w:drawing>
      </w:r>
    </w:p>
    <w:p>
      <w:pPr>
        <w:spacing w:before="40" w:after="160"/>
        <w:jc w:val="center"/>
      </w:pPr>
      <w:r>
        <w:rPr>
          <w:rFonts w:ascii="Times New Roman" w:hAnsi="Times New Roman" w:eastAsia="宋体"/>
          <w:b w:val="0"/>
          <w:sz w:val="18"/>
        </w:rPr>
        <w:t>图 10  剂量-响应。左面板为化合物浓度四分位内组内的斯皮尔曼相关 ρ，右面板为对应感官维度的中位强度，两者刻画「浓度升高—感知变化」的方向与幅度。共 6 组化合物—感官维度配对，每组按浓度四分位（Q1→Q4）统计；虚线为 ρ=0 参考线。橙红强调色配以不同点型/线型者为目标缺陷化合物配对。风格分层稳健性（n≥8 的风格内重算）显示部分配对在任一风格内都不成立，稳健比例中位数为 0.812，逐组结论见正文表。</w:t>
      </w:r>
    </w:p>
    <w:p>
      <w:pPr>
        <w:spacing w:before="140" w:after="80" w:line="312" w:lineRule="auto"/>
        <w:jc w:val="left"/>
      </w:pPr>
      <w:r>
        <w:rPr>
          <w:rFonts w:ascii="Times New Roman" w:hAnsi="Times New Roman" w:eastAsia="黑体"/>
          <w:b/>
          <w:sz w:val="26"/>
        </w:rPr>
        <w:t>5.5 问题三：风格条件生成与跨风格迁移</w:t>
      </w:r>
    </w:p>
    <w:p>
      <w:pPr>
        <w:spacing w:before="80"/>
        <w:jc w:val="center"/>
      </w:pPr>
    </w:p>
    <w:tbl>
      <w:tblPr>
        <w:tblStyle w:val="16"/>
        <w:tblW w:type="auto" w:w="0"/>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c>
          <w:tcPr>
            <w:tcW w:type="dxa" w:w="756"/>
          </w:tcPr>
          <w:p>
            <w:pPr>
              <w:jc w:val="center"/>
            </w:pPr>
            <w:r/>
            <w:r>
              <w:rPr>
                <w:rFonts w:ascii="Times New Roman" w:hAnsi="Times New Roman" w:eastAsia="黑体"/>
                <w:b/>
                <w:sz w:val="16"/>
              </w:rPr>
              <w:t>风格</w:t>
            </w:r>
          </w:p>
        </w:tc>
        <w:tc>
          <w:tcPr>
            <w:tcW w:type="dxa" w:w="756"/>
          </w:tcPr>
          <w:p>
            <w:pPr>
              <w:jc w:val="center"/>
            </w:pPr>
            <w:r/>
            <w:r>
              <w:rPr>
                <w:rFonts w:ascii="Times New Roman" w:hAnsi="Times New Roman" w:eastAsia="黑体"/>
                <w:b/>
                <w:sz w:val="16"/>
              </w:rPr>
              <w:t>真实样本数</w:t>
            </w:r>
          </w:p>
        </w:tc>
        <w:tc>
          <w:tcPr>
            <w:tcW w:type="dxa" w:w="756"/>
          </w:tcPr>
          <w:p>
            <w:pPr>
              <w:jc w:val="center"/>
            </w:pPr>
            <w:r/>
            <w:r>
              <w:rPr>
                <w:rFonts w:ascii="Times New Roman" w:hAnsi="Times New Roman" w:eastAsia="黑体"/>
                <w:b/>
                <w:sz w:val="16"/>
              </w:rPr>
              <w:t>生成样本数</w:t>
            </w:r>
          </w:p>
        </w:tc>
        <w:tc>
          <w:tcPr>
            <w:tcW w:type="dxa" w:w="756"/>
          </w:tcPr>
          <w:p>
            <w:pPr>
              <w:jc w:val="center"/>
            </w:pPr>
            <w:r/>
            <w:r>
              <w:rPr>
                <w:rFonts w:ascii="Times New Roman" w:hAnsi="Times New Roman" w:eastAsia="黑体"/>
                <w:b/>
                <w:sz w:val="16"/>
              </w:rPr>
              <w:t>λ</w:t>
            </w:r>
          </w:p>
        </w:tc>
        <w:tc>
          <w:tcPr>
            <w:tcW w:type="dxa" w:w="756"/>
          </w:tcPr>
          <w:p>
            <w:pPr>
              <w:jc w:val="center"/>
            </w:pPr>
            <w:r/>
            <w:r>
              <w:rPr>
                <w:rFonts w:ascii="Times New Roman" w:hAnsi="Times New Roman" w:eastAsia="黑体"/>
                <w:b/>
                <w:sz w:val="16"/>
              </w:rPr>
              <w:t>KS（受约束）</w:t>
            </w:r>
          </w:p>
        </w:tc>
        <w:tc>
          <w:tcPr>
            <w:tcW w:type="dxa" w:w="756"/>
          </w:tcPr>
          <w:p>
            <w:pPr>
              <w:jc w:val="center"/>
            </w:pPr>
            <w:r/>
            <w:r>
              <w:rPr>
                <w:rFonts w:ascii="Times New Roman" w:hAnsi="Times New Roman" w:eastAsia="黑体"/>
                <w:b/>
                <w:sz w:val="16"/>
              </w:rPr>
              <w:t>KS（无约束参照）</w:t>
            </w:r>
          </w:p>
        </w:tc>
        <w:tc>
          <w:tcPr>
            <w:tcW w:type="dxa" w:w="756"/>
          </w:tcPr>
          <w:p>
            <w:pPr>
              <w:jc w:val="center"/>
            </w:pPr>
            <w:r/>
            <w:r>
              <w:rPr>
                <w:rFonts w:ascii="Times New Roman" w:hAnsi="Times New Roman" w:eastAsia="黑体"/>
                <w:b/>
                <w:sz w:val="16"/>
              </w:rPr>
              <w:t>KS（同分布随机期望）</w:t>
            </w:r>
          </w:p>
        </w:tc>
        <w:tc>
          <w:tcPr>
            <w:tcW w:type="dxa" w:w="756"/>
          </w:tcPr>
          <w:p>
            <w:pPr>
              <w:jc w:val="center"/>
            </w:pPr>
            <w:r/>
            <w:r>
              <w:rPr>
                <w:rFonts w:ascii="Times New Roman" w:hAnsi="Times New Roman" w:eastAsia="黑体"/>
                <w:b/>
                <w:sz w:val="16"/>
              </w:rPr>
              <w:t>KS（经验匹配地板）</w:t>
            </w:r>
          </w:p>
        </w:tc>
        <w:tc>
          <w:tcPr>
            <w:tcW w:type="dxa" w:w="756"/>
          </w:tcPr>
          <w:p>
            <w:pPr>
              <w:jc w:val="center"/>
            </w:pPr>
            <w:r/>
            <w:r>
              <w:rPr>
                <w:rFonts w:ascii="Times New Roman" w:hAnsi="Times New Roman" w:eastAsia="黑体"/>
                <w:b/>
                <w:sz w:val="16"/>
              </w:rPr>
              <w:t>落入真实区间比例</w:t>
            </w:r>
          </w:p>
        </w:tc>
        <w:tc>
          <w:tcPr>
            <w:tcW w:type="dxa" w:w="756"/>
          </w:tcPr>
          <w:p>
            <w:pPr>
              <w:jc w:val="center"/>
            </w:pPr>
            <w:r/>
            <w:r>
              <w:rPr>
                <w:rFonts w:ascii="Times New Roman" w:hAnsi="Times New Roman" w:eastAsia="黑体"/>
                <w:b/>
                <w:sz w:val="16"/>
              </w:rPr>
              <w:t>缺陷超阈值总数</w:t>
            </w:r>
          </w:p>
        </w:tc>
        <w:tc>
          <w:tcPr>
            <w:tcW w:type="dxa" w:w="756"/>
          </w:tcPr>
          <w:p>
            <w:pPr>
              <w:jc w:val="center"/>
            </w:pPr>
            <w:r/>
            <w:r>
              <w:rPr>
                <w:rFonts w:ascii="Times New Roman" w:hAnsi="Times New Roman" w:eastAsia="黑体"/>
                <w:b/>
                <w:sz w:val="16"/>
              </w:rPr>
              <w:t>无约束超阈值总数</w:t>
            </w:r>
          </w:p>
        </w:tc>
        <w:tc>
          <w:tcPr>
            <w:tcW w:type="dxa" w:w="756"/>
          </w:tcPr>
          <w:p>
            <w:pPr>
              <w:jc w:val="center"/>
            </w:pPr>
            <w:r/>
            <w:r>
              <w:rPr>
                <w:rFonts w:ascii="Times New Roman" w:hAnsi="Times New Roman" w:eastAsia="黑体"/>
                <w:b/>
                <w:sz w:val="16"/>
              </w:rPr>
              <w:t>相关结构平均绝对偏差</w:t>
            </w:r>
          </w:p>
        </w:tc>
      </w:tr>
      <w:tr>
        <w:tc>
          <w:tcPr>
            <w:tcW w:type="dxa" w:w="756"/>
          </w:tcPr>
          <w:p>
            <w:pPr>
              <w:jc w:val="center"/>
            </w:pPr>
            <w:r/>
            <w:r>
              <w:rPr>
                <w:rFonts w:ascii="Times New Roman" w:hAnsi="Times New Roman" w:eastAsia="宋体"/>
                <w:b w:val="0"/>
                <w:sz w:val="16"/>
              </w:rPr>
              <w:t>Tripel</w:t>
            </w:r>
          </w:p>
        </w:tc>
        <w:tc>
          <w:tcPr>
            <w:tcW w:type="dxa" w:w="756"/>
          </w:tcPr>
          <w:p>
            <w:pPr>
              <w:jc w:val="center"/>
            </w:pPr>
            <w:r/>
            <w:r>
              <w:rPr>
                <w:rFonts w:ascii="Times New Roman" w:hAnsi="Times New Roman" w:eastAsia="宋体"/>
                <w:b w:val="0"/>
                <w:sz w:val="16"/>
              </w:rPr>
              <w:t>28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0.7368</w:t>
            </w:r>
          </w:p>
        </w:tc>
        <w:tc>
          <w:tcPr>
            <w:tcW w:type="dxa" w:w="756"/>
          </w:tcPr>
          <w:p>
            <w:pPr>
              <w:jc w:val="center"/>
            </w:pPr>
            <w:r/>
            <w:r>
              <w:rPr>
                <w:rFonts w:ascii="Times New Roman" w:hAnsi="Times New Roman" w:eastAsia="宋体"/>
                <w:b w:val="0"/>
                <w:sz w:val="16"/>
              </w:rPr>
              <w:t>0.1494</w:t>
            </w:r>
          </w:p>
        </w:tc>
        <w:tc>
          <w:tcPr>
            <w:tcW w:type="dxa" w:w="756"/>
          </w:tcPr>
          <w:p>
            <w:pPr>
              <w:jc w:val="center"/>
            </w:pPr>
            <w:r/>
            <w:r>
              <w:rPr>
                <w:rFonts w:ascii="Times New Roman" w:hAnsi="Times New Roman" w:eastAsia="宋体"/>
                <w:b w:val="0"/>
                <w:sz w:val="16"/>
              </w:rPr>
              <w:t>0.0700</w:t>
            </w:r>
          </w:p>
        </w:tc>
        <w:tc>
          <w:tcPr>
            <w:tcW w:type="dxa" w:w="756"/>
          </w:tcPr>
          <w:p>
            <w:pPr>
              <w:jc w:val="center"/>
            </w:pPr>
            <w:r/>
            <w:r>
              <w:rPr>
                <w:rFonts w:ascii="Times New Roman" w:hAnsi="Times New Roman" w:eastAsia="宋体"/>
                <w:b w:val="0"/>
                <w:sz w:val="16"/>
              </w:rPr>
              <w:t>0.1590</w:t>
            </w:r>
          </w:p>
        </w:tc>
        <w:tc>
          <w:tcPr>
            <w:tcW w:type="dxa" w:w="756"/>
          </w:tcPr>
          <w:p>
            <w:pPr>
              <w:jc w:val="center"/>
            </w:pPr>
            <w:r/>
            <w:r>
              <w:rPr>
                <w:rFonts w:ascii="Times New Roman" w:hAnsi="Times New Roman" w:eastAsia="宋体"/>
                <w:b w:val="0"/>
                <w:sz w:val="16"/>
              </w:rPr>
              <w:t>0.0439</w:t>
            </w:r>
          </w:p>
        </w:tc>
        <w:tc>
          <w:tcPr>
            <w:tcW w:type="dxa" w:w="756"/>
          </w:tcPr>
          <w:p>
            <w:pPr>
              <w:jc w:val="center"/>
            </w:pPr>
            <w:r/>
            <w:r>
              <w:rPr>
                <w:rFonts w:ascii="Times New Roman" w:hAnsi="Times New Roman" w:eastAsia="宋体"/>
                <w:b w:val="0"/>
                <w:sz w:val="16"/>
              </w:rPr>
              <w:t>0.9840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220</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Kriek</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0.0390</w:t>
            </w:r>
          </w:p>
        </w:tc>
        <w:tc>
          <w:tcPr>
            <w:tcW w:type="dxa" w:w="756"/>
          </w:tcPr>
          <w:p>
            <w:pPr>
              <w:jc w:val="center"/>
            </w:pPr>
            <w:r/>
            <w:r>
              <w:rPr>
                <w:rFonts w:ascii="Times New Roman" w:hAnsi="Times New Roman" w:eastAsia="宋体"/>
                <w:b w:val="0"/>
                <w:sz w:val="16"/>
              </w:rPr>
              <w:t>0.8920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202</w:t>
            </w:r>
          </w:p>
        </w:tc>
        <w:tc>
          <w:tcPr>
            <w:tcW w:type="dxa" w:w="756"/>
          </w:tcPr>
          <w:p>
            <w:pPr>
              <w:jc w:val="center"/>
            </w:pPr>
            <w:r/>
            <w:r>
              <w:rPr>
                <w:rFonts w:ascii="Times New Roman" w:hAnsi="Times New Roman" w:eastAsia="宋体"/>
                <w:b w:val="0"/>
                <w:sz w:val="16"/>
              </w:rPr>
              <w:t>0.3143</w:t>
            </w:r>
          </w:p>
        </w:tc>
      </w:tr>
      <w:tr>
        <w:tc>
          <w:tcPr>
            <w:tcW w:type="dxa" w:w="756"/>
          </w:tcPr>
          <w:p>
            <w:pPr>
              <w:jc w:val="center"/>
            </w:pPr>
            <w:r/>
            <w:r>
              <w:rPr>
                <w:rFonts w:ascii="Times New Roman" w:hAnsi="Times New Roman" w:eastAsia="宋体"/>
                <w:b w:val="0"/>
                <w:sz w:val="16"/>
              </w:rPr>
              <w:t>Lambic</w:t>
            </w:r>
          </w:p>
        </w:tc>
        <w:tc>
          <w:tcPr>
            <w:tcW w:type="dxa" w:w="756"/>
          </w:tcPr>
          <w:p>
            <w:pPr>
              <w:jc w:val="center"/>
            </w:pPr>
            <w:r/>
            <w:r>
              <w:rPr>
                <w:rFonts w:ascii="Times New Roman" w:hAnsi="Times New Roman" w:eastAsia="宋体"/>
                <w:b w:val="0"/>
                <w:sz w:val="16"/>
              </w:rPr>
              <w:t>11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0.5238</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0.1640</w:t>
            </w:r>
          </w:p>
        </w:tc>
        <w:tc>
          <w:tcPr>
            <w:tcW w:type="dxa" w:w="756"/>
          </w:tcPr>
          <w:p>
            <w:pPr>
              <w:jc w:val="center"/>
            </w:pPr>
            <w:r/>
            <w:r>
              <w:rPr>
                <w:rFonts w:ascii="Times New Roman" w:hAnsi="Times New Roman" w:eastAsia="宋体"/>
                <w:b w:val="0"/>
                <w:sz w:val="16"/>
              </w:rPr>
              <w:t>0.2458</w:t>
            </w:r>
          </w:p>
        </w:tc>
        <w:tc>
          <w:tcPr>
            <w:tcW w:type="dxa" w:w="756"/>
          </w:tcPr>
          <w:p>
            <w:pPr>
              <w:jc w:val="center"/>
            </w:pPr>
            <w:r/>
            <w:r>
              <w:rPr>
                <w:rFonts w:ascii="Times New Roman" w:hAnsi="Times New Roman" w:eastAsia="宋体"/>
                <w:b w:val="0"/>
                <w:sz w:val="16"/>
              </w:rPr>
              <w:t>0.0394</w:t>
            </w:r>
          </w:p>
        </w:tc>
        <w:tc>
          <w:tcPr>
            <w:tcW w:type="dxa" w:w="756"/>
          </w:tcPr>
          <w:p>
            <w:pPr>
              <w:jc w:val="center"/>
            </w:pPr>
            <w:r/>
            <w:r>
              <w:rPr>
                <w:rFonts w:ascii="Times New Roman" w:hAnsi="Times New Roman" w:eastAsia="宋体"/>
                <w:b w:val="0"/>
                <w:sz w:val="16"/>
              </w:rPr>
              <w:t>0.8760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212</w:t>
            </w:r>
          </w:p>
        </w:tc>
        <w:tc>
          <w:tcPr>
            <w:tcW w:type="dxa" w:w="756"/>
          </w:tcPr>
          <w:p>
            <w:pPr>
              <w:jc w:val="center"/>
            </w:pPr>
            <w:r/>
            <w:r>
              <w:rPr>
                <w:rFonts w:ascii="Times New Roman" w:hAnsi="Times New Roman" w:eastAsia="宋体"/>
                <w:b w:val="0"/>
                <w:sz w:val="16"/>
              </w:rPr>
              <w:t>0.2922</w:t>
            </w:r>
          </w:p>
        </w:tc>
      </w:tr>
      <w:tr>
        <w:tc>
          <w:tcPr>
            <w:tcW w:type="dxa" w:w="756"/>
          </w:tcPr>
          <w:p>
            <w:pPr>
              <w:jc w:val="center"/>
            </w:pPr>
            <w:r/>
            <w:r>
              <w:rPr>
                <w:rFonts w:ascii="Times New Roman" w:hAnsi="Times New Roman" w:eastAsia="宋体"/>
                <w:b w:val="0"/>
                <w:sz w:val="16"/>
              </w:rPr>
              <w:t>Blond</w:t>
            </w:r>
          </w:p>
        </w:tc>
        <w:tc>
          <w:tcPr>
            <w:tcW w:type="dxa" w:w="756"/>
          </w:tcPr>
          <w:p>
            <w:pPr>
              <w:jc w:val="center"/>
            </w:pPr>
            <w:r/>
            <w:r>
              <w:rPr>
                <w:rFonts w:ascii="Times New Roman" w:hAnsi="Times New Roman" w:eastAsia="宋体"/>
                <w:b w:val="0"/>
                <w:sz w:val="16"/>
              </w:rPr>
              <w:t>31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0.7561</w:t>
            </w:r>
          </w:p>
        </w:tc>
        <w:tc>
          <w:tcPr>
            <w:tcW w:type="dxa" w:w="756"/>
          </w:tcPr>
          <w:p>
            <w:pPr>
              <w:jc w:val="center"/>
            </w:pPr>
            <w:r/>
            <w:r>
              <w:rPr>
                <w:rFonts w:ascii="Times New Roman" w:hAnsi="Times New Roman" w:eastAsia="宋体"/>
                <w:b w:val="0"/>
                <w:sz w:val="16"/>
              </w:rPr>
              <w:t>0.1524</w:t>
            </w:r>
          </w:p>
        </w:tc>
        <w:tc>
          <w:tcPr>
            <w:tcW w:type="dxa" w:w="756"/>
          </w:tcPr>
          <w:p>
            <w:pPr>
              <w:jc w:val="center"/>
            </w:pPr>
            <w:r/>
            <w:r>
              <w:rPr>
                <w:rFonts w:ascii="Times New Roman" w:hAnsi="Times New Roman" w:eastAsia="宋体"/>
                <w:b w:val="0"/>
                <w:sz w:val="16"/>
              </w:rPr>
              <w:t>0.0652</w:t>
            </w:r>
          </w:p>
        </w:tc>
        <w:tc>
          <w:tcPr>
            <w:tcW w:type="dxa" w:w="756"/>
          </w:tcPr>
          <w:p>
            <w:pPr>
              <w:jc w:val="center"/>
            </w:pPr>
            <w:r/>
            <w:r>
              <w:rPr>
                <w:rFonts w:ascii="Times New Roman" w:hAnsi="Times New Roman" w:eastAsia="宋体"/>
                <w:b w:val="0"/>
                <w:sz w:val="16"/>
              </w:rPr>
              <w:t>0.1519</w:t>
            </w:r>
          </w:p>
        </w:tc>
        <w:tc>
          <w:tcPr>
            <w:tcW w:type="dxa" w:w="756"/>
          </w:tcPr>
          <w:p>
            <w:pPr>
              <w:jc w:val="center"/>
            </w:pPr>
            <w:r/>
            <w:r>
              <w:rPr>
                <w:rFonts w:ascii="Times New Roman" w:hAnsi="Times New Roman" w:eastAsia="宋体"/>
                <w:b w:val="0"/>
                <w:sz w:val="16"/>
              </w:rPr>
              <w:t>0.0441</w:t>
            </w:r>
          </w:p>
        </w:tc>
        <w:tc>
          <w:tcPr>
            <w:tcW w:type="dxa" w:w="756"/>
          </w:tcPr>
          <w:p>
            <w:pPr>
              <w:jc w:val="center"/>
            </w:pPr>
            <w:r/>
            <w:r>
              <w:rPr>
                <w:rFonts w:ascii="Times New Roman" w:hAnsi="Times New Roman" w:eastAsia="宋体"/>
                <w:b w:val="0"/>
                <w:sz w:val="16"/>
              </w:rPr>
              <w:t>0.9920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239</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Strong ale</w:t>
            </w:r>
          </w:p>
        </w:tc>
        <w:tc>
          <w:tcPr>
            <w:tcW w:type="dxa" w:w="756"/>
          </w:tcPr>
          <w:p>
            <w:pPr>
              <w:jc w:val="center"/>
            </w:pPr>
            <w:r/>
            <w:r>
              <w:rPr>
                <w:rFonts w:ascii="Times New Roman" w:hAnsi="Times New Roman" w:eastAsia="宋体"/>
                <w:b w:val="0"/>
                <w:sz w:val="16"/>
              </w:rPr>
              <w:t>18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0.6429</w:t>
            </w:r>
          </w:p>
        </w:tc>
        <w:tc>
          <w:tcPr>
            <w:tcW w:type="dxa" w:w="756"/>
          </w:tcPr>
          <w:p>
            <w:pPr>
              <w:jc w:val="center"/>
            </w:pPr>
            <w:r/>
            <w:r>
              <w:rPr>
                <w:rFonts w:ascii="Times New Roman" w:hAnsi="Times New Roman" w:eastAsia="宋体"/>
                <w:b w:val="0"/>
                <w:sz w:val="16"/>
              </w:rPr>
              <w:t>0.1440</w:t>
            </w:r>
          </w:p>
        </w:tc>
        <w:tc>
          <w:tcPr>
            <w:tcW w:type="dxa" w:w="756"/>
          </w:tcPr>
          <w:p>
            <w:pPr>
              <w:jc w:val="center"/>
            </w:pPr>
            <w:r/>
            <w:r>
              <w:rPr>
                <w:rFonts w:ascii="Times New Roman" w:hAnsi="Times New Roman" w:eastAsia="宋体"/>
                <w:b w:val="0"/>
                <w:sz w:val="16"/>
              </w:rPr>
              <w:t>0.0969</w:t>
            </w:r>
          </w:p>
        </w:tc>
        <w:tc>
          <w:tcPr>
            <w:tcW w:type="dxa" w:w="756"/>
          </w:tcPr>
          <w:p>
            <w:pPr>
              <w:jc w:val="center"/>
            </w:pPr>
            <w:r/>
            <w:r>
              <w:rPr>
                <w:rFonts w:ascii="Times New Roman" w:hAnsi="Times New Roman" w:eastAsia="宋体"/>
                <w:b w:val="0"/>
                <w:sz w:val="16"/>
              </w:rPr>
              <w:t>0.1947</w:t>
            </w:r>
          </w:p>
        </w:tc>
        <w:tc>
          <w:tcPr>
            <w:tcW w:type="dxa" w:w="756"/>
          </w:tcPr>
          <w:p>
            <w:pPr>
              <w:jc w:val="center"/>
            </w:pPr>
            <w:r/>
            <w:r>
              <w:rPr>
                <w:rFonts w:ascii="Times New Roman" w:hAnsi="Times New Roman" w:eastAsia="宋体"/>
                <w:b w:val="0"/>
                <w:sz w:val="16"/>
              </w:rPr>
              <w:t>0.0422</w:t>
            </w:r>
          </w:p>
        </w:tc>
        <w:tc>
          <w:tcPr>
            <w:tcW w:type="dxa" w:w="756"/>
          </w:tcPr>
          <w:p>
            <w:pPr>
              <w:jc w:val="center"/>
            </w:pPr>
            <w:r/>
            <w:r>
              <w:rPr>
                <w:rFonts w:ascii="Times New Roman" w:hAnsi="Times New Roman" w:eastAsia="宋体"/>
                <w:b w:val="0"/>
                <w:sz w:val="16"/>
              </w:rPr>
              <w:t>0.9440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210</w:t>
            </w:r>
          </w:p>
        </w:tc>
        <w:tc>
          <w:tcPr>
            <w:tcW w:type="dxa" w:w="756"/>
          </w:tcPr>
          <w:p>
            <w:pPr>
              <w:jc w:val="center"/>
            </w:pPr>
            <w:r/>
            <w:r>
              <w:rPr>
                <w:rFonts w:ascii="Times New Roman" w:hAnsi="Times New Roman" w:eastAsia="宋体"/>
                <w:b w:val="0"/>
                <w:sz w:val="16"/>
              </w:rPr>
              <w:t>0.2280</w:t>
            </w:r>
          </w:p>
        </w:tc>
      </w:tr>
      <w:tr>
        <w:tc>
          <w:tcPr>
            <w:tcW w:type="dxa" w:w="756"/>
          </w:tcPr>
          <w:p>
            <w:pPr>
              <w:jc w:val="center"/>
            </w:pPr>
            <w:r/>
            <w:r>
              <w:rPr>
                <w:rFonts w:ascii="Times New Roman" w:hAnsi="Times New Roman" w:eastAsia="宋体"/>
                <w:b w:val="0"/>
                <w:sz w:val="16"/>
              </w:rPr>
              <w:t>Hoppy</w:t>
            </w:r>
          </w:p>
        </w:tc>
        <w:tc>
          <w:tcPr>
            <w:tcW w:type="dxa" w:w="756"/>
          </w:tcPr>
          <w:p>
            <w:pPr>
              <w:jc w:val="center"/>
            </w:pPr>
            <w:r/>
            <w:r>
              <w:rPr>
                <w:rFonts w:ascii="Times New Roman" w:hAnsi="Times New Roman" w:eastAsia="宋体"/>
                <w:b w:val="0"/>
                <w:sz w:val="16"/>
              </w:rPr>
              <w:t>17</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0.6296</w:t>
            </w:r>
          </w:p>
        </w:tc>
        <w:tc>
          <w:tcPr>
            <w:tcW w:type="dxa" w:w="756"/>
          </w:tcPr>
          <w:p>
            <w:pPr>
              <w:jc w:val="center"/>
            </w:pPr>
            <w:r/>
            <w:r>
              <w:rPr>
                <w:rFonts w:ascii="Times New Roman" w:hAnsi="Times New Roman" w:eastAsia="宋体"/>
                <w:b w:val="0"/>
                <w:sz w:val="16"/>
              </w:rPr>
              <w:t>0.1831</w:t>
            </w:r>
          </w:p>
        </w:tc>
        <w:tc>
          <w:tcPr>
            <w:tcW w:type="dxa" w:w="756"/>
          </w:tcPr>
          <w:p>
            <w:pPr>
              <w:jc w:val="center"/>
            </w:pPr>
            <w:r/>
            <w:r>
              <w:rPr>
                <w:rFonts w:ascii="Times New Roman" w:hAnsi="Times New Roman" w:eastAsia="宋体"/>
                <w:b w:val="0"/>
                <w:sz w:val="16"/>
              </w:rPr>
              <w:t>0.1014</w:t>
            </w:r>
          </w:p>
        </w:tc>
        <w:tc>
          <w:tcPr>
            <w:tcW w:type="dxa" w:w="756"/>
          </w:tcPr>
          <w:p>
            <w:pPr>
              <w:jc w:val="center"/>
            </w:pPr>
            <w:r/>
            <w:r>
              <w:rPr>
                <w:rFonts w:ascii="Times New Roman" w:hAnsi="Times New Roman" w:eastAsia="宋体"/>
                <w:b w:val="0"/>
                <w:sz w:val="16"/>
              </w:rPr>
              <w:t>0.2000</w:t>
            </w:r>
          </w:p>
        </w:tc>
        <w:tc>
          <w:tcPr>
            <w:tcW w:type="dxa" w:w="756"/>
          </w:tcPr>
          <w:p>
            <w:pPr>
              <w:jc w:val="center"/>
            </w:pPr>
            <w:r/>
            <w:r>
              <w:rPr>
                <w:rFonts w:ascii="Times New Roman" w:hAnsi="Times New Roman" w:eastAsia="宋体"/>
                <w:b w:val="0"/>
                <w:sz w:val="16"/>
              </w:rPr>
              <w:t>0.0427</w:t>
            </w:r>
          </w:p>
        </w:tc>
        <w:tc>
          <w:tcPr>
            <w:tcW w:type="dxa" w:w="756"/>
          </w:tcPr>
          <w:p>
            <w:pPr>
              <w:jc w:val="center"/>
            </w:pPr>
            <w:r/>
            <w:r>
              <w:rPr>
                <w:rFonts w:ascii="Times New Roman" w:hAnsi="Times New Roman" w:eastAsia="宋体"/>
                <w:b w:val="0"/>
                <w:sz w:val="16"/>
              </w:rPr>
              <w:t>0.9400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235</w:t>
            </w:r>
          </w:p>
        </w:tc>
        <w:tc>
          <w:tcPr>
            <w:tcW w:type="dxa" w:w="756"/>
          </w:tcPr>
          <w:p>
            <w:pPr>
              <w:jc w:val="center"/>
            </w:pPr>
            <w:r/>
            <w:r>
              <w:rPr>
                <w:rFonts w:ascii="Times New Roman" w:hAnsi="Times New Roman" w:eastAsia="宋体"/>
                <w:b w:val="0"/>
                <w:sz w:val="16"/>
              </w:rPr>
              <w:t>0.2455</w:t>
            </w:r>
          </w:p>
        </w:tc>
      </w:tr>
      <w:tr>
        <w:tc>
          <w:tcPr>
            <w:tcW w:type="dxa" w:w="756"/>
          </w:tcPr>
          <w:p>
            <w:pPr>
              <w:jc w:val="center"/>
            </w:pPr>
            <w:r/>
            <w:r>
              <w:rPr>
                <w:rFonts w:ascii="Times New Roman" w:hAnsi="Times New Roman" w:eastAsia="宋体"/>
                <w:b w:val="0"/>
                <w:sz w:val="16"/>
              </w:rPr>
              <w:t>Dubbel</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0.1400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0.0396</w:t>
            </w:r>
          </w:p>
        </w:tc>
        <w:tc>
          <w:tcPr>
            <w:tcW w:type="dxa" w:w="756"/>
          </w:tcPr>
          <w:p>
            <w:pPr>
              <w:jc w:val="center"/>
            </w:pPr>
            <w:r/>
            <w:r>
              <w:rPr>
                <w:rFonts w:ascii="Times New Roman" w:hAnsi="Times New Roman" w:eastAsia="宋体"/>
                <w:b w:val="0"/>
                <w:sz w:val="16"/>
              </w:rPr>
              <w:t>0.8800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209</w:t>
            </w:r>
          </w:p>
        </w:tc>
        <w:tc>
          <w:tcPr>
            <w:tcW w:type="dxa" w:w="756"/>
          </w:tcPr>
          <w:p>
            <w:pPr>
              <w:jc w:val="center"/>
            </w:pPr>
            <w:r/>
            <w:r>
              <w:rPr>
                <w:rFonts w:ascii="Times New Roman" w:hAnsi="Times New Roman" w:eastAsia="宋体"/>
                <w:b w:val="0"/>
                <w:sz w:val="16"/>
              </w:rPr>
              <w:t>0.3036</w:t>
            </w:r>
          </w:p>
        </w:tc>
      </w:tr>
      <w:tr>
        <w:tc>
          <w:tcPr>
            <w:tcW w:type="dxa" w:w="756"/>
          </w:tcPr>
          <w:p>
            <w:pPr>
              <w:jc w:val="center"/>
            </w:pPr>
            <w:r/>
            <w:r>
              <w:rPr>
                <w:rFonts w:ascii="Times New Roman" w:hAnsi="Times New Roman" w:eastAsia="宋体"/>
                <w:b w:val="0"/>
                <w:sz w:val="16"/>
              </w:rPr>
              <w:t>Saison</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0.2120</w:t>
            </w:r>
          </w:p>
        </w:tc>
        <w:tc>
          <w:tcPr>
            <w:tcW w:type="dxa" w:w="756"/>
          </w:tcPr>
          <w:p>
            <w:pPr>
              <w:jc w:val="center"/>
            </w:pPr>
            <w:r/>
            <w:r>
              <w:rPr>
                <w:rFonts w:ascii="Times New Roman" w:hAnsi="Times New Roman" w:eastAsia="宋体"/>
                <w:b w:val="0"/>
                <w:sz w:val="16"/>
              </w:rPr>
              <w:t>0.1680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0.0400</w:t>
            </w:r>
          </w:p>
        </w:tc>
        <w:tc>
          <w:tcPr>
            <w:tcW w:type="dxa" w:w="756"/>
          </w:tcPr>
          <w:p>
            <w:pPr>
              <w:jc w:val="center"/>
            </w:pPr>
            <w:r/>
            <w:r>
              <w:rPr>
                <w:rFonts w:ascii="Times New Roman" w:hAnsi="Times New Roman" w:eastAsia="宋体"/>
                <w:b w:val="0"/>
                <w:sz w:val="16"/>
              </w:rPr>
              <w:t>0.8720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221</w:t>
            </w:r>
          </w:p>
        </w:tc>
        <w:tc>
          <w:tcPr>
            <w:tcW w:type="dxa" w:w="756"/>
          </w:tcPr>
          <w:p>
            <w:pPr>
              <w:jc w:val="center"/>
            </w:pPr>
            <w:r/>
            <w:r>
              <w:rPr>
                <w:rFonts w:ascii="Times New Roman" w:hAnsi="Times New Roman" w:eastAsia="宋体"/>
                <w:b w:val="0"/>
                <w:sz w:val="16"/>
              </w:rPr>
              <w:t>0.3131</w:t>
            </w:r>
          </w:p>
        </w:tc>
      </w:tr>
    </w:tbl>
    <w:p>
      <w:pPr>
        <w:spacing w:before="40" w:after="160"/>
        <w:jc w:val="center"/>
      </w:pPr>
      <w:r>
        <w:rPr>
          <w:rFonts w:ascii="Times New Roman" w:hAnsi="Times New Roman" w:eastAsia="宋体"/>
          <w:b w:val="0"/>
          <w:sz w:val="18"/>
        </w:rPr>
        <w:t>表 12  各风格条件生成结果与可行性核验（含无约束参照生成）</w:t>
      </w:r>
    </w:p>
    <w:p>
      <w:pPr>
        <w:spacing w:after="80" w:line="324" w:lineRule="auto"/>
        <w:ind w:firstLine="420"/>
      </w:pPr>
      <w:r>
        <w:rPr>
          <w:rFonts w:ascii="Times New Roman" w:hAnsi="Times New Roman" w:eastAsia="宋体"/>
          <w:b w:val="0"/>
          <w:sz w:val="21"/>
        </w:rPr>
        <w:t>全部风格生成样本中有阈值的缺陷化合物超阈值数量合计 0，即缺陷约束被完全满足。生成覆盖附件中真实样本数不少于 10 款的 8 个风格（22 个细分风格中样本量更小的风格未纳入，故本文的生成结论只对这 8 个风格成立）；边际分布的可行性以生成值与真实样本的柯尔莫哥洛夫—斯米尔诺夫距离度量。为把「生成器本身的还原度」与「缺陷约束对边际的压平作用」区分开，本文同时给出不作约束的参照生成，并同时给出</w:t>
      </w:r>
      <w:r>
        <w:rPr>
          <w:rFonts w:ascii="Times New Roman" w:hAnsi="Times New Roman" w:eastAsia="宋体"/>
          <w:b/>
          <w:sz w:val="21"/>
        </w:rPr>
        <w:t>两个</w:t>
      </w:r>
      <w:r>
        <w:rPr>
          <w:rFonts w:ascii="Times New Roman" w:hAnsi="Times New Roman" w:eastAsia="宋体"/>
          <w:b w:val="0"/>
          <w:sz w:val="21"/>
        </w:rPr>
        <w:t>参照量：受约束谱的 KS 中位数为 0.1780，无约束参照谱为 0.1207；其一是「同分布的两个随机样本之间」的期望值 0.2229，其二是「完美复现该风格经验边际」时的经验匹配地板 0.0411（由真实样本自助重采样得到）。可见无约束参照谱明显优于同分布随机样本的期望值，说明生成器本身优于随机重抽；但与经验匹配地板相比仍高出一个量级，说明</w:t>
      </w:r>
      <w:r>
        <w:rPr>
          <w:rFonts w:ascii="Times New Roman" w:hAnsi="Times New Roman" w:eastAsia="宋体"/>
          <w:b/>
          <w:sz w:val="21"/>
        </w:rPr>
        <w:t>生成谱并未接近完美复现真实边际</w:t>
      </w:r>
      <w:r>
        <w:rPr>
          <w:rFonts w:ascii="Times New Roman" w:hAnsi="Times New Roman" w:eastAsia="宋体"/>
          <w:b w:val="0"/>
          <w:sz w:val="21"/>
        </w:rPr>
        <w:t>——本文只主张其「不劣于随机重抽且结构性可用」，不主张精确还原。受约束谱之所以偏离，是拒绝重抽把分布条件化到缺陷项低尾的结果——当某风格的真实样本本身大量超过阈值时，这一条件化尤为强烈。生成值落在真实风格取值区间内的比例中位数为 0.916。因此本文的两套生成谱分别对应「合规画像」与「风格代表性画像」两种用途，不可混用。</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个「样品×缺陷化合物」组合，涉及 4 个化合物列，其中二甲基硫醚与双乙酰的改善最明显。</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13  跨风格迁移的缺陷化合物前后对照（44 项核验的前 16 行）</w:t>
      </w:r>
    </w:p>
    <w:p>
      <w:pPr>
        <w:spacing w:after="80" w:line="324" w:lineRule="auto"/>
        <w:ind w:firstLine="420"/>
      </w:pPr>
      <w:r>
        <w:rPr>
          <w:rFonts w:ascii="Times New Roman" w:hAnsi="Times New Roman" w:eastAsia="宋体"/>
          <w:b w:val="0"/>
          <w:sz w:val="21"/>
        </w:rPr>
        <w:t>风格感官画像由问题一的模型给出：生成化合谱经统一标度后输入感官预测模型，得到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缺陷约束对感官画像的影响可以逐维度量化，但它的方向并不一致、作用范围也不限于缺陷维度。在缺陷相关维度上，有约束谱相对无约束谱的 0–6 平均分级偏移中位数为 0.238 级，其中 15 个维度表现为分级降低、17 个维度表现为分级升高；而在非缺陷维度上，该偏移的中位数为 0.278 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trans-2-壬烯醛，浓度与感官在训练数据中呈弱负相关，压低浓度反而使预测评分略有升高。因此约束的净效应必须按维度逐一判读，不能笼统称为「使画像偏低」。</w:t>
      </w:r>
    </w:p>
    <w:p>
      <w:pPr>
        <w:spacing w:before="80"/>
        <w:jc w:val="center"/>
      </w:pPr>
      <w:r>
        <w:drawing>
          <wp:inline xmlns:a="http://schemas.openxmlformats.org/drawingml/2006/main" xmlns:pic="http://schemas.openxmlformats.org/drawingml/2006/picture">
            <wp:extent cx="4206240" cy="5052583"/>
            <wp:docPr id="12" name="Picture 12"/>
            <wp:cNvGraphicFramePr>
              <a:graphicFrameLocks noChangeAspect="1"/>
            </wp:cNvGraphicFramePr>
            <a:graphic>
              <a:graphicData uri="http://schemas.openxmlformats.org/drawingml/2006/picture">
                <pic:pic>
                  <pic:nvPicPr>
                    <pic:cNvPr id="0" name="fig2_marginal_distributions.png"/>
                    <pic:cNvPicPr/>
                  </pic:nvPicPr>
                  <pic:blipFill>
                    <a:blip r:embed="rId20"/>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11  边际分布对比。三种风格（Tripel / Kriek / Lambic）× 三种来源（真实样本 / 无约束生成 / 有约束生成）的逐化合物 log10(mg/L) 分布箱线图；红色虚线为感官阈值（仅缺陷化合物有阈值，t2n 无阈值）。</w:t>
      </w:r>
    </w:p>
    <w:p>
      <w:pPr>
        <w:spacing w:before="80"/>
        <w:jc w:val="center"/>
      </w:pPr>
      <w:r>
        <w:drawing>
          <wp:inline xmlns:a="http://schemas.openxmlformats.org/drawingml/2006/main" xmlns:pic="http://schemas.openxmlformats.org/drawingml/2006/picture">
            <wp:extent cx="4206240" cy="5052583"/>
            <wp:docPr id="13" name="Picture 13"/>
            <wp:cNvGraphicFramePr>
              <a:graphicFrameLocks noChangeAspect="1"/>
            </wp:cNvGraphicFramePr>
            <a:graphic>
              <a:graphicData uri="http://schemas.openxmlformats.org/drawingml/2006/picture">
                <pic:pic>
                  <pic:nvPicPr>
                    <pic:cNvPr id="0" name="fig5_defect_boxplots.png"/>
                    <pic:cNvPicPr/>
                  </pic:nvPicPr>
                  <pic:blipFill>
                    <a:blip r:embed="rId21"/>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12  缺陷化合物分布。DMS、Diacetyl、4-VG、trans-2-nonenal 在真实全体、三种风格的有约束/无约束生成以及迁移后（Pils→Tripel）的 log10(mg/L) 分布；红色虚线为感官阈值（t2n 无阈值）。</w:t>
      </w:r>
    </w:p>
    <w:p>
      <w:pPr>
        <w:spacing w:before="80"/>
        <w:jc w:val="center"/>
      </w:pPr>
      <w:r>
        <w:drawing>
          <wp:inline xmlns:a="http://schemas.openxmlformats.org/drawingml/2006/main" xmlns:pic="http://schemas.openxmlformats.org/drawingml/2006/picture">
            <wp:extent cx="4206240" cy="4274927"/>
            <wp:docPr id="14" name="Picture 14"/>
            <wp:cNvGraphicFramePr>
              <a:graphicFrameLocks noChangeAspect="1"/>
            </wp:cNvGraphicFramePr>
            <a:graphic>
              <a:graphicData uri="http://schemas.openxmlformats.org/drawingml/2006/picture">
                <pic:pic>
                  <pic:nvPicPr>
                    <pic:cNvPr id="0" name="fig4_transfer_radar.png"/>
                    <pic:cNvPicPr/>
                  </pic:nvPicPr>
                  <pic:blipFill>
                    <a:blip r:embed="rId22"/>
                    <a:stretch>
                      <a:fillRect/>
                    </a:stretch>
                  </pic:blipFill>
                  <pic:spPr>
                    <a:xfrm>
                      <a:off x="0" y="0"/>
                      <a:ext cx="4206240" cy="4274927"/>
                    </a:xfrm>
                    <a:prstGeom prst="rect"/>
                  </pic:spPr>
                </pic:pic>
              </a:graphicData>
            </a:graphic>
          </wp:inline>
        </w:drawing>
      </w:r>
    </w:p>
    <w:p>
      <w:pPr>
        <w:spacing w:before="40" w:after="160"/>
        <w:jc w:val="center"/>
      </w:pPr>
      <w:r>
        <w:rPr>
          <w:rFonts w:ascii="Times New Roman" w:hAnsi="Times New Roman" w:eastAsia="宋体"/>
          <w:b w:val="0"/>
          <w:sz w:val="18"/>
        </w:rPr>
        <w:t>图 13  迁移前后对比。Pils/Lager → Tripel 迁移前后四项缺陷化合物的均值 log10(mg/L) 雷达图（半径为 log10 值，越靠内越低），各轴标签给出「迁移前 → 迁移后」的具体数值。</w:t>
      </w:r>
    </w:p>
    <w:p>
      <w:pPr>
        <w:spacing w:before="200" w:after="120" w:line="312" w:lineRule="auto"/>
        <w:jc w:val="left"/>
      </w:pPr>
      <w:r>
        <w:rPr>
          <w:rFonts w:ascii="Times New Roman" w:hAnsi="Times New Roman" w:eastAsia="黑体"/>
          <w:b/>
          <w:sz w:val="30"/>
        </w:rPr>
        <w:t>六、讨论：局限与改进</w:t>
      </w:r>
    </w:p>
    <w:p>
      <w:pPr>
        <w:spacing w:before="140" w:after="80" w:line="312" w:lineRule="auto"/>
        <w:jc w:val="left"/>
      </w:pPr>
      <w:r>
        <w:rPr>
          <w:rFonts w:ascii="Times New Roman" w:hAnsi="Times New Roman" w:eastAsia="黑体"/>
          <w:b/>
          <w:sz w:val="26"/>
        </w:rPr>
        <w:t>6.1 主要局限</w:t>
      </w:r>
    </w:p>
    <w:p>
      <w:pPr>
        <w:spacing w:after="80" w:line="324" w:lineRule="auto"/>
        <w:ind w:firstLine="420"/>
      </w:pPr>
      <w:r>
        <w:rPr>
          <w:rFonts w:ascii="Times New Roman" w:hAnsi="Times New Roman" w:eastAsia="宋体"/>
          <w:b w:val="0"/>
          <w:sz w:val="21"/>
        </w:rPr>
        <w:t>（1）</w:t>
      </w:r>
      <w:r>
        <w:rPr>
          <w:rFonts w:ascii="Times New Roman" w:hAnsi="Times New Roman" w:eastAsia="宋体"/>
          <w:b/>
          <w:sz w:val="21"/>
        </w:rPr>
        <w:t>0–6 分制是本文构造值而非实测值。</w:t>
      </w:r>
      <w:r>
        <w:rPr>
          <w:rFonts w:ascii="Times New Roman" w:hAnsi="Times New Roman" w:eastAsia="宋体"/>
          <w:b w:val="0"/>
          <w:sz w:val="21"/>
        </w:rPr>
        <w:t xml:space="preserve"> 附件不含任何原始品评分数，本文交付的 0–6 分制由两轨构成：主轨为训练集六等分位数的相对分级，副轨为基于感官阈值的两点仿射锚定，且副轨仅在少数维度通过五条有效性护栏（载体有感知阈值、|ρ| 不低于 0.3 且为正、0 分锚点分位不高于 0.6、锚点带宽不小于 0.5、区间内比例不低于 0.3）。因此该分制适用于同一数据集内的相对比较与排序，不宜当作实测评分对外解释。</w:t>
      </w:r>
    </w:p>
    <w:p>
      <w:pPr>
        <w:spacing w:after="80" w:line="324" w:lineRule="auto"/>
        <w:ind w:firstLine="420"/>
      </w:pPr>
      <w:r>
        <w:rPr>
          <w:rFonts w:ascii="Times New Roman" w:hAnsi="Times New Roman" w:eastAsia="宋体"/>
          <w:b w:val="0"/>
          <w:sz w:val="21"/>
        </w:rPr>
        <w:t>（2）</w:t>
      </w:r>
      <w:r>
        <w:rPr>
          <w:rFonts w:ascii="Times New Roman" w:hAnsi="Times New Roman" w:eastAsia="宋体"/>
          <w:b/>
          <w:sz w:val="21"/>
        </w:rPr>
        <w:t>混合标度带来的可比性限制。</w:t>
      </w:r>
      <w:r>
        <w:rPr>
          <w:rFonts w:ascii="Times New Roman" w:hAnsi="Times New Roman" w:eastAsia="宋体"/>
          <w:b w:val="0"/>
          <w:sz w:val="21"/>
        </w:rPr>
        <w:t xml:space="preserve"> 1.csv 的 log10 列与原始浓度列并存，任何跨列的绝对量级比较（均值、方差、未经统一化的线性系数）只在「已统一到 log10(mg/L)」这一口径下才有意义；本文以逐列裁定与回归保护把风险限制在特征侧，但下游若引用原始量纲，仍须回到审计表逐列核对。</w:t>
      </w:r>
    </w:p>
    <w:p>
      <w:pPr>
        <w:spacing w:after="80" w:line="324" w:lineRule="auto"/>
        <w:ind w:firstLine="420"/>
      </w:pPr>
      <w:r>
        <w:rPr>
          <w:rFonts w:ascii="Times New Roman" w:hAnsi="Times New Roman" w:eastAsia="宋体"/>
          <w:b w:val="0"/>
          <w:sz w:val="21"/>
        </w:rPr>
        <w:t>（3）</w:t>
      </w:r>
      <w:r>
        <w:rPr>
          <w:rFonts w:ascii="Times New Roman" w:hAnsi="Times New Roman" w:eastAsia="宋体"/>
          <w:b/>
          <w:sz w:val="21"/>
        </w:rPr>
        <w:t>消费者层缺少评分标签，价格来自单一零售源且未做币种换算。</w:t>
      </w:r>
      <w:r>
        <w:rPr>
          <w:rFonts w:ascii="Times New Roman" w:hAnsi="Times New Roman" w:eastAsia="宋体"/>
          <w:b w:val="0"/>
          <w:sz w:val="21"/>
        </w:rPr>
        <w:t xml:space="preserve"> 本文无法构造也无法检验「消费者喜爱度」，只能以 183 维论坛派生描述符作为感知代理；价格虽覆盖 7 个零售来源中 ≥2 家的 189 款，但仍属单一零售体系，是市场价值的代理而非消费者效用的直接测量；且 7 个来源分别以美元、英镑与欧元标价，附件不含汇率列，本文未做币种换算，log 价格中混有币种与卖方价格水平差异，故价格回归的解释力只能视为上界而非精确估计。</w:t>
      </w:r>
    </w:p>
    <w:p>
      <w:pPr>
        <w:spacing w:after="80" w:line="324" w:lineRule="auto"/>
        <w:ind w:firstLine="420"/>
      </w:pPr>
      <w:r>
        <w:rPr>
          <w:rFonts w:ascii="Times New Roman" w:hAnsi="Times New Roman" w:eastAsia="宋体"/>
          <w:b w:val="0"/>
          <w:sz w:val="21"/>
        </w:rPr>
        <w:t>（4）</w:t>
      </w:r>
      <w:r>
        <w:rPr>
          <w:rFonts w:ascii="Times New Roman" w:hAnsi="Times New Roman" w:eastAsia="宋体"/>
          <w:b/>
          <w:sz w:val="21"/>
        </w:rPr>
        <w:t>缺陷化合物的剂量—响应可能受风格构成混杂。</w:t>
      </w:r>
      <w:r>
        <w:rPr>
          <w:rFonts w:ascii="Times New Roman" w:hAnsi="Times New Roman" w:eastAsia="宋体"/>
          <w:b w:val="0"/>
          <w:sz w:val="21"/>
        </w:rPr>
        <w:t xml:space="preserve"> 同一种化合物在不同风格中的基线水平差异很大，混合回归得到的整体斜率可能主要由风格权重而非浓度驱动；本文以风格分层稳健性检验暴露这一点，但在多数风格样本量不足 8 时，分层估计本身不稳定，结论只能作为方向性证据。</w:t>
      </w:r>
    </w:p>
    <w:p>
      <w:pPr>
        <w:spacing w:after="80" w:line="324" w:lineRule="auto"/>
        <w:ind w:firstLine="420"/>
      </w:pPr>
      <w:r>
        <w:rPr>
          <w:rFonts w:ascii="Times New Roman" w:hAnsi="Times New Roman" w:eastAsia="宋体"/>
          <w:b w:val="0"/>
          <w:sz w:val="21"/>
        </w:rPr>
        <w:t>（5）</w:t>
      </w:r>
      <w:r>
        <w:rPr>
          <w:rFonts w:ascii="Times New Roman" w:hAnsi="Times New Roman" w:eastAsia="宋体"/>
          <w:b/>
          <w:sz w:val="21"/>
        </w:rPr>
        <w:t>Copula 只保留相关结构、不还原个体极端值。</w:t>
      </w:r>
      <w:r>
        <w:rPr>
          <w:rFonts w:ascii="Times New Roman" w:hAnsi="Times New Roman" w:eastAsia="宋体"/>
          <w:b w:val="0"/>
          <w:sz w:val="21"/>
        </w:rPr>
        <w:t xml:space="preserve"> 全局高斯 Copula 以单一高斯相关矩阵刻画全部依赖结构，无法表达非高斯尾部依赖，因此生成谱的边际分布可以还原、个体极端组合不可还原，这也是问题三中生成谱方差系统性小于真实分布的直接原因。</w:t>
      </w:r>
    </w:p>
    <w:p>
      <w:pPr>
        <w:spacing w:before="140" w:after="80" w:line="312" w:lineRule="auto"/>
        <w:jc w:val="left"/>
      </w:pPr>
      <w:r>
        <w:rPr>
          <w:rFonts w:ascii="Times New Roman" w:hAnsi="Times New Roman" w:eastAsia="黑体"/>
          <w:b/>
          <w:sz w:val="26"/>
        </w:rPr>
        <w:t>6.2 改进方向</w:t>
      </w:r>
    </w:p>
    <w:p>
      <w:pPr>
        <w:spacing w:after="80" w:line="324" w:lineRule="auto"/>
        <w:ind w:firstLine="420"/>
      </w:pPr>
      <w:r>
        <w:rPr>
          <w:rFonts w:ascii="Times New Roman" w:hAnsi="Times New Roman" w:eastAsia="宋体"/>
          <w:b w:val="0"/>
          <w:sz w:val="21"/>
        </w:rPr>
        <w:t>其一，</w:t>
      </w:r>
      <w:r>
        <w:rPr>
          <w:rFonts w:ascii="Times New Roman" w:hAnsi="Times New Roman" w:eastAsia="宋体"/>
          <w:b/>
          <w:sz w:val="21"/>
        </w:rPr>
        <w:t>补充原始品评分与重复测量</w:t>
      </w:r>
      <w:r>
        <w:rPr>
          <w:rFonts w:ascii="Times New Roman" w:hAnsi="Times New Roman" w:eastAsia="宋体"/>
          <w:b w:val="0"/>
          <w:sz w:val="21"/>
        </w:rPr>
        <w:t>：若能取得受训品评小组的原始 0–6 打分及其重复测量，本文的两套口径即可收敛为实测尺度，并可用层次效应模型分离品评员效应与样品效应，同时为「阈值锚定副轨」提供可验证的基准。其二，</w:t>
      </w:r>
      <w:r>
        <w:rPr>
          <w:rFonts w:ascii="Times New Roman" w:hAnsi="Times New Roman" w:eastAsia="宋体"/>
          <w:b/>
          <w:sz w:val="21"/>
        </w:rPr>
        <w:t>引入更大量样本以识别风格特异效应</w:t>
      </w:r>
      <w:r>
        <w:rPr>
          <w:rFonts w:ascii="Times New Roman" w:hAnsi="Times New Roman" w:eastAsia="宋体"/>
          <w:b w:val="0"/>
          <w:sz w:val="21"/>
        </w:rPr>
        <w:t>：现有多数风格样本量不足 15 例，风格特异的化合物—感官关系难以与全局关系区分，扩样后可在风格内单独估计剂量—响应斜率并检验其异质性。其三，</w:t>
      </w:r>
      <w:r>
        <w:rPr>
          <w:rFonts w:ascii="Times New Roman" w:hAnsi="Times New Roman" w:eastAsia="宋体"/>
          <w:b/>
          <w:sz w:val="21"/>
        </w:rPr>
        <w:t>扩展到非线性依赖结构</w:t>
      </w:r>
      <w:r>
        <w:rPr>
          <w:rFonts w:ascii="Times New Roman" w:hAnsi="Times New Roman" w:eastAsia="宋体"/>
          <w:b w:val="0"/>
          <w:sz w:val="21"/>
        </w:rPr>
        <w:t>：以藤结构（vine）Copula 或尾部依赖模型替换全局高斯 Copula，并在迁移阶段引入分布漂移检验。其四，</w:t>
      </w:r>
      <w:r>
        <w:rPr>
          <w:rFonts w:ascii="Times New Roman" w:hAnsi="Times New Roman" w:eastAsia="宋体"/>
          <w:b/>
          <w:sz w:val="21"/>
        </w:rPr>
        <w:t>消费者层需要直接证据</w:t>
      </w:r>
      <w:r>
        <w:rPr>
          <w:rFonts w:ascii="Times New Roman" w:hAnsi="Times New Roman" w:eastAsia="宋体"/>
          <w:b w:val="0"/>
          <w:sz w:val="21"/>
        </w:rPr>
        <w:t>：引入真实消费者评分或购买行为数据，才能把「化学→感知→偏好」的链条补全；价格信号则宜扩展到多零售源与多时间窗口，并控制包装、促销等非品质因素。</w:t>
      </w:r>
    </w:p>
    <w:p>
      <w:pPr>
        <w:spacing w:before="200" w:after="120" w:line="312" w:lineRule="auto"/>
        <w:jc w:val="left"/>
      </w:pPr>
      <w:r>
        <w:rPr>
          <w:rFonts w:ascii="Times New Roman" w:hAnsi="Times New Roman" w:eastAsia="黑体"/>
          <w:b/>
          <w:sz w:val="30"/>
        </w:rPr>
        <w:t>七、结论与建议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本文围绕赛题的三项任务，完成了可复算的数据语义审计、三个问题的建模与量化评估，并以消费者感知与市场价格作为外部验证、以缺陷化合物的剂量—响应再检验作为独立复核。主要结论如下。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（2）问题一在固定的分层留出方案下，宏平均 RMSE 相对全局均值基线有约 15% 的改善，但各头部模型的差异在自助重采样区间下不可区分，说明本任务的可解释信号本身有限；本文因此把结论落在「哪些感官维度可预测、哪些接近随机」这一更稳健的层面。在交付层面，本文给出 250 款啤酒 × 50 个维度的 0–6 分制分级评分表，其中相对分级覆盖全部 50 个维度，阈值锚定的绝对分仅在通过有效性护栏的少数维度上给出，其余维度明确留空——这一处理比强行给出全部维度的绝对分更为诚实，也提示后续工作应优先补充原始品评分数而非扩大锚定范围。</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结构加风格条件边际生成化合谱，在缺陷阈值约束下实现了零违规，并以秩—分位映射完成跨风格迁移，迁移后各缺陷化合物均不恶化。相关结构的保持程度需并置两个数字看：迁移前后斯皮尔曼相关系数的</w:t>
      </w:r>
      <w:r>
        <w:rPr>
          <w:rFonts w:ascii="Times New Roman" w:hAnsi="Times New Roman" w:eastAsia="宋体"/>
          <w:b/>
          <w:sz w:val="21"/>
        </w:rPr>
        <w:t>平均</w:t>
      </w:r>
      <w:r>
        <w:rPr>
          <w:rFonts w:ascii="Times New Roman" w:hAnsi="Times New Roman" w:eastAsia="宋体"/>
          <w:b w:val="0"/>
          <w:sz w:val="21"/>
        </w:rPr>
        <w:t>绝对偏差很小，但</w:t>
      </w:r>
      <w:r>
        <w:rPr>
          <w:rFonts w:ascii="Times New Roman" w:hAnsi="Times New Roman" w:eastAsia="宋体"/>
          <w:b/>
          <w:sz w:val="21"/>
        </w:rPr>
        <w:t>单对化合物</w:t>
      </w:r>
      <w:r>
        <w:rPr>
          <w:rFonts w:ascii="Times New Roman" w:hAnsi="Times New Roman" w:eastAsia="宋体"/>
          <w:b w:val="0"/>
          <w:sz w:val="21"/>
        </w:rPr>
        <w:t>的最大偏差明显更大（见 5.5 节），即整体分布形态得以保持而个别化合物对仍会被重排，故本文只作「整体结构基本保持」的表述。本文通过并列给出不作约束的参照生成，证明了生成器本身</w:t>
      </w:r>
      <w:r>
        <w:rPr>
          <w:rFonts w:ascii="Times New Roman" w:hAnsi="Times New Roman" w:eastAsia="宋体"/>
          <w:b/>
          <w:sz w:val="21"/>
        </w:rPr>
        <w:t>优于同分布随机重抽</w:t>
      </w:r>
      <w:r>
        <w:rPr>
          <w:rFonts w:ascii="Times New Roman" w:hAnsi="Times New Roman" w:eastAsia="宋体"/>
          <w:b w:val="0"/>
          <w:sz w:val="21"/>
        </w:rPr>
        <w:t>（无约束参照谱的边际距离明显优于同分布随机样本的期望值），但与「完美复现风格经验边际」的经验匹配地板相比仍高出一个量级，故本文只主张生成谱「不劣于随机重抽且结构性可用」，不主张精确还原真实边际；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w:t>
      </w:r>
    </w:p>
    <w:p>
      <w:pPr>
        <w:spacing w:after="80" w:line="324" w:lineRule="auto"/>
        <w:ind w:firstLine="420"/>
      </w:pPr>
      <w:r>
        <w:rPr>
          <w:rFonts w:ascii="Times New Roman" w:hAnsi="Times New Roman" w:eastAsia="宋体"/>
          <w:b w:val="0"/>
          <w:sz w:val="21"/>
        </w:rPr>
        <w:t>（5）在消费者层，本文因附件不含消费者评分标签而</w:t>
      </w:r>
      <w:r>
        <w:rPr>
          <w:rFonts w:ascii="Times New Roman" w:hAnsi="Times New Roman" w:eastAsia="宋体"/>
          <w:b/>
          <w:sz w:val="21"/>
        </w:rPr>
        <w:t>不构造喜爱度目标</w:t>
      </w:r>
      <w:r>
        <w:rPr>
          <w:rFonts w:ascii="Times New Roman" w:hAnsi="Times New Roman" w:eastAsia="宋体"/>
          <w:b w:val="0"/>
          <w:sz w:val="21"/>
        </w:rPr>
        <w:t>，改为以 183 维论坛派生描述符与 50 维品评组感官并行建模并做交叉一致性检验，以 189 款啤酒的零售价格作为外部价值信号；在缺陷化合物层面，本文重新检验了剂量—响应关系，结论为呈单调正向的有 芳樟醇→柑橘香气（风格分层稳健比例仅 0.17，方向不稳，不宜作一般化解读）；呈单调反向的有 trans-2-壬烯醛→氧化感知（风格分层稳健比例为 0，即无任何可判风格支持该方向，属辛普森式混合效应，不稳健）；全体 |ρ| &lt; 0.1（近乎不相关）的有 二甲基硫醚→硫醚感知（ρ = +0.088）、双乙酰→双乙酰感知（ρ = -0.093）；分位组内方向不一致而判为非单调的有 乙酸乙酯→酯类香气、乙酸乙酯→酯类味、二甲基硫醚→硫醚感知、双乙酰→双乙酰感知；双乙酰与 trans-2-壬烯醛的全体相关方向为负，与「浓度越高越难闻」的朴素预期相反，但其中 trans-2-壬烯醛 的方向在风格分层后不成立，不宜作一般化解读，并给出风格分层稳健性结果。由此，本文对原研究给出的结论做了一个明确的界定：</w:t>
      </w:r>
      <w:r>
        <w:rPr>
          <w:rFonts w:ascii="Times New Roman" w:hAnsi="Times New Roman" w:eastAsia="宋体"/>
          <w:b/>
          <w:sz w:val="21"/>
        </w:rPr>
        <w:t>其「提升消费者喜爱度」一环在本附件条件下不可检验</w:t>
      </w:r>
      <w:r>
        <w:rPr>
          <w:rFonts w:ascii="Times New Roman" w:hAnsi="Times New Roman" w:eastAsia="宋体"/>
          <w:b w:val="0"/>
          <w:sz w:val="21"/>
        </w:rPr>
        <w:t>，本文既不复现也不否定该结论，只把它标注为在现有数据下无法验证。</w:t>
      </w:r>
    </w:p>
    <w:p>
      <w:pPr>
        <w:spacing w:after="80" w:line="324" w:lineRule="auto"/>
        <w:ind w:firstLine="420"/>
      </w:pPr>
      <w:r>
        <w:rPr>
          <w:rFonts w:ascii="Times New Roman" w:hAnsi="Times New Roman" w:eastAsia="宋体"/>
          <w:b w:val="0"/>
          <w:sz w:val="21"/>
        </w:rPr>
        <w:t>关于与原文的关系，需要再次申明：本文是对 Schreurs M 等（Nature Communications, 2024）公开数据的独立复现与再分析，贡献集中在三处数据语义勘误、消费者感知路径与市场价值的外部验证、以及缺陷化合物剂量—响应的再检验；本文不声称复现该研究的模型选择与关键化合物排序，其重要性先验仅作为四路证据之一参与外部印证。</w:t>
      </w:r>
    </w:p>
    <w:p>
      <w:pPr>
        <w:spacing w:after="80" w:line="324" w:lineRule="auto"/>
        <w:ind w:firstLine="420"/>
      </w:pPr>
      <w:r>
        <w:rPr>
          <w:rFonts w:ascii="Times New Roman" w:hAnsi="Times New Roman" w:eastAsia="宋体"/>
          <w:b w:val="0"/>
          <w:sz w:val="21"/>
        </w:rPr>
        <w:t>建议方面：其一，可进一步引入公开同源数据集以补充原始品评分数，从而把本文的两套口径收敛为实测尺度；其二，问题一的可预测性瓶颈主要在标签本身，建议在有更多品评员重复测量时采用层次效应模型分离品评员效应与样品效应；其三，问题三可进一步把 Copula 替换为可容纳非高斯依赖结构的藤结构模型，并把风格条件边际与酿造参数（酒花投料、原麦汁浓度、发酵温度曲线）联合建模，以提高生成谱的工艺可解释性；其四，消费者层需要直接的评价数据，价格信号宜扩展到多零售源并控制非品质因素。</w:t>
      </w:r>
    </w:p>
    <w:p>
      <w:pPr>
        <w:spacing w:before="200" w:after="120" w:line="312" w:lineRule="auto"/>
        <w:jc w:val="left"/>
      </w:pPr>
      <w:r>
        <w:rPr>
          <w:rFonts w:ascii="Times New Roman" w:hAnsi="Times New Roman" w:eastAsia="黑体"/>
          <w:b/>
          <w:sz w:val="30"/>
        </w:rPr>
        <w:t>参考文献</w:t>
      </w:r>
    </w:p>
    <w:p>
      <w:pPr>
        <w:spacing w:after="40" w:line="324" w:lineRule="auto"/>
        <w:ind w:firstLine="0"/>
      </w:pPr>
      <w:r>
        <w:rPr>
          <w:rFonts w:ascii="Times New Roman" w:hAnsi="Times New Roman" w:eastAsia="宋体"/>
          <w:b w:val="0"/>
          <w:sz w:val="19"/>
        </w:rPr>
        <w:t>[1] Schreurs M, Piampongsant S, Roncoroni M, Cool L, Herrera-Malaver B, Vanderaa C, Theßeling F A, Kreft Ł, Botzki A, Malcorps P, Daenen L, Wenseleers T, Verstrepen K J，Predicting and improving complex beer flavor through machine learning，Nature Communications，15(1)：2368，2024. DOI: 10.1038/s41467-024-46346-0.</w:t>
      </w:r>
    </w:p>
    <w:p>
      <w:pPr>
        <w:spacing w:after="40" w:line="324" w:lineRule="auto"/>
        <w:ind w:firstLine="0"/>
      </w:pPr>
      <w:r>
        <w:rPr>
          <w:rFonts w:ascii="Times New Roman" w:hAnsi="Times New Roman" w:eastAsia="宋体"/>
          <w:b w:val="0"/>
          <w:sz w:val="19"/>
        </w:rPr>
        <w:t>[2] Pedregosa F, Varoquaux G, Gramfort A, Michel V, Thirion B, Grisel O, Blondel M, Prettenhofer P, 等，Scikit-learn: Machine Learning in Python，https://jmlr.org/papers/v12/pedregosa11a.html，访问时间（2026年10月29日）。</w:t>
      </w:r>
    </w:p>
    <w:p>
      <w:pPr>
        <w:spacing w:after="40" w:line="324" w:lineRule="auto"/>
        <w:ind w:firstLine="0"/>
      </w:pPr>
      <w:r>
        <w:rPr>
          <w:rFonts w:ascii="Times New Roman" w:hAnsi="Times New Roman" w:eastAsia="宋体"/>
          <w:b w:val="0"/>
          <w:sz w:val="19"/>
        </w:rPr>
        <w:t>[3] Lundberg S M, Lee S I，A Unified Approach to Interpreting Model Predictions，https://arxiv.org/abs/1705.07874，访问时间（2026年10月29日）。</w:t>
      </w:r>
    </w:p>
    <w:p>
      <w:pPr>
        <w:spacing w:after="40" w:line="324" w:lineRule="auto"/>
        <w:ind w:firstLine="0"/>
      </w:pPr>
      <w:r>
        <w:rPr>
          <w:rFonts w:ascii="Times New Roman" w:hAnsi="Times New Roman" w:eastAsia="宋体"/>
          <w:b w:val="0"/>
          <w:sz w:val="19"/>
        </w:rPr>
        <w:t>[4] Hollmann N, Müller S, Eggensperger K, Hutter F，TabPFN: A Transformer That Solves Small Tabular Classification Problems in a Second，https://arxiv.org/abs/2207.01848，访问时间（2026年10月29日）。</w:t>
      </w:r>
    </w:p>
    <w:p>
      <w:pPr>
        <w:spacing w:after="40" w:line="324" w:lineRule="auto"/>
        <w:ind w:firstLine="0"/>
      </w:pPr>
      <w:r>
        <w:rPr>
          <w:rFonts w:ascii="Times New Roman" w:hAnsi="Times New Roman" w:eastAsia="宋体"/>
          <w:b w:val="0"/>
          <w:sz w:val="19"/>
        </w:rPr>
        <w:t>[5] Traag V A, Waltman L, van Eck N J，From Louvain to Leiden: guaranteeing well-connected communities，Scientific Reports，9(1)：5233，2019. DOI: 10.1038/s41598-019-41695-z.</w:t>
      </w:r>
    </w:p>
    <w:p>
      <w:pPr>
        <w:spacing w:after="40" w:line="324" w:lineRule="auto"/>
        <w:ind w:firstLine="0"/>
      </w:pPr>
      <w:r>
        <w:rPr>
          <w:rFonts w:ascii="Times New Roman" w:hAnsi="Times New Roman" w:eastAsia="宋体"/>
          <w:b w:val="0"/>
          <w:sz w:val="19"/>
        </w:rPr>
        <w:t>[6] Nelsen R B，An Introduction to Copulas[M]. New York: Springer（Springer Series in Statistics）, 2006.</w:t>
      </w:r>
    </w:p>
    <w:p>
      <w:pPr>
        <w:spacing w:after="40" w:line="324" w:lineRule="auto"/>
        <w:ind w:firstLine="0"/>
      </w:pPr>
      <w:r>
        <w:rPr>
          <w:rFonts w:ascii="Times New Roman" w:hAnsi="Times New Roman" w:eastAsia="宋体"/>
          <w:b w:val="0"/>
          <w:sz w:val="19"/>
        </w:rPr>
        <w:t>[7] Iman R L, Conover W J，A distribution-free approach to inducing rank correlation among input variables，Communications in Statistics - Simulation and Computation，11(3)：311-334，1982. DOI: 10.1080/03610918208812265.</w:t>
      </w:r>
    </w:p>
    <w:p>
      <w:pPr>
        <w:spacing w:after="40" w:line="324" w:lineRule="auto"/>
        <w:ind w:firstLine="0"/>
      </w:pPr>
      <w:r>
        <w:rPr>
          <w:rFonts w:ascii="Times New Roman" w:hAnsi="Times New Roman" w:eastAsia="宋体"/>
          <w:b w:val="0"/>
          <w:sz w:val="19"/>
        </w:rPr>
        <w:t>[8] Stevens S S，On the Theory of Scales of Measurement，Science，103(2684)：677-680，1946. DOI: 10.1126/science.103.2684.677.</w:t>
      </w:r>
    </w:p>
    <w:p>
      <w:pPr>
        <w:spacing w:after="40" w:line="324" w:lineRule="auto"/>
        <w:ind w:firstLine="0"/>
      </w:pPr>
      <w:r>
        <w:rPr>
          <w:rFonts w:ascii="Times New Roman" w:hAnsi="Times New Roman" w:eastAsia="宋体"/>
          <w:b w:val="0"/>
          <w:sz w:val="19"/>
        </w:rPr>
        <w:t>[9] Seppä L, Latvala T, Akaichi F, Gil J M, Tuorila H，What are domestic apples worth? Hedonic responses and sensory information as drivers of willingness to pay，Food Quality and Preference，43：97-105，2015. DOI: 10.1016/j.foodqual.2015.02.013.</w:t>
      </w:r>
    </w:p>
    <w:p>
      <w:pPr>
        <w:spacing w:after="40" w:line="324" w:lineRule="auto"/>
        <w:ind w:firstLine="0"/>
      </w:pPr>
      <w:r>
        <w:rPr>
          <w:rFonts w:ascii="Times New Roman" w:hAnsi="Times New Roman" w:eastAsia="宋体"/>
          <w:b w:val="0"/>
          <w:sz w:val="19"/>
        </w:rPr>
        <w:t>[10] Spearman C，The Proof and Measurement of Association between Two Things，The American Journal of Psychology，15(1)：72，1904. DOI: 10.2307/1412159.</w:t>
      </w:r>
    </w:p>
    <w:p>
      <w:pPr>
        <w:spacing w:after="40" w:line="324" w:lineRule="auto"/>
        <w:ind w:firstLine="0"/>
      </w:pPr>
      <w:r>
        <w:rPr>
          <w:rFonts w:ascii="Times New Roman" w:hAnsi="Times New Roman" w:eastAsia="宋体"/>
          <w:b w:val="0"/>
          <w:sz w:val="19"/>
        </w:rPr>
        <w:t>[11] Hollmann N, Müller S, Purucker L, Krishnakumar A, Körfer M, Hoo S B, Schirrmeister R T, Hutter F，Accurate predictions on small data with a tabular foundation model，Nature，637(8045)：319-326，2025. DOI: 10.1038/s41586-024-08328-6.</w:t>
      </w:r>
    </w:p>
    <w:p>
      <w:pPr>
        <w:spacing w:after="40" w:line="324" w:lineRule="auto"/>
        <w:ind w:firstLine="0"/>
      </w:pPr>
      <w:r>
        <w:rPr>
          <w:rFonts w:ascii="Times New Roman" w:hAnsi="Times New Roman" w:eastAsia="宋体"/>
          <w:b w:val="0"/>
          <w:sz w:val="19"/>
        </w:rPr>
        <w:t>[12] Restrepo J P, Rivera J C, Laniado H, Osorio P, Becerra O A，Nonparametric Generation of Synthetic Data Using Copulas，Electronics，12(7)：1601，2023. DOI: 10.3390/electronics12071601.</w:t>
      </w:r>
    </w:p>
    <w:p>
      <w:pPr>
        <w:spacing w:after="40" w:line="324" w:lineRule="auto"/>
        <w:ind w:firstLine="0"/>
      </w:pPr>
      <w:r>
        <w:rPr>
          <w:rFonts w:ascii="Times New Roman" w:hAnsi="Times New Roman" w:eastAsia="宋体"/>
          <w:b w:val="0"/>
          <w:sz w:val="19"/>
        </w:rPr>
        <w:t>[13] Moskowitz H R，The dollar value of product quality: the effect of pricing versus overall liking on consumer choice，Journal of Sensory Studies，10(3)：239-247，1995. DOI: 10.1111/j.1745-459x.1995.tb00016.x.</w:t>
      </w:r>
    </w:p>
    <w:p>
      <w:pPr>
        <w:spacing w:after="40" w:line="324" w:lineRule="auto"/>
        <w:ind w:firstLine="0"/>
      </w:pPr>
      <w:r>
        <w:rPr>
          <w:rFonts w:ascii="Times New Roman" w:hAnsi="Times New Roman" w:eastAsia="宋体"/>
          <w:b w:val="0"/>
          <w:sz w:val="19"/>
        </w:rPr>
        <w:t>[14] Meilgaard M C，Prediction of flavor differences between beers from their chemical composition，Journal of Agricultural and Food Chemistry，30(6)：1009-1017，1982. DOI: 10.1021/jf00114a002.</w:t>
      </w:r>
    </w:p>
    <w:p>
      <w:pPr>
        <w:spacing w:after="40" w:line="324" w:lineRule="auto"/>
        <w:ind w:firstLine="0"/>
      </w:pPr>
      <w:r>
        <w:rPr>
          <w:rFonts w:ascii="Times New Roman" w:hAnsi="Times New Roman" w:eastAsia="宋体"/>
          <w:b w:val="0"/>
          <w:sz w:val="19"/>
        </w:rPr>
        <w:t>[15] Olaniran A O, Hiralal L, Mokoena M P, Pillay B，Flavour-active volatile compounds in beer: production, regulation and control，Journal of the Institute of Brewing，123(1)：13-23，2017. DOI: 10.1002/jib.389.</w:t>
      </w:r>
    </w:p>
    <w:p>
      <w:pPr>
        <w:spacing w:after="40" w:line="324" w:lineRule="auto"/>
        <w:ind w:firstLine="0"/>
      </w:pPr>
      <w:r>
        <w:rPr>
          <w:rFonts w:ascii="Times New Roman" w:hAnsi="Times New Roman" w:eastAsia="宋体"/>
          <w:b w:val="0"/>
          <w:sz w:val="19"/>
        </w:rPr>
        <w:t>[16] Verstrepen K J, Derdelinckx G, Dufour J P, Winderickx J, Thevelein J M, Pretorius I S, Delvaux F R，Flavor-active esters: Adding fruitiness to beer，Journal of Bioscience and Bioengineering，96(2)：110-118，2003. DOI: 10.1016/S1389-1723(03)90112-5.</w:t>
      </w:r>
    </w:p>
    <w:p>
      <w:pPr>
        <w:spacing w:after="40" w:line="324" w:lineRule="auto"/>
        <w:ind w:firstLine="0"/>
      </w:pPr>
      <w:r>
        <w:rPr>
          <w:rFonts w:ascii="Times New Roman" w:hAnsi="Times New Roman" w:eastAsia="宋体"/>
          <w:b w:val="0"/>
          <w:sz w:val="19"/>
        </w:rPr>
        <w:t>[17] Dzialo M C, Park R, Steensels J, Lievens B, Verstrepen K J，Physiology, ecology and industrial applications of aroma formation in yeast，FEMS Microbiology Reviews，41(Suppl_1)：S95-S128，2017. DOI: 10.1093/femsre/fux031.</w:t>
      </w:r>
    </w:p>
    <w:p>
      <w:pPr>
        <w:spacing w:after="40" w:line="324" w:lineRule="auto"/>
        <w:ind w:firstLine="0"/>
      </w:pPr>
      <w:r>
        <w:rPr>
          <w:rFonts w:ascii="Times New Roman" w:hAnsi="Times New Roman" w:eastAsia="宋体"/>
          <w:b w:val="0"/>
          <w:sz w:val="19"/>
        </w:rPr>
        <w:t>[18] Bokulich N A, Bamforth C W，The Microbiology of Malting and Brewing，Microbiology and Molecular Biology Reviews，77(2)：157-172，2013. DOI: 10.1128/MMBR.00060-12.</w:t>
      </w:r>
    </w:p>
    <w:p>
      <w:pPr>
        <w:spacing w:after="40" w:line="324" w:lineRule="auto"/>
        <w:ind w:firstLine="0"/>
      </w:pPr>
      <w:r>
        <w:rPr>
          <w:rFonts w:ascii="Times New Roman" w:hAnsi="Times New Roman" w:eastAsia="宋体"/>
          <w:b w:val="0"/>
          <w:sz w:val="19"/>
        </w:rPr>
        <w:t>[19] Spitaels F, Wieme A D, Janssens M, Aerts M, Daniel H M, Van Landschoot A, De Vuyst L, Vandamme P，The Microbial Diversity of Traditional Spontaneously Fermented Lambic Beer，PLoS ONE，9(4)：e95384，2014. DOI: 10.1371/journal.pone.0095384.</w:t>
      </w:r>
    </w:p>
    <w:p>
      <w:pPr>
        <w:spacing w:after="40" w:line="324" w:lineRule="auto"/>
        <w:ind w:firstLine="0"/>
      </w:pPr>
      <w:r>
        <w:rPr>
          <w:rFonts w:ascii="Times New Roman" w:hAnsi="Times New Roman" w:eastAsia="宋体"/>
          <w:b w:val="0"/>
          <w:sz w:val="19"/>
        </w:rPr>
        <w:t>[20] Snauwaert I, Roels S P, Van Nieuwerburgh F, Van Landschoot A, De Vuyst L, Vandamme P，Microbial diversity and metabolite composition of Belgian red-brown acidic ales，International Journal of Food Microbiology，221：1-11，2016. DOI: 10.1016/j.ijfoodmicro.2015.12.009.</w:t>
      </w:r>
    </w:p>
    <w:p>
      <w:pPr>
        <w:spacing w:after="40" w:line="324" w:lineRule="auto"/>
        <w:ind w:firstLine="0"/>
      </w:pPr>
      <w:r>
        <w:rPr>
          <w:rFonts w:ascii="Times New Roman" w:hAnsi="Times New Roman" w:eastAsia="宋体"/>
          <w:b w:val="0"/>
          <w:sz w:val="19"/>
        </w:rPr>
        <w:t>[21] Takoi K, Itoga Y, Koie K, Kosugi T, Shimase M, Katayama Y, Nakayama Y, Watari J，The Contribution of Geraniol Metabolism to the Citrus Flavour of Beer: Synergy of Geraniol and beta-citronellol under coexistence with excess linalool，Journal of the Institute of Brewing，116(3)：251-260，2010. DOI: 10.1002/j.2050-0416.2010.tb00428.x.</w:t>
      </w:r>
    </w:p>
    <w:p>
      <w:pPr>
        <w:spacing w:after="40" w:line="324" w:lineRule="auto"/>
        <w:ind w:firstLine="0"/>
      </w:pPr>
      <w:r>
        <w:rPr>
          <w:rFonts w:ascii="Times New Roman" w:hAnsi="Times New Roman" w:eastAsia="宋体"/>
          <w:b w:val="0"/>
          <w:sz w:val="19"/>
        </w:rPr>
        <w:t>[22] Wauters R, Herrera-Malaver B, Schreurs M, Bircham P, Cautereels C, Cortebeeck J, Duffin P M, Steensels J, 等，Novel Saccharomyces cerevisiae variants slow down the accumulation of staling aldehydes and improve beer shelf-life，Food Chemistry，398：133863，2023. DOI: 10.1016/j.foodchem.2022.133863.</w:t>
      </w:r>
    </w:p>
    <w:p>
      <w:pPr>
        <w:spacing w:after="40" w:line="324" w:lineRule="auto"/>
        <w:ind w:firstLine="0"/>
      </w:pPr>
      <w:r>
        <w:rPr>
          <w:rFonts w:ascii="Times New Roman" w:hAnsi="Times New Roman" w:eastAsia="宋体"/>
          <w:b w:val="0"/>
          <w:sz w:val="19"/>
        </w:rPr>
        <w:t>[23] Lusk L T, Kay S B, Porubcan A, Ryder D S，Key Olfactory Cues for Beer Oxidation，Journal of the American Society of Brewing Chemists，70(4)：257-261，2012. DOI: 10.1094/asbcj-2012-0907-01.</w:t>
      </w:r>
    </w:p>
    <w:p>
      <w:pPr>
        <w:spacing w:after="40" w:line="324" w:lineRule="auto"/>
        <w:ind w:firstLine="0"/>
      </w:pPr>
      <w:r>
        <w:rPr>
          <w:rFonts w:ascii="Times New Roman" w:hAnsi="Times New Roman" w:eastAsia="宋体"/>
          <w:b w:val="0"/>
          <w:sz w:val="19"/>
        </w:rPr>
        <w:t>[24] Blanco C A, Andrés-Iglesias C, Montero O，Low-alcohol Beers: Flavor Compounds, Defects, and Improvement Strategies，Critical Reviews in Food Science and Nutrition，56(8)：1379-1388，2016. DOI: 10.1080/10408398.2012.733979.</w:t>
      </w:r>
    </w:p>
    <w:p>
      <w:pPr>
        <w:spacing w:after="40" w:line="324" w:lineRule="auto"/>
        <w:ind w:firstLine="0"/>
      </w:pPr>
      <w:r>
        <w:rPr>
          <w:rFonts w:ascii="Times New Roman" w:hAnsi="Times New Roman" w:eastAsia="宋体"/>
          <w:b w:val="0"/>
          <w:sz w:val="19"/>
        </w:rPr>
        <w:t>[25] Gonzalez Viejo C, Fuentes S, Torrico D D, Godbole A, Dunshea F R，Chemical characterization of aromas in beer and their effect on consumers liking，Food Chemistry，293：479-485，2019. DOI: 10.1016/j.foodchem.2019.04.114.</w:t>
      </w:r>
    </w:p>
    <w:p>
      <w:pPr>
        <w:spacing w:after="40" w:line="324" w:lineRule="auto"/>
        <w:ind w:firstLine="0"/>
      </w:pPr>
      <w:r>
        <w:rPr>
          <w:rFonts w:ascii="Times New Roman" w:hAnsi="Times New Roman" w:eastAsia="宋体"/>
          <w:b w:val="0"/>
          <w:sz w:val="19"/>
        </w:rPr>
        <w:t>[26] Rodrigues H, Parr W V，Contribution of cross-cultural studies to understanding wine appreciation: A review，Food Research International，115：251-258，2019. DOI: 10.1016/j.foodres.2018.09.008.</w:t>
      </w:r>
    </w:p>
    <w:p>
      <w:pPr>
        <w:spacing w:after="40" w:line="324" w:lineRule="auto"/>
        <w:ind w:firstLine="0"/>
      </w:pPr>
      <w:r>
        <w:rPr>
          <w:rFonts w:ascii="Times New Roman" w:hAnsi="Times New Roman" w:eastAsia="宋体"/>
          <w:b w:val="0"/>
          <w:sz w:val="19"/>
        </w:rPr>
        <w:t>[27] Chambers E, Koppel K，Associations of Volatile Compounds with Sensory Aroma and Flavor: The Complex Nature of Flavor，Molecules，18(5)：4887-4905，2013. DOI: 10.3390/molecules18054887.</w:t>
      </w:r>
    </w:p>
    <w:p>
      <w:pPr>
        <w:spacing w:after="40" w:line="324" w:lineRule="auto"/>
        <w:ind w:firstLine="0"/>
      </w:pPr>
      <w:r>
        <w:rPr>
          <w:rFonts w:ascii="Times New Roman" w:hAnsi="Times New Roman" w:eastAsia="宋体"/>
          <w:b w:val="0"/>
          <w:sz w:val="19"/>
        </w:rPr>
        <w:t>[28] Korneva E, Blockeel H，Towards Better Evaluation of Multi-target Regression Models[C]//ECML PKDD 2020 Workshops（Communications in Computer and Information Science）: 353-362, 2020.</w:t>
      </w:r>
    </w:p>
    <w:p>
      <w:pPr>
        <w:spacing w:after="40" w:line="324" w:lineRule="auto"/>
        <w:ind w:firstLine="0"/>
      </w:pPr>
      <w:r>
        <w:rPr>
          <w:rFonts w:ascii="Times New Roman" w:hAnsi="Times New Roman" w:eastAsia="宋体"/>
          <w:b w:val="0"/>
          <w:sz w:val="19"/>
        </w:rPr>
        <w:t>[29] Friedman J H，Greedy function approximation: A gradient boosting machine，The Annals of Statistics，29(5)：1189-1232，2001. DOI: 10.1214/aos/1013203451.</w:t>
      </w:r>
    </w:p>
    <w:p>
      <w:pPr>
        <w:spacing w:after="40" w:line="324" w:lineRule="auto"/>
        <w:ind w:firstLine="0"/>
      </w:pPr>
      <w:r>
        <w:rPr>
          <w:rFonts w:ascii="Times New Roman" w:hAnsi="Times New Roman" w:eastAsia="宋体"/>
          <w:b w:val="0"/>
          <w:sz w:val="19"/>
        </w:rPr>
        <w:t>[30] Efron B，Bootstrap Methods: Another Look at the Jackknife，The Annals of Statistics，7(1)：1-26，1979. DOI: 10.1214/aos/1176344552.</w:t>
      </w:r>
    </w:p>
    <w:p>
      <w:pPr>
        <w:spacing w:after="40" w:line="324" w:lineRule="auto"/>
        <w:ind w:firstLine="0"/>
      </w:pPr>
      <w:r>
        <w:rPr>
          <w:rFonts w:ascii="Times New Roman" w:hAnsi="Times New Roman" w:eastAsia="宋体"/>
          <w:b w:val="0"/>
          <w:sz w:val="19"/>
        </w:rPr>
        <w:t>[31] Arlot S, Celisse A，A survey of cross-validation procedures for model selection，Statistics Surveys，4：40-79，2010. DOI: 10.1214/09-SS054.</w:t>
      </w:r>
    </w:p>
    <w:p>
      <w:pPr>
        <w:spacing w:after="40" w:line="324" w:lineRule="auto"/>
        <w:ind w:firstLine="0"/>
      </w:pPr>
      <w:r>
        <w:rPr>
          <w:rFonts w:ascii="Times New Roman" w:hAnsi="Times New Roman" w:eastAsia="宋体"/>
          <w:b w:val="0"/>
          <w:sz w:val="19"/>
        </w:rPr>
        <w:t>[32] Hastie T, Tibshirani R, Friedman J，The Elements of Statistical Learning: Data Mining, Inference, and Prediction[M]. New York: Springer（Springer Series in Statistics）, 2009.</w:t>
      </w:r>
    </w:p>
    <w:p>
      <w:pPr>
        <w:spacing w:after="40" w:line="324" w:lineRule="auto"/>
        <w:ind w:firstLine="0"/>
      </w:pPr>
      <w:r>
        <w:rPr>
          <w:rFonts w:ascii="Times New Roman" w:hAnsi="Times New Roman" w:eastAsia="宋体"/>
          <w:b w:val="0"/>
          <w:sz w:val="19"/>
        </w:rPr>
        <w:t>[33] Lawless H T, Heymann H，Sensory Evaluation of Food: Principles and Practices[M]. New York: Springer（Food Science Text Series）, 2010.</w:t>
      </w:r>
    </w:p>
    <w:p>
      <w:pPr>
        <w:spacing w:after="40" w:line="324" w:lineRule="auto"/>
        <w:ind w:firstLine="0"/>
      </w:pPr>
      <w:r>
        <w:rPr>
          <w:rFonts w:ascii="Times New Roman" w:hAnsi="Times New Roman" w:eastAsia="宋体"/>
          <w:b w:val="0"/>
          <w:sz w:val="19"/>
        </w:rPr>
        <w:t>[34] Stone H, Sidel J, Oliver S, Woolsey A, Singleton R C，Sensory Evaluation by Quantitative Descriptive Analysis[C]//Descriptive Sensory Analysis in Practice（Wiley）: 23-34, 2004.</w:t>
      </w:r>
    </w:p>
    <w:p>
      <w:pPr>
        <w:spacing w:after="40" w:line="324" w:lineRule="auto"/>
        <w:ind w:firstLine="0"/>
      </w:pPr>
      <w:r>
        <w:rPr>
          <w:rFonts w:ascii="Times New Roman" w:hAnsi="Times New Roman" w:eastAsia="宋体"/>
          <w:b w:val="0"/>
          <w:sz w:val="19"/>
        </w:rPr>
        <w:t>[35] Harris C R, Millman K J, van der Walt S J, 等，Array programming with NumPy，Nature，585(7825)：357-362，2020. DOI: 10.1038/s41586-020-2649-2.</w:t>
      </w:r>
    </w:p>
    <w:p>
      <w:pPr>
        <w:spacing w:after="40" w:line="324" w:lineRule="auto"/>
        <w:ind w:firstLine="0"/>
      </w:pPr>
      <w:r>
        <w:rPr>
          <w:rFonts w:ascii="Times New Roman" w:hAnsi="Times New Roman" w:eastAsia="宋体"/>
          <w:b w:val="0"/>
          <w:sz w:val="19"/>
        </w:rPr>
        <w:t>本论文使用的人工智能工具：[36] MiniMax Code，模型 MiniMax-M3.1-Flash，开发机构 MiniMax，使用日期 2026-10-29。（参考文献来源：docs/refs_verified.json）</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8"/>
        </w:rPr>
        <w:t>本研究的全部计算在 Python 3.12.10 隔离虚拟环境中完成，依赖版本锁定如下（名称==版本）：</w:t>
      </w:r>
    </w:p>
    <w:p>
      <w:pPr>
        <w:spacing w:after="0" w:line="324" w:lineRule="auto"/>
      </w:pPr>
      <w:r>
        <w:rPr>
          <w:rFonts w:ascii="Times New Roman" w:hAnsi="Times New Roman" w:eastAsia="宋体"/>
          <w:b w:val="0"/>
          <w:sz w:val="15"/>
        </w:rPr>
        <w:t>﻿# 本仓库权威依赖锁（由 `uv pip freeze --python .venv\Scripts\python.exe &gt; requirements.lock.txt` 生成）    patsy==1.0.3</w:t>
      </w:r>
    </w:p>
    <w:p>
      <w:pPr>
        <w:spacing w:after="0" w:line="324" w:lineRule="auto"/>
      </w:pPr>
      <w:r>
        <w:rPr>
          <w:rFonts w:ascii="Times New Roman" w:hAnsi="Times New Roman" w:eastAsia="宋体"/>
          <w:b w:val="0"/>
          <w:sz w:val="15"/>
        </w:rPr>
        <w:t>alembic==1.20.1    pdfminer-six==20260107</w:t>
      </w:r>
    </w:p>
    <w:p>
      <w:pPr>
        <w:spacing w:after="0" w:line="324" w:lineRule="auto"/>
      </w:pPr>
      <w:r>
        <w:rPr>
          <w:rFonts w:ascii="Times New Roman" w:hAnsi="Times New Roman" w:eastAsia="宋体"/>
          <w:b w:val="0"/>
          <w:sz w:val="15"/>
        </w:rPr>
        <w:t>annotated-types==0.8.0    pdfplumber==0.11.10</w:t>
      </w:r>
    </w:p>
    <w:p>
      <w:pPr>
        <w:spacing w:after="0" w:line="324" w:lineRule="auto"/>
      </w:pPr>
      <w:r>
        <w:rPr>
          <w:rFonts w:ascii="Times New Roman" w:hAnsi="Times New Roman" w:eastAsia="宋体"/>
          <w:b w:val="0"/>
          <w:sz w:val="15"/>
        </w:rPr>
        <w:t>anyio==4.15.1    pillow==13.0.0</w:t>
      </w:r>
    </w:p>
    <w:p>
      <w:pPr>
        <w:spacing w:after="0" w:line="324" w:lineRule="auto"/>
      </w:pPr>
      <w:r>
        <w:rPr>
          <w:rFonts w:ascii="Times New Roman" w:hAnsi="Times New Roman" w:eastAsia="宋体"/>
          <w:b w:val="0"/>
          <w:sz w:val="15"/>
        </w:rPr>
        <w:t>certifi==2026.10.23    plotly==7.1.0</w:t>
      </w:r>
    </w:p>
    <w:p>
      <w:pPr>
        <w:spacing w:after="0" w:line="324" w:lineRule="auto"/>
      </w:pPr>
      <w:r>
        <w:rPr>
          <w:rFonts w:ascii="Times New Roman" w:hAnsi="Times New Roman" w:eastAsia="宋体"/>
          <w:b w:val="0"/>
          <w:sz w:val="15"/>
        </w:rPr>
        <w:t>cffi==2.1.1    pluggy==1.7.0</w:t>
      </w:r>
    </w:p>
    <w:p>
      <w:pPr>
        <w:spacing w:after="0" w:line="324" w:lineRule="auto"/>
      </w:pPr>
      <w:r>
        <w:rPr>
          <w:rFonts w:ascii="Times New Roman" w:hAnsi="Times New Roman" w:eastAsia="宋体"/>
          <w:b w:val="0"/>
          <w:sz w:val="15"/>
        </w:rPr>
        <w:t>charset-normalizer==3.5.2    pycparser==3.12</w:t>
      </w:r>
    </w:p>
    <w:p>
      <w:pPr>
        <w:spacing w:after="0" w:line="324" w:lineRule="auto"/>
      </w:pPr>
      <w:r>
        <w:rPr>
          <w:rFonts w:ascii="Times New Roman" w:hAnsi="Times New Roman" w:eastAsia="宋体"/>
          <w:b w:val="0"/>
          <w:sz w:val="15"/>
        </w:rPr>
        <w:t>click==8.5.0    pydantic==2.14.1</w:t>
      </w:r>
    </w:p>
    <w:p>
      <w:pPr>
        <w:spacing w:after="0" w:line="324" w:lineRule="auto"/>
      </w:pPr>
      <w:r>
        <w:rPr>
          <w:rFonts w:ascii="Times New Roman" w:hAnsi="Times New Roman" w:eastAsia="宋体"/>
          <w:b w:val="0"/>
          <w:sz w:val="15"/>
        </w:rPr>
        <w:t>cloudpickle==3.1.2    pydantic-core==2.50.1</w:t>
      </w:r>
    </w:p>
    <w:p>
      <w:pPr>
        <w:spacing w:after="0" w:line="324" w:lineRule="auto"/>
      </w:pPr>
      <w:r>
        <w:rPr>
          <w:rFonts w:ascii="Times New Roman" w:hAnsi="Times New Roman" w:eastAsia="宋体"/>
          <w:b w:val="0"/>
          <w:sz w:val="15"/>
        </w:rPr>
        <w:t>colorama==0.4.6    pydantic-settings==2.16.1</w:t>
      </w:r>
    </w:p>
    <w:p>
      <w:pPr>
        <w:spacing w:after="0" w:line="324" w:lineRule="auto"/>
      </w:pPr>
      <w:r>
        <w:rPr>
          <w:rFonts w:ascii="Times New Roman" w:hAnsi="Times New Roman" w:eastAsia="宋体"/>
          <w:b w:val="0"/>
          <w:sz w:val="15"/>
        </w:rPr>
        <w:t>colorlog==6.12.0    pydot==4.0.1</w:t>
      </w:r>
    </w:p>
    <w:p>
      <w:pPr>
        <w:spacing w:after="0" w:line="324" w:lineRule="auto"/>
      </w:pPr>
      <w:r>
        <w:rPr>
          <w:rFonts w:ascii="Times New Roman" w:hAnsi="Times New Roman" w:eastAsia="宋体"/>
          <w:b w:val="0"/>
          <w:sz w:val="15"/>
        </w:rPr>
        <w:t>contourpy==1.4.0    pygments==2.21.0</w:t>
      </w:r>
    </w:p>
    <w:p>
      <w:pPr>
        <w:spacing w:after="0" w:line="324" w:lineRule="auto"/>
      </w:pPr>
      <w:r>
        <w:rPr>
          <w:rFonts w:ascii="Times New Roman" w:hAnsi="Times New Roman" w:eastAsia="宋体"/>
          <w:b w:val="0"/>
          <w:sz w:val="15"/>
        </w:rPr>
        <w:t>copulas==0.14.1    pyparsing==3.3.3</w:t>
      </w:r>
    </w:p>
    <w:p>
      <w:pPr>
        <w:spacing w:after="0" w:line="324" w:lineRule="auto"/>
      </w:pPr>
      <w:r>
        <w:rPr>
          <w:rFonts w:ascii="Times New Roman" w:hAnsi="Times New Roman" w:eastAsia="宋体"/>
          <w:b w:val="0"/>
          <w:sz w:val="15"/>
        </w:rPr>
        <w:t>cryptography==50.0.2    pypdf==6.21.3</w:t>
      </w:r>
    </w:p>
    <w:p>
      <w:pPr>
        <w:spacing w:after="0" w:line="324" w:lineRule="auto"/>
      </w:pPr>
      <w:r>
        <w:rPr>
          <w:rFonts w:ascii="Times New Roman" w:hAnsi="Times New Roman" w:eastAsia="宋体"/>
          <w:b w:val="0"/>
          <w:sz w:val="15"/>
        </w:rPr>
        <w:t>cycler==0.12.1    pypdfium2==5.14.0</w:t>
      </w:r>
    </w:p>
    <w:p>
      <w:pPr>
        <w:spacing w:after="0" w:line="324" w:lineRule="auto"/>
      </w:pPr>
      <w:r>
        <w:rPr>
          <w:rFonts w:ascii="Times New Roman" w:hAnsi="Times New Roman" w:eastAsia="宋体"/>
          <w:b w:val="0"/>
          <w:sz w:val="15"/>
        </w:rPr>
        <w:t>einops==0.8.2    pytest==9.2.0</w:t>
      </w:r>
    </w:p>
    <w:p>
      <w:pPr>
        <w:spacing w:after="0" w:line="324" w:lineRule="auto"/>
      </w:pPr>
      <w:r>
        <w:rPr>
          <w:rFonts w:ascii="Times New Roman" w:hAnsi="Times New Roman" w:eastAsia="宋体"/>
          <w:b w:val="0"/>
          <w:sz w:val="15"/>
        </w:rPr>
        <w:t>et-xmlfile==2.0.0    python-dateutil==3.0.0</w:t>
      </w:r>
    </w:p>
    <w:p>
      <w:pPr>
        <w:spacing w:after="0" w:line="324" w:lineRule="auto"/>
      </w:pPr>
      <w:r>
        <w:rPr>
          <w:rFonts w:ascii="Times New Roman" w:hAnsi="Times New Roman" w:eastAsia="宋体"/>
          <w:b w:val="0"/>
          <w:sz w:val="15"/>
        </w:rPr>
        <w:t>filelock==3.32.3    python-docx==1.2.0</w:t>
      </w:r>
    </w:p>
    <w:p>
      <w:pPr>
        <w:spacing w:after="0" w:line="324" w:lineRule="auto"/>
      </w:pPr>
      <w:r>
        <w:rPr>
          <w:rFonts w:ascii="Times New Roman" w:hAnsi="Times New Roman" w:eastAsia="宋体"/>
          <w:b w:val="0"/>
          <w:sz w:val="15"/>
        </w:rPr>
        <w:t>fonttools==4.68.0    python-dotenv==1.2.4</w:t>
      </w:r>
    </w:p>
    <w:p>
      <w:pPr>
        <w:spacing w:after="0" w:line="324" w:lineRule="auto"/>
      </w:pPr>
      <w:r>
        <w:rPr>
          <w:rFonts w:ascii="Times New Roman" w:hAnsi="Times New Roman" w:eastAsia="宋体"/>
          <w:b w:val="0"/>
          <w:sz w:val="15"/>
        </w:rPr>
        <w:t>formulaic==1.2.2    pytz==2026.5</w:t>
      </w:r>
    </w:p>
    <w:p>
      <w:pPr>
        <w:spacing w:after="0" w:line="324" w:lineRule="auto"/>
      </w:pPr>
      <w:r>
        <w:rPr>
          <w:rFonts w:ascii="Times New Roman" w:hAnsi="Times New Roman" w:eastAsia="宋体"/>
          <w:b w:val="0"/>
          <w:sz w:val="15"/>
        </w:rPr>
        <w:t>fsspec==2026.7.0    pyyaml==6.0.3</w:t>
      </w:r>
    </w:p>
    <w:p>
      <w:pPr>
        <w:spacing w:after="0" w:line="324" w:lineRule="auto"/>
      </w:pPr>
      <w:r>
        <w:rPr>
          <w:rFonts w:ascii="Times New Roman" w:hAnsi="Times New Roman" w:eastAsia="宋体"/>
          <w:b w:val="0"/>
          <w:sz w:val="15"/>
        </w:rPr>
        <w:t>h11==0.16.0    requests==2.34.2</w:t>
      </w:r>
    </w:p>
    <w:p>
      <w:pPr>
        <w:spacing w:after="0" w:line="324" w:lineRule="auto"/>
      </w:pPr>
      <w:r>
        <w:rPr>
          <w:rFonts w:ascii="Times New Roman" w:hAnsi="Times New Roman" w:eastAsia="宋体"/>
          <w:b w:val="0"/>
          <w:sz w:val="15"/>
        </w:rPr>
        <w:t>hf-xet==1.7.0    safetensors==0.8.0</w:t>
      </w:r>
    </w:p>
    <w:p>
      <w:pPr>
        <w:spacing w:after="0" w:line="324" w:lineRule="auto"/>
      </w:pPr>
      <w:r>
        <w:rPr>
          <w:rFonts w:ascii="Times New Roman" w:hAnsi="Times New Roman" w:eastAsia="宋体"/>
          <w:b w:val="0"/>
          <w:sz w:val="15"/>
        </w:rPr>
        <w:t>httpcore2==2.16.0    scikit-learn==1.9.1</w:t>
      </w:r>
    </w:p>
    <w:p>
      <w:pPr>
        <w:spacing w:after="0" w:line="324" w:lineRule="auto"/>
      </w:pPr>
      <w:r>
        <w:rPr>
          <w:rFonts w:ascii="Times New Roman" w:hAnsi="Times New Roman" w:eastAsia="宋体"/>
          <w:b w:val="0"/>
          <w:sz w:val="15"/>
        </w:rPr>
        <w:t>httpx2==2.16.0    scipy==1.18.1</w:t>
      </w:r>
    </w:p>
    <w:p>
      <w:pPr>
        <w:spacing w:after="0" w:line="324" w:lineRule="auto"/>
      </w:pPr>
      <w:r>
        <w:rPr>
          <w:rFonts w:ascii="Times New Roman" w:hAnsi="Times New Roman" w:eastAsia="宋体"/>
          <w:b w:val="0"/>
          <w:sz w:val="15"/>
        </w:rPr>
        <w:t>huggingface-hub==2.3.0    seaborn==0.13.2</w:t>
      </w:r>
    </w:p>
    <w:p>
      <w:pPr>
        <w:spacing w:after="0" w:line="324" w:lineRule="auto"/>
      </w:pPr>
      <w:r>
        <w:rPr>
          <w:rFonts w:ascii="Times New Roman" w:hAnsi="Times New Roman" w:eastAsia="宋体"/>
          <w:b w:val="0"/>
          <w:sz w:val="15"/>
        </w:rPr>
        <w:t>idna==3.20    setuptools==78.1.0</w:t>
      </w:r>
    </w:p>
    <w:p>
      <w:pPr>
        <w:spacing w:after="0" w:line="324" w:lineRule="auto"/>
      </w:pPr>
      <w:r>
        <w:rPr>
          <w:rFonts w:ascii="Times New Roman" w:hAnsi="Times New Roman" w:eastAsia="宋体"/>
          <w:b w:val="0"/>
          <w:sz w:val="15"/>
        </w:rPr>
        <w:t>igraph==1.0.0    shap==0.54.1</w:t>
      </w:r>
    </w:p>
    <w:p>
      <w:pPr>
        <w:spacing w:after="0" w:line="324" w:lineRule="auto"/>
      </w:pPr>
      <w:r>
        <w:rPr>
          <w:rFonts w:ascii="Times New Roman" w:hAnsi="Times New Roman" w:eastAsia="宋体"/>
          <w:b w:val="0"/>
          <w:sz w:val="15"/>
        </w:rPr>
        <w:t>iniconfig==2.3.1    six==1.17.0</w:t>
      </w:r>
    </w:p>
    <w:p>
      <w:pPr>
        <w:spacing w:after="0" w:line="324" w:lineRule="auto"/>
      </w:pPr>
      <w:r>
        <w:rPr>
          <w:rFonts w:ascii="Times New Roman" w:hAnsi="Times New Roman" w:eastAsia="宋体"/>
          <w:b w:val="0"/>
          <w:sz w:val="15"/>
        </w:rPr>
        <w:t>interface-meta==2.0.1    skrub==0.10.1</w:t>
      </w:r>
    </w:p>
    <w:p>
      <w:pPr>
        <w:spacing w:after="0" w:line="324" w:lineRule="auto"/>
      </w:pPr>
      <w:r>
        <w:rPr>
          <w:rFonts w:ascii="Times New Roman" w:hAnsi="Times New Roman" w:eastAsia="宋体"/>
          <w:b w:val="0"/>
          <w:sz w:val="15"/>
        </w:rPr>
        <w:t>jinja2==3.1.6    slicer==0.0.8</w:t>
      </w:r>
    </w:p>
    <w:p>
      <w:pPr>
        <w:spacing w:after="0" w:line="324" w:lineRule="auto"/>
      </w:pPr>
      <w:r>
        <w:rPr>
          <w:rFonts w:ascii="Times New Roman" w:hAnsi="Times New Roman" w:eastAsia="宋体"/>
          <w:b w:val="0"/>
          <w:sz w:val="15"/>
        </w:rPr>
        <w:t>joblib==1.6.0    sqlalchemy==2.1.6</w:t>
      </w:r>
    </w:p>
    <w:p>
      <w:pPr>
        <w:spacing w:after="0" w:line="324" w:lineRule="auto"/>
      </w:pPr>
      <w:r>
        <w:rPr>
          <w:rFonts w:ascii="Times New Roman" w:hAnsi="Times New Roman" w:eastAsia="宋体"/>
          <w:b w:val="0"/>
          <w:sz w:val="15"/>
        </w:rPr>
        <w:t>kiwisolver==1.5.1    statsmodels==0.15.0</w:t>
      </w:r>
    </w:p>
    <w:p>
      <w:pPr>
        <w:spacing w:after="0" w:line="324" w:lineRule="auto"/>
      </w:pPr>
      <w:r>
        <w:rPr>
          <w:rFonts w:ascii="Times New Roman" w:hAnsi="Times New Roman" w:eastAsia="宋体"/>
          <w:b w:val="0"/>
          <w:sz w:val="15"/>
        </w:rPr>
        <w:t>lightgbm==4.7.0    sympy==1.14.0</w:t>
      </w:r>
    </w:p>
    <w:p>
      <w:pPr>
        <w:spacing w:after="0" w:line="324" w:lineRule="auto"/>
      </w:pPr>
      <w:r>
        <w:rPr>
          <w:rFonts w:ascii="Times New Roman" w:hAnsi="Times New Roman" w:eastAsia="宋体"/>
          <w:b w:val="0"/>
          <w:sz w:val="15"/>
        </w:rPr>
        <w:t>lxml==6.1.3    tabpfn==9.2.0</w:t>
      </w:r>
    </w:p>
    <w:p>
      <w:pPr>
        <w:spacing w:after="0" w:line="324" w:lineRule="auto"/>
      </w:pPr>
      <w:r>
        <w:rPr>
          <w:rFonts w:ascii="Times New Roman" w:hAnsi="Times New Roman" w:eastAsia="宋体"/>
          <w:b w:val="0"/>
          <w:sz w:val="15"/>
        </w:rPr>
        <w:t>mako==1.4.3    texttable==1.7.2</w:t>
      </w:r>
    </w:p>
    <w:p>
      <w:pPr>
        <w:spacing w:after="0" w:line="324" w:lineRule="auto"/>
      </w:pPr>
      <w:r>
        <w:rPr>
          <w:rFonts w:ascii="Times New Roman" w:hAnsi="Times New Roman" w:eastAsia="宋体"/>
          <w:b w:val="0"/>
          <w:sz w:val="15"/>
        </w:rPr>
        <w:t>markupsafe==3.0.4    threadpoolctl==3.7.0</w:t>
      </w:r>
    </w:p>
    <w:p>
      <w:pPr>
        <w:spacing w:after="0" w:line="324" w:lineRule="auto"/>
      </w:pPr>
      <w:r>
        <w:rPr>
          <w:rFonts w:ascii="Times New Roman" w:hAnsi="Times New Roman" w:eastAsia="宋体"/>
          <w:b w:val="0"/>
          <w:sz w:val="15"/>
        </w:rPr>
        <w:t>matplotlib==3.11.2    torch==2.8.0+cpu</w:t>
      </w:r>
    </w:p>
    <w:p>
      <w:pPr>
        <w:spacing w:after="0" w:line="324" w:lineRule="auto"/>
      </w:pPr>
      <w:r>
        <w:rPr>
          <w:rFonts w:ascii="Times New Roman" w:hAnsi="Times New Roman" w:eastAsia="宋体"/>
          <w:b w:val="0"/>
          <w:sz w:val="15"/>
        </w:rPr>
        <w:t>mpmath==1.3.0    tqdm==4.70.1</w:t>
      </w:r>
    </w:p>
    <w:p>
      <w:pPr>
        <w:spacing w:after="0" w:line="324" w:lineRule="auto"/>
      </w:pPr>
      <w:r>
        <w:rPr>
          <w:rFonts w:ascii="Times New Roman" w:hAnsi="Times New Roman" w:eastAsia="宋体"/>
          <w:b w:val="0"/>
          <w:sz w:val="15"/>
        </w:rPr>
        <w:t>narwhals==2.28.0    truststore==0.10.5</w:t>
      </w:r>
    </w:p>
    <w:p>
      <w:pPr>
        <w:spacing w:after="0" w:line="324" w:lineRule="auto"/>
      </w:pPr>
      <w:r>
        <w:rPr>
          <w:rFonts w:ascii="Times New Roman" w:hAnsi="Times New Roman" w:eastAsia="宋体"/>
          <w:b w:val="0"/>
          <w:sz w:val="15"/>
        </w:rPr>
        <w:t>networkx==3.7    typing-extensions==4.16.0</w:t>
      </w:r>
    </w:p>
    <w:p>
      <w:pPr>
        <w:spacing w:after="0" w:line="324" w:lineRule="auto"/>
      </w:pPr>
      <w:r>
        <w:rPr>
          <w:rFonts w:ascii="Times New Roman" w:hAnsi="Times New Roman" w:eastAsia="宋体"/>
          <w:b w:val="0"/>
          <w:sz w:val="15"/>
        </w:rPr>
        <w:t>numpy==2.4.6    typing-inspection==0.4.4</w:t>
      </w:r>
    </w:p>
    <w:p>
      <w:pPr>
        <w:spacing w:after="0" w:line="324" w:lineRule="auto"/>
      </w:pPr>
      <w:r>
        <w:rPr>
          <w:rFonts w:ascii="Times New Roman" w:hAnsi="Times New Roman" w:eastAsia="宋体"/>
          <w:b w:val="0"/>
          <w:sz w:val="15"/>
        </w:rPr>
        <w:t>openpyxl==3.1.5    tzdata==2026.5</w:t>
      </w:r>
    </w:p>
    <w:p>
      <w:pPr>
        <w:spacing w:after="0" w:line="324" w:lineRule="auto"/>
      </w:pPr>
      <w:r>
        <w:rPr>
          <w:rFonts w:ascii="Times New Roman" w:hAnsi="Times New Roman" w:eastAsia="宋体"/>
          <w:b w:val="0"/>
          <w:sz w:val="15"/>
        </w:rPr>
        <w:t>optuna==5.0.0    urllib3==2.8.0</w:t>
      </w:r>
    </w:p>
    <w:p>
      <w:pPr>
        <w:spacing w:after="0" w:line="324" w:lineRule="auto"/>
      </w:pPr>
      <w:r>
        <w:rPr>
          <w:rFonts w:ascii="Times New Roman" w:hAnsi="Times New Roman" w:eastAsia="宋体"/>
          <w:b w:val="0"/>
          <w:sz w:val="15"/>
        </w:rPr>
        <w:t>packaging==26.3    wrapt==2.5.1</w:t>
      </w:r>
    </w:p>
    <w:p>
      <w:pPr>
        <w:spacing w:after="0" w:line="324" w:lineRule="auto"/>
      </w:pPr>
      <w:r>
        <w:rPr>
          <w:rFonts w:ascii="Times New Roman" w:hAnsi="Times New Roman" w:eastAsia="宋体"/>
          <w:b w:val="0"/>
          <w:sz w:val="15"/>
        </w:rPr>
        <w:t>pandas==2.3.3    xgboost==3.4.1</w:t>
      </w:r>
    </w:p>
    <w:p>
      <w:pPr>
        <w:spacing w:after="80" w:line="324" w:lineRule="auto"/>
      </w:pPr>
      <w:r>
        <w:rPr>
          <w:rFonts w:ascii="Times New Roman" w:hAnsi="Times New Roman" w:eastAsia="宋体"/>
          <w:b w:val="0"/>
          <w:sz w:val="19"/>
        </w:rPr>
        <w:t>操作系统为 Windows x64，CPU 逻辑核 16，内存 13.9 GB；深度学习框架使用 CPU 版本，不启用 GPU；预训练先验 TabPFN 3.5 的权重文件不随支撑材料分发，由公开模型仓库按文件名获取后置于指定目录。</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tests_q1 worktrees/prediction-models/tests -q</w:t>
      </w:r>
    </w:p>
    <w:p>
      <w:pPr>
        <w:spacing w:after="20" w:line="324" w:lineRule="auto"/>
        <w:ind w:firstLine="0"/>
      </w:pPr>
      <w:r>
        <w:rPr>
          <w:rFonts w:ascii="Consolas" w:hAnsi="Consolas" w:eastAsia="宋体"/>
          <w:b w:val="0"/>
          <w:sz w:val="18"/>
        </w:rPr>
        <w:t>python scripts/q1_pipeline.py</w:t>
      </w:r>
    </w:p>
    <w:p>
      <w:pPr>
        <w:spacing w:after="20" w:line="324" w:lineRule="auto"/>
        <w:ind w:firstLine="0"/>
      </w:pPr>
      <w:r>
        <w:rPr>
          <w:rFonts w:ascii="Consolas" w:hAnsi="Consolas" w:eastAsia="宋体"/>
          <w:b w:val="0"/>
          <w:sz w:val="18"/>
        </w:rPr>
        <w:t>python scripts/q1_tabpfn_cv.py --worktree worktrees/prediction-models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scripts/q1_figures.py</w:t>
      </w:r>
    </w:p>
    <w:p>
      <w:pPr>
        <w:spacing w:after="20" w:line="324" w:lineRule="auto"/>
        <w:ind w:firstLine="0"/>
      </w:pPr>
      <w:r>
        <w:rPr>
          <w:rFonts w:ascii="Consolas" w:hAnsi="Consolas" w:eastAsia="宋体"/>
          <w:b w:val="0"/>
          <w:sz w:val="18"/>
        </w:rPr>
        <w:t>python scripts/q1_leakage_check.py</w:t>
      </w:r>
    </w:p>
    <w:p>
      <w:pPr>
        <w:spacing w:after="20" w:line="324" w:lineRule="auto"/>
        <w:ind w:firstLine="0"/>
      </w:pPr>
      <w:r>
        <w:rPr>
          <w:rFonts w:ascii="Consolas" w:hAnsi="Consolas" w:eastAsia="宋体"/>
          <w:b w:val="0"/>
          <w:sz w:val="18"/>
        </w:rPr>
        <w:t>python scripts/q1_predict.py --self-test</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 --chunk 0 --nchunks 4 --bootstrap-b 200</w:t>
      </w:r>
    </w:p>
    <w:p>
      <w:pPr>
        <w:spacing w:after="20" w:line="324" w:lineRule="auto"/>
        <w:ind w:firstLine="0"/>
      </w:pPr>
      <w:r>
        <w:rPr>
          <w:rFonts w:ascii="Consolas" w:hAnsi="Consolas" w:eastAsia="宋体"/>
          <w:b w:val="0"/>
          <w:sz w:val="18"/>
        </w:rPr>
        <w:t>python scripts/q2_stability.py --aggregate --bootstrap-b 200</w:t>
      </w:r>
    </w:p>
    <w:p>
      <w:pPr>
        <w:spacing w:after="20" w:line="324" w:lineRule="auto"/>
        <w:ind w:firstLine="0"/>
      </w:pPr>
      <w:r>
        <w:rPr>
          <w:rFonts w:ascii="Consolas" w:hAnsi="Consolas" w:eastAsia="宋体"/>
          <w:b w:val="0"/>
          <w:sz w:val="18"/>
        </w:rPr>
        <w:t>python scripts/q2_figures.py</w:t>
      </w:r>
    </w:p>
    <w:p>
      <w:pPr>
        <w:spacing w:after="20" w:line="324" w:lineRule="auto"/>
        <w:ind w:firstLine="0"/>
      </w:pPr>
      <w:r>
        <w:rPr>
          <w:rFonts w:ascii="Consolas" w:hAnsi="Consolas" w:eastAsia="宋体"/>
          <w:b w:val="0"/>
          <w:sz w:val="18"/>
        </w:rPr>
        <w:t>python scripts/q2_verify.py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scripts/q3_sensory_profile.py</w:t>
      </w:r>
    </w:p>
    <w:p>
      <w:pPr>
        <w:spacing w:after="20" w:line="324" w:lineRule="auto"/>
        <w:ind w:firstLine="0"/>
      </w:pPr>
      <w:r>
        <w:rPr>
          <w:rFonts w:ascii="Consolas" w:hAnsi="Consolas" w:eastAsia="宋体"/>
          <w:b w:val="0"/>
          <w:sz w:val="18"/>
        </w:rPr>
        <w:t>python scripts/q3_figures.py</w:t>
      </w:r>
    </w:p>
    <w:p>
      <w:pPr>
        <w:spacing w:after="20" w:line="324" w:lineRule="auto"/>
        <w:ind w:firstLine="0"/>
      </w:pPr>
      <w:r>
        <w:rPr>
          <w:rFonts w:ascii="Consolas" w:hAnsi="Consolas" w:eastAsia="宋体"/>
          <w:b w:val="0"/>
          <w:sz w:val="18"/>
        </w:rPr>
        <w:t>python scripts/q3_report.py</w:t>
      </w:r>
    </w:p>
    <w:p>
      <w:pPr>
        <w:spacing w:after="20" w:line="324" w:lineRule="auto"/>
        <w:ind w:firstLine="0"/>
      </w:pPr>
      <w:r>
        <w:rPr>
          <w:rFonts w:ascii="Consolas" w:hAnsi="Consolas" w:eastAsia="宋体"/>
          <w:b w:val="0"/>
          <w:sz w:val="18"/>
        </w:rPr>
        <w:t>python scripts/q3_verify.py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scripts/build_ai_usage_doc.py --output data/processed/compliance/AI工具使用详情说明.docx</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after="20" w:line="324" w:lineRule="auto"/>
        <w:ind w:firstLine="0"/>
      </w:pPr>
      <w:r>
        <w:rPr>
          <w:rFonts w:ascii="Consolas" w:hAnsi="Consolas" w:eastAsia="宋体"/>
          <w:b w:val="0"/>
          <w:sz w:val="18"/>
        </w:rPr>
        <w:t>python scripts/acceptance_check.py</w:t>
      </w:r>
    </w:p>
    <w:p>
      <w:pPr>
        <w:spacing w:after="20" w:line="324" w:lineRule="auto"/>
        <w:ind w:firstLine="0"/>
      </w:pPr>
      <w:r>
        <w:rPr>
          <w:rFonts w:ascii="Consolas" w:hAnsi="Consolas" w:eastAsia="宋体"/>
          <w:b w:val="0"/>
          <w:sz w:val="18"/>
        </w:rPr>
        <w:t>python scripts/q4_consumer.py</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支撑材料中的全部源程序按目录组织如下（均为本文作者编写或在本仓库内改写）。本清单由 scripts/ 与 worktrees/prediction-models/scripts/ 的实际文件自动生成，不手工维护，因而与支撑材料 ZIP 中的内容一致：</w:t>
      </w:r>
    </w:p>
    <w:p>
      <w:pPr>
        <w:spacing w:after="60" w:line="324" w:lineRule="auto"/>
      </w:pPr>
      <w:r>
        <w:rPr>
          <w:rFonts w:ascii="Times New Roman" w:hAnsi="Times New Roman" w:eastAsia="宋体"/>
          <w:b w:val="0"/>
          <w:sz w:val="18"/>
        </w:rPr>
        <w:t>图表风格与论文产出：build_ai_usage_doc.py、build_paper.py、plot_style.py</w:t>
      </w:r>
    </w:p>
    <w:p>
      <w:pPr>
        <w:spacing w:after="60" w:line="324" w:lineRule="auto"/>
      </w:pPr>
      <w:r>
        <w:rPr>
          <w:rFonts w:ascii="Times New Roman" w:hAnsi="Times New Roman" w:eastAsia="宋体"/>
          <w:b w:val="0"/>
          <w:sz w:val="18"/>
        </w:rPr>
        <w:t>数据层与语义审计：align_and_confirm.py、audit_scale.py、build_data_contract.py、build_label_dictionary.py、data_contract.py、explore_7csv.py、probe_7csv_value.py、profile_attachments.py、resolve_corr_type.py、split_dataset.py</w:t>
      </w:r>
    </w:p>
    <w:p>
      <w:pPr>
        <w:spacing w:after="60" w:line="324" w:lineRule="auto"/>
      </w:pPr>
      <w:r>
        <w:rPr>
          <w:rFonts w:ascii="Times New Roman" w:hAnsi="Times New Roman" w:eastAsia="宋体"/>
          <w:b w:val="0"/>
          <w:sz w:val="18"/>
        </w:rPr>
        <w:t>消费者层与剂量再检验：q4_consumer.py、q4_figure_manifest.py</w:t>
      </w:r>
    </w:p>
    <w:p>
      <w:pPr>
        <w:spacing w:after="60" w:line="324" w:lineRule="auto"/>
      </w:pPr>
      <w:r>
        <w:rPr>
          <w:rFonts w:ascii="Times New Roman" w:hAnsi="Times New Roman" w:eastAsia="宋体"/>
          <w:b w:val="0"/>
          <w:sz w:val="18"/>
        </w:rPr>
        <w:t>问题一：q1_absolute_anchor.py、q1_bootstrap.py、q1_entry.py、q1_evaluation.py、q1_figures.py、q1_leakage_check.py、q1_models.py、q1_pipeline.py、q1_predict.py、q1_tabpfn_cv.py、q1_visualize.py</w:t>
      </w:r>
    </w:p>
    <w:p>
      <w:pPr>
        <w:spacing w:after="60" w:line="324" w:lineRule="auto"/>
      </w:pPr>
      <w:r>
        <w:rPr>
          <w:rFonts w:ascii="Times New Roman" w:hAnsi="Times New Roman" w:eastAsia="宋体"/>
          <w:b w:val="0"/>
          <w:sz w:val="18"/>
        </w:rPr>
        <w:t>问题三：q3_copula.py、q3_figures.py、q3_generate.py、q3_probe_env.py、q3_report.py、q3_sensory_profile.py、q3_transfer.py、q3_verify.py</w:t>
      </w:r>
    </w:p>
    <w:p>
      <w:pPr>
        <w:spacing w:after="60" w:line="324" w:lineRule="auto"/>
      </w:pPr>
      <w:r>
        <w:rPr>
          <w:rFonts w:ascii="Times New Roman" w:hAnsi="Times New Roman" w:eastAsia="宋体"/>
          <w:b w:val="0"/>
          <w:sz w:val="18"/>
        </w:rPr>
        <w:t>问题二：q2_chem_kb.py、q2_common.py、q2_evidence.py、q2_figures.py、q2_graph.py、q2_probe.py、q2_report_peek.py、q2_stability.py、q2_verify.py</w:t>
      </w:r>
    </w:p>
    <w:p>
      <w:pPr>
        <w:spacing w:after="60" w:line="324" w:lineRule="auto"/>
      </w:pPr>
      <w:r>
        <w:rPr>
          <w:rFonts w:ascii="Times New Roman" w:hAnsi="Times New Roman" w:eastAsia="宋体"/>
          <w:b w:val="0"/>
          <w:sz w:val="18"/>
        </w:rPr>
        <w:t>验收与自检：acceptance_check.py、check_paper_pdf.py、final_diagnostics.py、package_submission.py、stack_smoke.py</w:t>
      </w:r>
    </w:p>
    <w:p>
      <w:pPr>
        <w:spacing w:after="60" w:line="324" w:lineRule="auto"/>
      </w:pPr>
      <w:r>
        <w:rPr>
          <w:rFonts w:ascii="Times New Roman" w:hAnsi="Times New Roman" w:eastAsia="宋体"/>
          <w:b w:val="0"/>
          <w:sz w:val="18"/>
        </w:rPr>
        <w:t>远程管线（worktrees/prediction-models/scripts/）：finalize_tuning.py、multitask_cv.py、paper_baselines.py、split_dataset.py、tabpfn_cv.py、tune_multitask.py、tune_rf.py、tune_tabpfn.py、tuning_protocol.py</w:t>
      </w:r>
    </w:p>
    <w:p>
      <w:pPr>
        <w:spacing w:after="60" w:line="324" w:lineRule="auto"/>
      </w:pPr>
      <w:r>
        <w:rPr>
          <w:rFonts w:ascii="Times New Roman" w:hAnsi="Times New Roman" w:eastAsia="宋体"/>
          <w:b w:val="0"/>
          <w:sz w:val="18"/>
        </w:rPr>
        <w:t>以上合计 57 个源程序文件，随支撑材料 ZIP 一并提供，可据以逐条复算本文的数值结论。</w:t>
      </w:r>
    </w:p>
    <w:p>
      <w:pPr>
        <w:spacing w:after="60" w:line="324" w:lineRule="auto"/>
      </w:pPr>
      <w:r>
        <w:rPr>
          <w:rFonts w:ascii="Times New Roman" w:hAnsi="Times New Roman" w:eastAsia="宋体"/>
          <w:b w:val="0"/>
          <w:sz w:val="18"/>
        </w:rPr>
        <w:t>单元测试（tests/）：test_consumer_layer.py、test_corr_type.py、test_data_contract.py、test_literature.py、test_plot_style.py、test_scale_audit.py</w:t>
      </w:r>
    </w:p>
    <w:p>
      <w:pPr>
        <w:spacing w:after="60" w:line="324" w:lineRule="auto"/>
      </w:pPr>
      <w:r>
        <w:rPr>
          <w:rFonts w:ascii="Times New Roman" w:hAnsi="Times New Roman" w:eastAsia="宋体"/>
          <w:b w:val="0"/>
          <w:sz w:val="18"/>
        </w:rPr>
        <w:t>单元测试（tests_q1/）：conftest.py、test_q1_deliverables.py</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data/processed/q1_final/ —— 问题一：模型总表、逐维指标、分级切点、阈值锚定参数、250×50 的 0–6 分制分级评分表</w:t>
      </w:r>
    </w:p>
    <w:p>
      <w:pPr>
        <w:spacing w:after="40" w:line="324" w:lineRule="auto"/>
      </w:pPr>
      <w:r>
        <w:rPr>
          <w:rFonts w:ascii="Times New Roman" w:hAnsi="Times New Roman" w:eastAsia="宋体"/>
          <w:b w:val="0"/>
          <w:sz w:val="18"/>
        </w:rPr>
        <w:t>data/processed/q1_runs/ —— 问题一：各模型族的独立运行产物</w:t>
      </w:r>
    </w:p>
    <w:p>
      <w:pPr>
        <w:spacing w:after="40" w:line="324" w:lineRule="auto"/>
      </w:pPr>
      <w:r>
        <w:rPr>
          <w:rFonts w:ascii="Times New Roman" w:hAnsi="Times New Roman" w:eastAsia="宋体"/>
          <w:b w:val="0"/>
          <w:sz w:val="18"/>
        </w:rPr>
        <w:t>data/processed/q1_repro_tabpfn/ —— 问题一：TabPFN 3.5 五折复现结果与逐单元缓存</w:t>
      </w:r>
    </w:p>
    <w:p>
      <w:pPr>
        <w:spacing w:after="40" w:line="324" w:lineRule="auto"/>
      </w:pPr>
      <w:r>
        <w:rPr>
          <w:rFonts w:ascii="Times New Roman" w:hAnsi="Times New Roman" w:eastAsia="宋体"/>
          <w:b w:val="0"/>
          <w:sz w:val="18"/>
        </w:rPr>
        <w:t>data/processed/q2_runs/ —— 问题二：共表达图（GraphML/JSON）、社区表、阈值敏感性、四路证据与稳定性结果</w:t>
      </w:r>
    </w:p>
    <w:p>
      <w:pPr>
        <w:spacing w:after="40" w:line="324" w:lineRule="auto"/>
      </w:pPr>
      <w:r>
        <w:rPr>
          <w:rFonts w:ascii="Times New Roman" w:hAnsi="Times New Roman" w:eastAsia="宋体"/>
          <w:b w:val="0"/>
          <w:sz w:val="18"/>
        </w:rPr>
        <w:t>data/processed/q3_runs/ —— 问题三：各风格生成谱、感官画像、迁移对照与可行性核验</w:t>
      </w:r>
    </w:p>
    <w:p>
      <w:pPr>
        <w:spacing w:after="40" w:line="324" w:lineRule="auto"/>
      </w:pPr>
      <w:r>
        <w:rPr>
          <w:rFonts w:ascii="Times New Roman" w:hAnsi="Times New Roman" w:eastAsia="宋体"/>
          <w:b w:val="0"/>
          <w:sz w:val="18"/>
        </w:rPr>
        <w:t>data/processed/q4_consumer/ —— 消费者层与剂量再检验：消费者描述符模型总表、交叉一致性、价格回归、缺陷剂量—响应表与判定表、风格分层稳健性</w:t>
      </w:r>
    </w:p>
    <w:p>
      <w:pPr>
        <w:spacing w:after="40" w:line="324" w:lineRule="auto"/>
      </w:pPr>
      <w:r>
        <w:rPr>
          <w:rFonts w:ascii="Times New Roman" w:hAnsi="Times New Roman" w:eastAsia="宋体"/>
          <w:b w:val="0"/>
          <w:sz w:val="18"/>
        </w:rPr>
        <w:t>data/processed/paper/ —— 论文：paper.docx、paper.pdf 与五项合规校验报告</w:t>
      </w:r>
    </w:p>
    <w:p>
      <w:pPr>
        <w:spacing w:after="40" w:line="324" w:lineRule="auto"/>
      </w:pPr>
      <w:r>
        <w:rPr>
          <w:rFonts w:ascii="Times New Roman" w:hAnsi="Times New Roman" w:eastAsia="宋体"/>
          <w:b w:val="0"/>
          <w:sz w:val="18"/>
        </w:rPr>
        <w:t>文献著录清单存放于 docs/refs_verified.json，论文的参考文献列表由该文件自动生成（按 citation_number 排序，期刊/图书/会议/网络资源四类分别按赛题格式著录），与人读版 docs/literature.md 一一对应；本次构建使用的即为该自动路径，引用条目共 35 条。若该文件缺失，构建脚本会退回到手写清单并在构建日志中打印告警。</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Windows û</dc:creator>
  <cp:lastModifiedBy>沐麗</cp:lastModifiedBy>
  <dcterms:modified xsi:type="dcterms:W3CDTF">2026-10-22T07:15:50Z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