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8A33" w14:textId="369A0569" w:rsidR="003C0DBD" w:rsidRDefault="000550C5" w:rsidP="000550C5">
      <w:pPr>
        <w:jc w:val="center"/>
      </w:pPr>
      <w:r>
        <w:t>Genome Report Requirements</w:t>
      </w:r>
    </w:p>
    <w:p w14:paraId="1A67D199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Title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Include the organism and/or strain names (</w:t>
      </w:r>
      <w:proofErr w:type="gram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e.g.</w:t>
      </w:r>
      <w:proofErr w:type="gram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Genome Report: Whole genome sequence of two wild-derived Mus musculus </w:t>
      </w:r>
      <w:proofErr w:type="spell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domesticus</w:t>
      </w:r>
      <w:proofErr w:type="spell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inbred strains, LEWES/</w:t>
      </w:r>
      <w:proofErr w:type="spell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EiJ</w:t>
      </w:r>
      <w:proofErr w:type="spell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and ZALENDE/</w:t>
      </w:r>
      <w:proofErr w:type="spell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EiJ</w:t>
      </w:r>
      <w:proofErr w:type="spell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, with different diploid numbers.).</w:t>
      </w:r>
    </w:p>
    <w:p w14:paraId="1BE0A9C9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Keywords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Include the relevant organism and strain names.</w:t>
      </w:r>
    </w:p>
    <w:p w14:paraId="14DE3746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Abstract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~250 words. Concise summary of the results.</w:t>
      </w:r>
    </w:p>
    <w:p w14:paraId="2BFB3533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Introduction: No more than 500 words. The introduction should discuss the rationale for the WGS of the </w:t>
      </w:r>
      <w:proofErr w:type="gramStart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particular organism/strain</w:t>
      </w:r>
      <w:proofErr w:type="gramEnd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.</w:t>
      </w:r>
    </w:p>
    <w:p w14:paraId="5F34A4EA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Methods &amp; Materials: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 Include the following (note: author may write additional subheadings as appropriate – the below points are not designed to be a list of complete subheadings, but rather, topics to be covered). </w:t>
      </w:r>
    </w:p>
    <w:p w14:paraId="01A7987A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Organism/strain origin and derivation  </w:t>
      </w:r>
    </w:p>
    <w:p w14:paraId="15913047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Sequencing methods and preparation details</w:t>
      </w:r>
    </w:p>
    <w:p w14:paraId="7DF5D0DB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Data processing methods</w:t>
      </w:r>
    </w:p>
    <w:p w14:paraId="5A5A6EAF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Results and Discussion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: Include a description of the genomes, coverage amount of genome sequenced, details of sequence variants ascertained, identifications of deletions, comparison of strains/genomes (if reporting WGS of multiple strains/organisms), and relevance of findings to overall organism/strain catalog.</w:t>
      </w:r>
    </w:p>
    <w:p w14:paraId="5A55213D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Data Availability Statement</w:t>
      </w:r>
    </w:p>
    <w:p w14:paraId="0EE9100F" w14:textId="77777777" w:rsidR="000550C5" w:rsidRPr="000550C5" w:rsidRDefault="000550C5" w:rsidP="000550C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Data availability listing where to access all raw reads, processed data, BWTs, and other relevant data. The assembly should be uploaded to </w:t>
      </w:r>
      <w:hyperlink r:id="rId5" w:history="1">
        <w:r w:rsidRPr="000550C5">
          <w:rPr>
            <w:rFonts w:ascii="Merriweather" w:eastAsia="Times New Roman" w:hAnsi="Merriweather" w:cs="Times New Roman"/>
            <w:color w:val="006FB7"/>
            <w:sz w:val="23"/>
            <w:szCs w:val="23"/>
            <w:u w:val="single"/>
            <w:bdr w:val="none" w:sz="0" w:space="0" w:color="auto" w:frame="1"/>
          </w:rPr>
          <w:t>NCBI</w:t>
        </w:r>
      </w:hyperlink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 or </w:t>
      </w:r>
      <w:hyperlink r:id="rId6" w:history="1">
        <w:r w:rsidRPr="000550C5">
          <w:rPr>
            <w:rFonts w:ascii="Merriweather" w:eastAsia="Times New Roman" w:hAnsi="Merriweather" w:cs="Times New Roman"/>
            <w:color w:val="006FB7"/>
            <w:sz w:val="23"/>
            <w:szCs w:val="23"/>
            <w:u w:val="single"/>
            <w:bdr w:val="none" w:sz="0" w:space="0" w:color="auto" w:frame="1"/>
          </w:rPr>
          <w:t>ENA</w:t>
        </w:r>
      </w:hyperlink>
    </w:p>
    <w:p w14:paraId="1E19BC55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Acknowledgments</w:t>
      </w:r>
    </w:p>
    <w:p w14:paraId="5C5ADB26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Conflict of Interest</w:t>
      </w:r>
    </w:p>
    <w:p w14:paraId="24962B94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Funder Information</w:t>
      </w:r>
    </w:p>
    <w:p w14:paraId="3012A063" w14:textId="77777777" w:rsidR="000550C5" w:rsidRPr="000550C5" w:rsidRDefault="000550C5" w:rsidP="000550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Literature Cited</w:t>
      </w:r>
    </w:p>
    <w:p w14:paraId="4DCE6496" w14:textId="5865C48B" w:rsidR="000550C5" w:rsidRDefault="000550C5">
      <w:r>
        <w:br w:type="page"/>
      </w:r>
    </w:p>
    <w:p w14:paraId="299300C9" w14:textId="09954B5C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lastRenderedPageBreak/>
        <w:t>Title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: </w:t>
      </w:r>
      <w:bookmarkStart w:id="0" w:name="_Hlk107286939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Genome Report: Whole genome sequence of </w:t>
      </w:r>
      <w:r w:rsidR="00BC2392">
        <w:rPr>
          <w:rFonts w:ascii="Merriweather" w:eastAsia="Times New Roman" w:hAnsi="Merriweather" w:cs="Times New Roman"/>
          <w:color w:val="2A2A2A"/>
          <w:sz w:val="23"/>
          <w:szCs w:val="23"/>
        </w:rPr>
        <w:t>synthetically</w:t>
      </w:r>
      <w:r w:rsidR="00BC2392"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derived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</w:t>
      </w:r>
      <w:r>
        <w:rPr>
          <w:rFonts w:ascii="Merriweather" w:eastAsia="Times New Roman" w:hAnsi="Merriweather" w:cs="Times New Roman"/>
          <w:i/>
          <w:iCs/>
          <w:color w:val="2A2A2A"/>
          <w:sz w:val="23"/>
          <w:szCs w:val="23"/>
        </w:rPr>
        <w:t>Brassica napus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inbred strain, </w:t>
      </w:r>
      <w:r>
        <w:rPr>
          <w:rFonts w:ascii="Merriweather" w:eastAsia="Times New Roman" w:hAnsi="Merriweather" w:cs="Times New Roman"/>
          <w:color w:val="2A2A2A"/>
          <w:sz w:val="23"/>
          <w:szCs w:val="23"/>
        </w:rPr>
        <w:t>DaAe</w:t>
      </w:r>
      <w:bookmarkEnd w:id="0"/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).</w:t>
      </w:r>
    </w:p>
    <w:p w14:paraId="0791E202" w14:textId="401D95D2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Keywords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: </w:t>
      </w:r>
      <w:r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Canola, Allotetraploid, Rapeseed, Hi-C, Long Read Sequencing, </w:t>
      </w:r>
      <w:proofErr w:type="spellStart"/>
      <w:r>
        <w:rPr>
          <w:rFonts w:ascii="Merriweather" w:eastAsia="Times New Roman" w:hAnsi="Merriweather" w:cs="Times New Roman"/>
          <w:color w:val="2A2A2A"/>
          <w:sz w:val="23"/>
          <w:szCs w:val="23"/>
        </w:rPr>
        <w:t>etc</w:t>
      </w:r>
      <w:proofErr w:type="spellEnd"/>
      <w:r>
        <w:rPr>
          <w:rFonts w:ascii="Merriweather" w:eastAsia="Times New Roman" w:hAnsi="Merriweather" w:cs="Times New Roman"/>
          <w:color w:val="2A2A2A"/>
          <w:sz w:val="23"/>
          <w:szCs w:val="23"/>
        </w:rPr>
        <w:t>…</w:t>
      </w:r>
    </w:p>
    <w:p w14:paraId="0298290B" w14:textId="59E3F40A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Abstrac</w:t>
      </w:r>
      <w:r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 xml:space="preserve">t: </w:t>
      </w:r>
    </w:p>
    <w:p w14:paraId="1915FC20" w14:textId="2AA6874F" w:rsid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Alignment to other genomes</w:t>
      </w:r>
    </w:p>
    <w:p w14:paraId="51A1ACB4" w14:textId="38842C4A" w:rsid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Size</w:t>
      </w:r>
    </w:p>
    <w:p w14:paraId="41A3DA24" w14:textId="712E5001" w:rsid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Genes</w:t>
      </w:r>
    </w:p>
    <w:p w14:paraId="18C02AA8" w14:textId="3A7BAD1B" w:rsidR="000550C5" w:rsidRPr="000550C5" w:rsidRDefault="000550C5" w:rsidP="000550C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HE</w:t>
      </w:r>
    </w:p>
    <w:p w14:paraId="3FEF6E68" w14:textId="77777777" w:rsidR="000550C5" w:rsidRDefault="000550C5" w:rsidP="000550C5">
      <w:pPr>
        <w:numPr>
          <w:ilvl w:val="0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Introduction: </w:t>
      </w:r>
    </w:p>
    <w:p w14:paraId="226B34F5" w14:textId="4F516B39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Economical value of the plant</w:t>
      </w:r>
    </w:p>
    <w:p w14:paraId="018B41D4" w14:textId="7F3F66A1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Prevalence in agriculture</w:t>
      </w:r>
    </w:p>
    <w:p w14:paraId="3E513283" w14:textId="3346635E" w:rsidR="000550C5" w:rsidRP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Increase oil output</w:t>
      </w:r>
    </w:p>
    <w:p w14:paraId="05DB6A0F" w14:textId="131ABFFF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Methods &amp; Materials: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 </w:t>
      </w:r>
    </w:p>
    <w:p w14:paraId="4D807DC4" w14:textId="5998CAF8" w:rsidR="000550C5" w:rsidRDefault="000550C5" w:rsidP="000550C5">
      <w:pPr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Organism/strain origin and derivation</w:t>
      </w:r>
    </w:p>
    <w:p w14:paraId="55AF6795" w14:textId="04B5FA85" w:rsidR="000550C5" w:rsidRPr="000550C5" w:rsidRDefault="000550C5" w:rsidP="000550C5">
      <w:pPr>
        <w:numPr>
          <w:ilvl w:val="2"/>
          <w:numId w:val="3"/>
        </w:numPr>
        <w:shd w:val="clear" w:color="auto" w:fill="FFFFFF"/>
        <w:spacing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DaAe Creation</w:t>
      </w:r>
    </w:p>
    <w:p w14:paraId="5565AA82" w14:textId="54586554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Sequencing methods and preparation details</w:t>
      </w:r>
    </w:p>
    <w:p w14:paraId="5E343D60" w14:textId="54585A98" w:rsidR="000550C5" w:rsidRPr="000550C5" w:rsidRDefault="000550C5" w:rsidP="000550C5">
      <w:pPr>
        <w:numPr>
          <w:ilvl w:val="2"/>
          <w:numId w:val="3"/>
        </w:numPr>
        <w:shd w:val="clear" w:color="auto" w:fill="FFFFFF"/>
        <w:spacing w:before="120" w:after="12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Hi-C, PacBio, </w:t>
      </w:r>
      <w:r w:rsidR="006C2B8E">
        <w:rPr>
          <w:rFonts w:ascii="Merriweather" w:eastAsia="Times New Roman" w:hAnsi="Merriweather" w:cs="Times New Roman"/>
          <w:color w:val="2A2A2A"/>
          <w:sz w:val="23"/>
          <w:szCs w:val="23"/>
        </w:rPr>
        <w:t>10X</w:t>
      </w:r>
    </w:p>
    <w:p w14:paraId="384B230E" w14:textId="5C985322" w:rsidR="000550C5" w:rsidRDefault="000550C5" w:rsidP="000550C5">
      <w:pPr>
        <w:numPr>
          <w:ilvl w:val="1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>Data processing methods</w:t>
      </w:r>
    </w:p>
    <w:p w14:paraId="5ABA17FE" w14:textId="0A1D6B43" w:rsidR="006C2B8E" w:rsidRDefault="006C2B8E" w:rsidP="006C2B8E">
      <w:pPr>
        <w:numPr>
          <w:ilvl w:val="2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Metrics</w:t>
      </w:r>
    </w:p>
    <w:p w14:paraId="25A8927A" w14:textId="2A919AC7" w:rsidR="006C2B8E" w:rsidRDefault="006C2B8E" w:rsidP="006C2B8E">
      <w:pPr>
        <w:numPr>
          <w:ilvl w:val="2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Alignments</w:t>
      </w:r>
    </w:p>
    <w:p w14:paraId="2EEB83E9" w14:textId="3A416540" w:rsidR="006C2B8E" w:rsidRPr="000550C5" w:rsidRDefault="006C2B8E" w:rsidP="006C2B8E">
      <w:pPr>
        <w:numPr>
          <w:ilvl w:val="2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>
        <w:rPr>
          <w:rFonts w:ascii="Merriweather" w:eastAsia="Times New Roman" w:hAnsi="Merriweather" w:cs="Times New Roman"/>
          <w:color w:val="2A2A2A"/>
          <w:sz w:val="23"/>
          <w:szCs w:val="23"/>
        </w:rPr>
        <w:t>HE Analysis</w:t>
      </w:r>
    </w:p>
    <w:p w14:paraId="358CA428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Results and Discussion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: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yellow"/>
        </w:rPr>
        <w:t>Include a description of the genomes, coverage amount of genome sequenced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,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red"/>
        </w:rPr>
        <w:t>details of sequence variants ascertained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,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red"/>
        </w:rPr>
        <w:t>identifications of deletions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, 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  <w:highlight w:val="yellow"/>
        </w:rPr>
        <w:t>comparison of strains/genomes</w:t>
      </w:r>
      <w:r w:rsidRPr="000550C5">
        <w:rPr>
          <w:rFonts w:ascii="Merriweather" w:eastAsia="Times New Roman" w:hAnsi="Merriweather" w:cs="Times New Roman"/>
          <w:color w:val="2A2A2A"/>
          <w:sz w:val="23"/>
          <w:szCs w:val="23"/>
        </w:rPr>
        <w:t xml:space="preserve"> (if reporting WGS of multiple strains/organisms), and relevance of findings to overall organism/strain catalog.</w:t>
      </w:r>
    </w:p>
    <w:p w14:paraId="6F8264BA" w14:textId="305DA44F" w:rsidR="000550C5" w:rsidRPr="006C2B8E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Data Availability Statement</w:t>
      </w:r>
    </w:p>
    <w:p w14:paraId="137548F6" w14:textId="0D57DE43" w:rsidR="006C2B8E" w:rsidRPr="000550C5" w:rsidRDefault="006C2B8E" w:rsidP="006C2B8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6C2B8E">
        <w:rPr>
          <w:rFonts w:ascii="Merriweather" w:eastAsia="Times New Roman" w:hAnsi="Merriweather" w:cs="Times New Roman"/>
          <w:color w:val="2A2A2A"/>
          <w:sz w:val="23"/>
          <w:szCs w:val="23"/>
        </w:rPr>
        <w:t>https://submit.ncbi.nlm.nih.gov/subs/wgs/SUB7298190/overview</w:t>
      </w:r>
    </w:p>
    <w:p w14:paraId="7310959D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Acknowledgments</w:t>
      </w:r>
    </w:p>
    <w:p w14:paraId="5E489CD9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Conflict of Interest</w:t>
      </w:r>
    </w:p>
    <w:p w14:paraId="22B61191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Funder Information</w:t>
      </w:r>
    </w:p>
    <w:p w14:paraId="3DCCAE42" w14:textId="77777777" w:rsidR="000550C5" w:rsidRPr="000550C5" w:rsidRDefault="000550C5" w:rsidP="000550C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2A2A2A"/>
          <w:sz w:val="23"/>
          <w:szCs w:val="23"/>
        </w:rPr>
      </w:pPr>
      <w:r w:rsidRPr="000550C5">
        <w:rPr>
          <w:rFonts w:ascii="inherit" w:eastAsia="Times New Roman" w:hAnsi="inherit" w:cs="Times New Roman"/>
          <w:i/>
          <w:iCs/>
          <w:color w:val="2A2A2A"/>
          <w:sz w:val="23"/>
          <w:szCs w:val="23"/>
          <w:bdr w:val="none" w:sz="0" w:space="0" w:color="auto" w:frame="1"/>
        </w:rPr>
        <w:t>Literature Cited</w:t>
      </w:r>
    </w:p>
    <w:p w14:paraId="5331EAE0" w14:textId="7527BF6B" w:rsidR="000550C5" w:rsidRDefault="000550C5" w:rsidP="000550C5"/>
    <w:sectPr w:rsidR="0005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043"/>
    <w:multiLevelType w:val="multilevel"/>
    <w:tmpl w:val="B468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84602"/>
    <w:multiLevelType w:val="multilevel"/>
    <w:tmpl w:val="F38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3256C"/>
    <w:multiLevelType w:val="multilevel"/>
    <w:tmpl w:val="B468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511561">
    <w:abstractNumId w:val="2"/>
  </w:num>
  <w:num w:numId="2" w16cid:durableId="350381011">
    <w:abstractNumId w:val="0"/>
  </w:num>
  <w:num w:numId="3" w16cid:durableId="203222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C5"/>
    <w:rsid w:val="000550C5"/>
    <w:rsid w:val="0021752D"/>
    <w:rsid w:val="003C0DBD"/>
    <w:rsid w:val="00527F4B"/>
    <w:rsid w:val="006C2B8E"/>
    <w:rsid w:val="00B751A3"/>
    <w:rsid w:val="00B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6D5F"/>
  <w15:chartTrackingRefBased/>
  <w15:docId w15:val="{E893A20D-459F-486E-AD64-0985F6E0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50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i.ac.uk/ena" TargetMode="External"/><Relationship Id="rId5" Type="http://schemas.openxmlformats.org/officeDocument/2006/relationships/hyperlink" Target="http://www.ncbi.nlm.ni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</dc:creator>
  <cp:keywords/>
  <dc:description/>
  <cp:lastModifiedBy>john davis</cp:lastModifiedBy>
  <cp:revision>4</cp:revision>
  <dcterms:created xsi:type="dcterms:W3CDTF">2022-06-24T20:45:00Z</dcterms:created>
  <dcterms:modified xsi:type="dcterms:W3CDTF">2022-06-28T13:31:00Z</dcterms:modified>
</cp:coreProperties>
</file>