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Мальсагов</w:t>
      </w:r>
      <w:r>
        <w:t xml:space="preserve"> </w:t>
      </w:r>
      <w:r>
        <w:t xml:space="preserve">Мухаммад</w:t>
      </w:r>
      <w:r>
        <w:t xml:space="preserve"> </w:t>
      </w:r>
      <w:r>
        <w:t xml:space="preserve">Абу-Бакарович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 emacs, создал lab07.sh и вставил текст.(рис. 1)</w:t>
      </w:r>
    </w:p>
    <w:p>
      <w:pPr>
        <w:pStyle w:val="CaptionedFigure"/>
      </w:pPr>
      <w:bookmarkStart w:id="22" w:name="fig:001"/>
      <w:r>
        <w:drawing>
          <wp:inline>
            <wp:extent cx="5334000" cy="5792087"/>
            <wp:effectExtent b="0" l="0" r="0" t="0"/>
            <wp:docPr descr="Рис. 1: Ввод текста в созданный файл lab07.sh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Ввод текста в созданный файл lab07.sh</w:t>
      </w:r>
    </w:p>
    <w:p>
      <w:pPr>
        <w:numPr>
          <w:ilvl w:val="0"/>
          <w:numId w:val="1002"/>
        </w:numPr>
        <w:pStyle w:val="Compact"/>
      </w:pPr>
      <w:r>
        <w:t xml:space="preserve">Вырезал последнюю строку. (рис. 2)</w:t>
      </w:r>
    </w:p>
    <w:p>
      <w:pPr>
        <w:pStyle w:val="CaptionedFigure"/>
      </w:pPr>
      <w:bookmarkStart w:id="24" w:name="fig:002"/>
      <w:r>
        <w:drawing>
          <wp:inline>
            <wp:extent cx="5334000" cy="5792087"/>
            <wp:effectExtent b="0" l="0" r="0" t="0"/>
            <wp:docPr descr="Рис. 2: Вырезка строк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Вырезка строки</w:t>
      </w:r>
    </w:p>
    <w:p>
      <w:pPr>
        <w:numPr>
          <w:ilvl w:val="0"/>
          <w:numId w:val="1003"/>
        </w:numPr>
        <w:pStyle w:val="Compact"/>
      </w:pPr>
      <w:r>
        <w:t xml:space="preserve">Отменил последнее действие.(рис. 3)</w:t>
      </w:r>
    </w:p>
    <w:p>
      <w:pPr>
        <w:pStyle w:val="CaptionedFigure"/>
      </w:pPr>
      <w:bookmarkStart w:id="26" w:name="fig:003"/>
      <w:r>
        <w:drawing>
          <wp:inline>
            <wp:extent cx="5334000" cy="5792087"/>
            <wp:effectExtent b="0" l="0" r="0" t="0"/>
            <wp:docPr descr="Рис. 3: Отмена последнего действи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Отмена последнего действия</w:t>
      </w:r>
    </w:p>
    <w:p>
      <w:pPr>
        <w:numPr>
          <w:ilvl w:val="0"/>
          <w:numId w:val="1004"/>
        </w:numPr>
        <w:pStyle w:val="Compact"/>
      </w:pPr>
      <w:r>
        <w:t xml:space="preserve">Вырезал строку.(рис. 4)</w:t>
      </w:r>
    </w:p>
    <w:p>
      <w:pPr>
        <w:pStyle w:val="CaptionedFigure"/>
      </w:pPr>
      <w:bookmarkStart w:id="28" w:name="fig:004"/>
      <w:r>
        <w:drawing>
          <wp:inline>
            <wp:extent cx="5334000" cy="5792087"/>
            <wp:effectExtent b="0" l="0" r="0" t="0"/>
            <wp:docPr descr="Рис. 4: Копирование и вставка строк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Копирование и вставка строки</w:t>
      </w:r>
    </w:p>
    <w:p>
      <w:pPr>
        <w:numPr>
          <w:ilvl w:val="0"/>
          <w:numId w:val="1005"/>
        </w:numPr>
        <w:pStyle w:val="Compact"/>
      </w:pPr>
      <w:r>
        <w:t xml:space="preserve">Отменил последнее действие.(рис. 5)</w:t>
      </w:r>
    </w:p>
    <w:p>
      <w:pPr>
        <w:pStyle w:val="CaptionedFigure"/>
      </w:pPr>
      <w:bookmarkStart w:id="30" w:name="fig:005"/>
      <w:r>
        <w:drawing>
          <wp:inline>
            <wp:extent cx="5334000" cy="5792087"/>
            <wp:effectExtent b="0" l="0" r="0" t="0"/>
            <wp:docPr descr="Рис. 5: Отмена последнего действи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Отмена последнего действия</w:t>
      </w:r>
    </w:p>
    <w:p>
      <w:pPr>
        <w:numPr>
          <w:ilvl w:val="0"/>
          <w:numId w:val="1006"/>
        </w:numPr>
        <w:pStyle w:val="Compact"/>
      </w:pPr>
      <w:r>
        <w:t xml:space="preserve">Переместил курсор в начало строки. (рис. 6)</w:t>
      </w:r>
    </w:p>
    <w:p>
      <w:pPr>
        <w:pStyle w:val="CaptionedFigure"/>
      </w:pPr>
      <w:bookmarkStart w:id="32" w:name="fig:006"/>
      <w:r>
        <w:drawing>
          <wp:inline>
            <wp:extent cx="5334000" cy="5792087"/>
            <wp:effectExtent b="0" l="0" r="0" t="0"/>
            <wp:docPr descr="Рис. 6: Перемещение курсора в начало строк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Перемещение курсора в начало строки</w:t>
      </w:r>
    </w:p>
    <w:p>
      <w:pPr>
        <w:numPr>
          <w:ilvl w:val="0"/>
          <w:numId w:val="1007"/>
        </w:numPr>
        <w:pStyle w:val="Compact"/>
      </w:pPr>
      <w:r>
        <w:t xml:space="preserve">Переместите курсор в конец строки.(рис. 7)</w:t>
      </w:r>
    </w:p>
    <w:p>
      <w:pPr>
        <w:pStyle w:val="CaptionedFigure"/>
      </w:pPr>
      <w:bookmarkStart w:id="34" w:name="fig:007"/>
      <w:r>
        <w:drawing>
          <wp:inline>
            <wp:extent cx="5334000" cy="5792087"/>
            <wp:effectExtent b="0" l="0" r="0" t="0"/>
            <wp:docPr descr="Рис. 7: Перемещение курсора в конец строк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Перемещение курсора в конец строки</w:t>
      </w:r>
    </w:p>
    <w:p>
      <w:pPr>
        <w:numPr>
          <w:ilvl w:val="0"/>
          <w:numId w:val="1008"/>
        </w:numPr>
        <w:pStyle w:val="Compact"/>
      </w:pPr>
      <w:r>
        <w:t xml:space="preserve">Переместил курсор в начало буфера.(рис. 8)</w:t>
      </w:r>
    </w:p>
    <w:p>
      <w:pPr>
        <w:pStyle w:val="CaptionedFigure"/>
      </w:pPr>
      <w:bookmarkStart w:id="36" w:name="fig:008"/>
      <w:r>
        <w:drawing>
          <wp:inline>
            <wp:extent cx="5334000" cy="5792087"/>
            <wp:effectExtent b="0" l="0" r="0" t="0"/>
            <wp:docPr descr="Рис. 8: Перемесщение курсора в начало буфер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Перемесщение курсора в начало буфера</w:t>
      </w:r>
    </w:p>
    <w:p>
      <w:pPr>
        <w:numPr>
          <w:ilvl w:val="0"/>
          <w:numId w:val="1009"/>
        </w:numPr>
        <w:pStyle w:val="Compact"/>
      </w:pPr>
      <w:r>
        <w:t xml:space="preserve">Переместил курсор в конец буфера.(рис. 9)</w:t>
      </w:r>
    </w:p>
    <w:p>
      <w:pPr>
        <w:pStyle w:val="CaptionedFigure"/>
      </w:pPr>
      <w:bookmarkStart w:id="38" w:name="fig:009"/>
      <w:r>
        <w:drawing>
          <wp:inline>
            <wp:extent cx="5334000" cy="5792087"/>
            <wp:effectExtent b="0" l="0" r="0" t="0"/>
            <wp:docPr descr="Рис. 9: Перемещение курсора в конец буфер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Перемещение курсора в конец буфера</w:t>
      </w:r>
    </w:p>
    <w:p>
      <w:pPr>
        <w:numPr>
          <w:ilvl w:val="0"/>
          <w:numId w:val="1010"/>
        </w:numPr>
        <w:pStyle w:val="Compact"/>
      </w:pPr>
      <w:r>
        <w:t xml:space="preserve">Вывел список активных буферов на экран.(рис. 10)</w:t>
      </w:r>
    </w:p>
    <w:p>
      <w:pPr>
        <w:pStyle w:val="CaptionedFigure"/>
      </w:pPr>
      <w:bookmarkStart w:id="40" w:name="fig:010"/>
      <w:r>
        <w:drawing>
          <wp:inline>
            <wp:extent cx="5334000" cy="5792087"/>
            <wp:effectExtent b="0" l="0" r="0" t="0"/>
            <wp:docPr descr="Рис. 10: Вывод списка активных буферов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Вывод списка активных буферов</w:t>
      </w:r>
    </w:p>
    <w:p>
      <w:pPr>
        <w:numPr>
          <w:ilvl w:val="0"/>
          <w:numId w:val="1011"/>
        </w:numPr>
        <w:pStyle w:val="Compact"/>
      </w:pPr>
      <w:r>
        <w:t xml:space="preserve">Закрыл это окно.(рис. 11)</w:t>
      </w:r>
    </w:p>
    <w:p>
      <w:pPr>
        <w:pStyle w:val="CaptionedFigure"/>
      </w:pPr>
      <w:bookmarkStart w:id="42" w:name="fig:011"/>
      <w:r>
        <w:drawing>
          <wp:inline>
            <wp:extent cx="5334000" cy="5792087"/>
            <wp:effectExtent b="0" l="0" r="0" t="0"/>
            <wp:docPr descr="Рис. 11: Закрыти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Закрытие буфера</w:t>
      </w:r>
    </w:p>
    <w:p>
      <w:pPr>
        <w:numPr>
          <w:ilvl w:val="0"/>
          <w:numId w:val="1012"/>
        </w:numPr>
        <w:pStyle w:val="Compact"/>
      </w:pPr>
      <w:r>
        <w:t xml:space="preserve">Вновь переключился между буферами, но уже без вывода их списка на экран. (рис. 12)</w:t>
      </w:r>
    </w:p>
    <w:p>
      <w:pPr>
        <w:pStyle w:val="CaptionedFigure"/>
      </w:pPr>
      <w:bookmarkStart w:id="44" w:name="fig:012"/>
      <w:r>
        <w:drawing>
          <wp:inline>
            <wp:extent cx="5334000" cy="5792087"/>
            <wp:effectExtent b="0" l="0" r="0" t="0"/>
            <wp:docPr descr="Рис. 12: Переключение на другой буфер без вывод сп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Переключение на другой буфер без вывод списка</w:t>
      </w:r>
    </w:p>
    <w:p>
      <w:pPr>
        <w:numPr>
          <w:ilvl w:val="0"/>
          <w:numId w:val="1013"/>
        </w:numPr>
        <w:pStyle w:val="Compact"/>
      </w:pPr>
      <w:r>
        <w:t xml:space="preserve">Поделил фрейм на 4 части: разделил фрейм на два окна по вертикали,</w:t>
      </w:r>
      <w:r>
        <w:t xml:space="preserve"> </w:t>
      </w:r>
      <w:r>
        <w:t xml:space="preserve">а затем каждое из этих окон на две части по горизонтали. В каждом из четырёх созданных окон открыл новый буфер (файл) и ввел несколько строк текста. (рис. 13)</w:t>
      </w:r>
    </w:p>
    <w:p>
      <w:pPr>
        <w:pStyle w:val="CaptionedFigure"/>
      </w:pPr>
      <w:bookmarkStart w:id="46" w:name="fig:013"/>
      <w:r>
        <w:drawing>
          <wp:inline>
            <wp:extent cx="5334000" cy="5792087"/>
            <wp:effectExtent b="0" l="0" r="0" t="0"/>
            <wp:docPr descr="Рис. 13: Деление фрейм на 4 части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13: Деление фрейм на 4 части</w:t>
      </w:r>
    </w:p>
    <w:p>
      <w:pPr>
        <w:numPr>
          <w:ilvl w:val="0"/>
          <w:numId w:val="1014"/>
        </w:numPr>
        <w:pStyle w:val="Compact"/>
      </w:pPr>
      <w:r>
        <w:t xml:space="preserve">Переключился в режим поиска и нашел слово echo.Переключился между результатами поиска(рис. 14)</w:t>
      </w:r>
    </w:p>
    <w:p>
      <w:pPr>
        <w:pStyle w:val="CaptionedFigure"/>
      </w:pPr>
      <w:bookmarkStart w:id="48" w:name="fig:014"/>
      <w:r>
        <w:drawing>
          <wp:inline>
            <wp:extent cx="5334000" cy="5792087"/>
            <wp:effectExtent b="0" l="0" r="0" t="0"/>
            <wp:docPr descr="Рис. 14: Поиск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14: Поиск</w:t>
      </w:r>
    </w:p>
    <w:p>
      <w:pPr>
        <w:numPr>
          <w:ilvl w:val="0"/>
          <w:numId w:val="1015"/>
        </w:numPr>
        <w:pStyle w:val="Compact"/>
      </w:pPr>
      <w:r>
        <w:t xml:space="preserve">Испробовал другой режим поиска.(рис. 15)</w:t>
      </w:r>
    </w:p>
    <w:p>
      <w:pPr>
        <w:pStyle w:val="CaptionedFigure"/>
      </w:pPr>
      <w:bookmarkStart w:id="50" w:name="fig:015"/>
      <w:r>
        <w:drawing>
          <wp:inline>
            <wp:extent cx="5334000" cy="5792087"/>
            <wp:effectExtent b="0" l="0" r="0" t="0"/>
            <wp:docPr descr="Рис. 15: Другой режим поиск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15: Другой режим поиска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получили базовые навыки использования emacs.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6"/>
        </w:numPr>
      </w:pPr>
      <w:r>
        <w:t xml:space="preserve">Emacs представляет собой мощный экранный редактор текста, написанный на языке</w:t>
      </w:r>
      <w:r>
        <w:t xml:space="preserve"> </w:t>
      </w:r>
      <w:r>
        <w:t xml:space="preserve">высокого уровня Elisp.</w:t>
      </w:r>
    </w:p>
    <w:p>
      <w:pPr>
        <w:numPr>
          <w:ilvl w:val="0"/>
          <w:numId w:val="1016"/>
        </w:numPr>
      </w:pPr>
      <w:r>
        <w:t xml:space="preserve">Многие рутинные операции в Emacs удобнее производить с помощью клавиатуры, а не</w:t>
      </w:r>
      <w:r>
        <w:t xml:space="preserve"> </w:t>
      </w:r>
      <w:r>
        <w:t xml:space="preserve">графического меню. Наиболее часто в командах Emacs используются сочетания c клавишами Ctrl и Meta (в обозначениях Emacs: C- и M-; клавиша Shift в Emasc обозначается</w:t>
      </w:r>
      <w:r>
        <w:t xml:space="preserve"> </w:t>
      </w:r>
      <w:r>
        <w:t xml:space="preserve">как S-). Так как на клавиатуре для IBM PC совместимых ПК клавиши Meta нет, то вместо</w:t>
      </w:r>
      <w:r>
        <w:t xml:space="preserve"> </w:t>
      </w:r>
      <w:r>
        <w:t xml:space="preserve">неё можно использовать Alt или Esc.</w:t>
      </w:r>
    </w:p>
    <w:p>
      <w:pPr>
        <w:numPr>
          <w:ilvl w:val="0"/>
          <w:numId w:val="1016"/>
        </w:numPr>
      </w:pPr>
      <w:r>
        <w:t xml:space="preserve">Если своими словами, то буфер - это файл, содержащий какой-либо текст. Окно же можно сказать область, где вы водится текст определенного буфера.</w:t>
      </w:r>
    </w:p>
    <w:p>
      <w:pPr>
        <w:numPr>
          <w:ilvl w:val="0"/>
          <w:numId w:val="1016"/>
        </w:numPr>
      </w:pPr>
      <w:r>
        <w:t xml:space="preserve">Можно открыть больше 10 буферов в одном окне.</w:t>
      </w:r>
    </w:p>
    <w:p>
      <w:pPr>
        <w:numPr>
          <w:ilvl w:val="0"/>
          <w:numId w:val="1016"/>
        </w:numPr>
      </w:pPr>
      <w:r>
        <w:t xml:space="preserve">Только что запущенный Emacs несет один буфер с именем `</w:t>
      </w:r>
      <w:r>
        <w:rPr>
          <w:iCs/>
          <w:i/>
        </w:rPr>
        <w:t xml:space="preserve">scratch</w:t>
      </w:r>
      <w:r>
        <w:t xml:space="preserve">’, который может быть использован для вычисления выражений Лиспа в Emacs.</w:t>
      </w:r>
    </w:p>
    <w:p>
      <w:pPr>
        <w:numPr>
          <w:ilvl w:val="0"/>
          <w:numId w:val="1016"/>
        </w:numPr>
      </w:pPr>
      <w:r>
        <w:t xml:space="preserve">Ctrl-c |(первые две нажму вместе, а третью отдельно), Ctrl-c Ctrl-|(каждую пару нажму раздельно).</w:t>
      </w:r>
    </w:p>
    <w:p>
      <w:pPr>
        <w:numPr>
          <w:ilvl w:val="0"/>
          <w:numId w:val="1016"/>
        </w:numPr>
      </w:pPr>
      <w:r>
        <w:t xml:space="preserve">Разделить фрейм на два окна по вертикали (C-x 3),а по горизонтали (C-x 2) .</w:t>
      </w:r>
    </w:p>
    <w:p>
      <w:pPr>
        <w:numPr>
          <w:ilvl w:val="0"/>
          <w:numId w:val="1016"/>
        </w:numPr>
      </w:pPr>
      <w:r>
        <w:t xml:space="preserve">В файле Emacs хранятся настройки редактора.</w:t>
      </w:r>
    </w:p>
    <w:p>
      <w:pPr>
        <w:numPr>
          <w:ilvl w:val="0"/>
          <w:numId w:val="1016"/>
        </w:numPr>
      </w:pPr>
      <w:r>
        <w:t xml:space="preserve">Кнопка BACKSPACE = функции C-k и ее можно переназначить.</w:t>
      </w:r>
    </w:p>
    <w:p>
      <w:pPr>
        <w:numPr>
          <w:ilvl w:val="0"/>
          <w:numId w:val="1016"/>
        </w:numPr>
      </w:pPr>
      <w:r>
        <w:t xml:space="preserve">Редактор Emacs мне показался удобнее, так как в нем больше возможностей по сравнению с vi.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7b17300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Мальсагов Мухаммад Абу-Бакарович</dc:creator>
  <dc:language>ru-RU</dc:language>
  <cp:keywords/>
  <dcterms:created xsi:type="dcterms:W3CDTF">2022-09-11T10:34:26Z</dcterms:created>
  <dcterms:modified xsi:type="dcterms:W3CDTF">2022-09-11T10:34:26Z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Текстовой редактор emacs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