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901"/>
        <w:gridCol w:w="2564"/>
        <w:gridCol w:w="2514"/>
        <w:gridCol w:w="2258"/>
        <w:gridCol w:w="2514"/>
        <w:gridCol w:w="2319"/>
        <w:gridCol w:w="2392"/>
      </w:tblGrid>
      <w:tr>
        <w:trPr>
          <w:trHeight w:val="7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Slightly Elevated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Highly Elevated</w:t>
            </w:r>
          </w:p>
        </w:tc>
      </w:tr>
      <w:tr>
        <w:trPr>
          <w:trHeight w:val="777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(N=4)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Fatigue Severity Scale Change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-0.0494 (0.361)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-0.744 (0.931)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0.311 (0.709)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0.472 (0.467)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-0.247 (0.949)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0.722 (1.75)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Aerobic Capacity Change from baseline (mL/min/kg)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0.353 (3.62)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 (2.58)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1.73 (2.20)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4.45 (3.65)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 (3.03)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-1.55 (3.63)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Oxygen Uptake change from baseline (mL/min)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26.6 (278)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 (258)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 (181)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296 (233)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17.1 (159)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-184 (304)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 (3.43)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-0.333 (4.31)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 (3.83)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 (2.78)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-1.00 (2.58)</w:t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SF-36 Mental Change from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3.34 [0.864, 5.51]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-0.240 [-3.36, 2.02]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-7.97 [-21.5, -4.18]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0.861 [-3.69, 1.97]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3.48 [1.90, 11.0]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-0.855 [-3.31, 4.93]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SF-36 Physical Change from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-3.55 [-4.11, -2.80]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 [-1.59, 3.60]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0.586 [-5.05, 6.62]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-0.135 [-1.77, 0.906]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0.0301 [-2.22, 1.10]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3.36 [2.57, 4.57]</w:t>
            </w:r>
          </w:p>
        </w:tc>
      </w:tr>
      <w:tr>
        <w:trPr>
          <w:trHeight w:val="61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Change in energy intake (kcal)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-110 (367)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-132 (267)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-572 (1760)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-135 (159)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-228 (280)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317 (291)</w:t>
            </w:r>
          </w:p>
        </w:tc>
      </w:tr>
      <w:tr>
        <w:trPr>
          <w:trHeight w:val="617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Change in MVPA (minutes)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2.69 [-6.22, 21.8]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8.50 [3.95, 14.7]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4.15 [-3.04, 5.08]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2.86 [-3.23, 6.42]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-4.36 [-11.1, 7.19]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5.76 [-8.99, 24.9]</w:t>
            </w:r>
          </w:p>
        </w:tc>
      </w:tr>
      <w:tr>
        <w:trPr>
          <w:trHeight w:val="617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Change in BMI (kg/m²)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0.0107 [-0.362, 0.347]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-0.157 [-0.661, 0.119]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[-0.224, 0.00142]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-0.104 [-0.242, 0.101]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-0.236 [-0.500, 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-0.420 [-1.21, 0.306]</w:t>
            </w:r>
          </w:p>
        </w:tc>
      </w:tr>
    </w:tbl>
    <w:sectPr w:officer="true"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2026-05-30T21:33:34Z</dcterms:modified>
  <cp:category/>
</cp:coreProperties>
</file>