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901"/>
        <w:gridCol w:w="2759"/>
        <w:gridCol w:w="2710"/>
      </w:tblGrid>
      <w:tr>
        <w:trPr>
          <w:trHeight w:val="7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(N=27)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(N=12)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Fatigue Severity Scale Change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-0.0185 (0.715)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-0.444 (0.959)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Aerobic Capacity Change from baseline (mL/min/kg)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0.961 (2.96)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3.14 (3.63)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Oxygen Uptake change from baseline (mL/min)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35.8 (203)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185 (263)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 (3.11)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0.545 (3.98)</w:t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SF-36 Mental Change from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2.78 [-1.76, 5.91]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 [-3.76, 1.99]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SF-36 Physical Change from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-2.27 [-3.75, 1.03]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-0.223 [-1.88, 3.10]</w:t>
            </w:r>
          </w:p>
        </w:tc>
      </w:tr>
      <w:tr>
        <w:trPr>
          <w:trHeight w:val="61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Change in energy intake (kcal)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-248 (639)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-15.7 (305)</w:t>
            </w:r>
          </w:p>
        </w:tc>
      </w:tr>
      <w:tr>
        <w:trPr>
          <w:trHeight w:val="617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Change in MVPA (minutes)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-2.52 [-10.2, 10.8]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7.96 [-0.693, 26.5]</w:t>
            </w:r>
          </w:p>
        </w:tc>
      </w:tr>
      <w:tr>
        <w:trPr>
          <w:trHeight w:val="617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Change in BMI (kg/m²)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-0.00502 [-0.409, 0.130]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-0.141 [-0.631, -0.0325]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2026-05-28T07:53:20Z</dcterms:modified>
  <cp:category/>
</cp:coreProperties>
</file>