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70"/>
        <w:gridCol w:w="2368"/>
        <w:gridCol w:w="2368"/>
        <w:gridCol w:w="2368"/>
      </w:tblGrid>
      <w:tr>
        <w:trPr>
          <w:trHeight w:val="7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(N=39)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(87.2%)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(12.8%)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(7.7%)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(84.6%)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Middle-Eastern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 [29.0, 43.5]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 [34.3, 52.5]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 [29.5, 47.0]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 [59.3, 77.8]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67.5 [58.2, 89.5]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 [58.6, 80.2]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Waist/Height Ratio at baseline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 [0.425, 0.508]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 [0.422, 0.508]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0.451 [0.425, 0.508]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[21.8, 27.5]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[20.6, 26.0]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[21.6, 26.8]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 Duration (Months)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[46.0, 197]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[48.8, 247]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[47.0, 203]</w:t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[2.00,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[3.00, 8.00]</w:t>
            </w:r>
          </w:p>
        </w:tc>
      </w:tr>
      <w:tr>
        <w:trPr>
          <w:trHeight w:val="61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SLICC-Eular/ACR-2019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[20.5, 35.0]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[17.0, 29.5]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 [19.5, 34.5]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 (5.57)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 (9.61)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 (7.00)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HRmax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[170, 191]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[156, 179]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[165, 187]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Borg-Scale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[17.0,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[16.8, 18.0]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[17.0, 18.0]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Wattage - Screening (Watt)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 [142, 196]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[124, 225]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 [131, 219]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 (5.35)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(7.98)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 (6.26)</w:t>
            </w:r>
          </w:p>
        </w:tc>
      </w:tr>
      <w:tr>
        <w:trPr>
          <w:trHeight w:val="61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HRmax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[171, 185]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[155, 180]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 [159, 181]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Borg-Scale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[17.0,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[16.8, 18.0]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[17.0, 19.0]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Wattage - Baseline (Watt)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[156, 199]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 [127, 229]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[144, 218]</w:t>
            </w:r>
          </w:p>
        </w:tc>
      </w:tr>
      <w:tr>
        <w:trPr>
          <w:trHeight w:val="61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[3.78, 5.83]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[4.31, 6.08]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[3.94, 5.94]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Fatigue - Patient (1-100)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 [30.0, 70.0]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 [60.0, 80.0]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60.0 [30.0, 80.0]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overall disease activity - patient (1-10)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[2.00,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[2.00, 5.50]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[2.00, 5.00]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overall disease activity - physician (1-100)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 [8.09, 26.2]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 [6.67, 33.5]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[7.42, 30.2]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Component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 [36.3, 53.8]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41.6 [32.8, 48.9]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 [35.5, 52.8]</w:t>
            </w:r>
          </w:p>
        </w:tc>
      </w:tr>
      <w:tr>
        <w:trPr>
          <w:trHeight w:val="61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Component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 [36.7, 53.5]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 [42.9, 55.2]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 [38.0, 54.2]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Daily time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 (26.1)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 (15.4)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 (24.1)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(20.5%)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Former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(23.1%)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Never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(48.7%)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pack years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 [1.00,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 [4.00, 14.8]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 [1.00, 10.8]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7100 (1860)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8490 (1910)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7690 (1970)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74.6 [60.8, 88.1]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75.6 [54.9, 86.7]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74.8 [55.7, 89.7]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[140, 205]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 [161, 299]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 [143, 221]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72.2 [57.7, 77.1]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83.3 [80.1, 90.1]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78.0 [62.7, 86.6]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Adipose Tissue on DXA scan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 [30.8, 41.6]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 [30.2, 39.0]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 [30.2, 40.5]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Adipose Tissue on DXA scan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 [18.9, 32.0]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 [17.3, 28.8]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 [18.2, 30.3]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Android fat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 [1.15, 3.34]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 [1.42, 3.35]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 [1.15, 3.34]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Gynoid fat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 [4.12, 6.70]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4.49 [3.77, 6.21]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 [4.09, 6.70]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lean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 [37.3, 45.7]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42.3 [35.0, 48.0]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 [36.7, 45.9]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 IFN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 [1.00, 4.57]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[0.350, 2.68]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 [0.562, 4.28]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IFN-1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 [0.889, 4.73]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[0.292, 2.86]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 [0.652, 4.56]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Hemoglobin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 (0.600)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 (0.698)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7.78 (0.648)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 (41.4)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 (49.0)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Estimated Glomerular Filtration Rate (ml/min/1.73m²)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 [68.5, 83.5]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82.0 [80.5, 85.5]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80.5 [73.0, 84.3]</w:t>
            </w:r>
          </w:p>
        </w:tc>
      </w:tr>
      <w:tr>
        <w:trPr>
          <w:trHeight w:val="617" w:hRule="auto"/>
        </w:trPr>
        body51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β2 microglobuline (mg/L)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 [1.80, 2.47]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[1.65, 2.54]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 [1.73, 2.52]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 1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Categorical variables given as N(Percentage)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Variables assumed to be normally distributed given as Mean(SD)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Variables without assumption of normality given as Median [Q1,Q3]</w:t>
            </w:r>
          </w:p>
        </w:tc>
      </w:tr>
      <w:tr>
        <w:trPr>
          <w:trHeight w:val="360" w:hRule="auto"/>
        </w:trPr>
        footer 3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 1 denotes the first test done on the initial visit.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Test 2 denotes the second test done following the OGTT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SLE: Systemic Lupus Erythematosus, SLEDAI: Systemic Lupus Erythematosus Disease Activity Index, SLICC EULAR/ACR 2019: Systemic Lupus International Classification Criteria point as defined by American College of Rheumatology &amp; European League Against Rheumatism in 2019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FSS: Fatigue Severity Scale, IFN: Interferon, DXA: Dual X-ray Absorptiometry Scan, VO₂max: Maximal Oxygen Uptake, not corrected for body weight, MVPA: Moderate or Vigorous Activity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2026-05-28T07:52:09Z</dcterms:modified>
  <cp:category/>
</cp:coreProperties>
</file>