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96"/>
        <w:gridCol w:w="2001"/>
        <w:gridCol w:w="2001"/>
        <w:gridCol w:w="2001"/>
      </w:tblGrid>
      <w:tr>
        <w:trPr>
          <w:trHeight w:val="78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5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[19.5, 34.5]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Anti-DsDNA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(66.7%)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(33.3%)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Anti-Smith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Fever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(76.9%)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(23.1%)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Cutaneous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(79.5%)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Subacute Cutaneous or Discoid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(56.4%)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Oral Ulcers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(17.9%)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(82.1%)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Non-Scarring Alopecia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(25.6%)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(74.4%)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Mucocutaneous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Synovitis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(53.8%)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Athralgias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(71.8%)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(28.2%)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joint pain or swelling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(94.9%)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Seizures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Psychosis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(100%)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Delirium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(10.3%)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(89.7%)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neurologic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(76.9%)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(23.1%)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Pericarditis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(97.4%)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Pleural or Pericardial Effusion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(41.0%)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(59.0%)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serositis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(56.4%)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Autoimmune Hemolytic Anemia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(30.8%)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(69.2%)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(94.9%)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(97.4%)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Hematologic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(64.1%)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(35.9%)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III or IV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(33.3%)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(66.7%)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 or 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(94.9%)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Proteinuria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(15.4%)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(84.6%)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nephrologic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(53.8%)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Anti-Beta2-Glycoprotein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(33.3%)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(66.7%)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Lupus Anti Coagulant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(17.9%)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(82.1%)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 Cardiolipins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(35.9%)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(64.1%)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Anti Phospholipids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(53.8%)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and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(53.8%)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(33.3%)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(66.7%)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2024-12-09T15:12:33Z</dcterms:modified>
  <cp:category/>
</cp:coreProperties>
</file>