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55A" w14:textId="658C8D4C" w:rsidR="006B731F" w:rsidRDefault="00552F8E" w:rsidP="008D51C8">
      <w:pPr>
        <w:pStyle w:val="Ttulo1"/>
        <w:rPr>
          <w:caps w:val="0"/>
        </w:rPr>
      </w:pPr>
      <w:bookmarkStart w:id="0" w:name="_Toc70088249"/>
      <w:r>
        <w:t xml:space="preserve">4 </w:t>
      </w:r>
      <w:commentRangeStart w:id="1"/>
      <w:r>
        <w:t>Artigo</w:t>
      </w:r>
      <w:commentRangeEnd w:id="1"/>
      <w:r w:rsidR="00940A9F">
        <w:rPr>
          <w:rStyle w:val="Refdecomentrio"/>
          <w:rFonts w:eastAsiaTheme="minorHAnsi" w:cstheme="minorBidi"/>
          <w:b w:val="0"/>
          <w:bCs w:val="0"/>
          <w:caps w:val="0"/>
          <w:lang w:val="x-none" w:eastAsia="x-none"/>
        </w:rPr>
        <w:commentReference w:id="1"/>
      </w:r>
      <w:bookmarkEnd w:id="0"/>
      <w:r>
        <w:t xml:space="preserve"> </w:t>
      </w:r>
    </w:p>
    <w:p w14:paraId="28533734" w14:textId="1605B7CB" w:rsidR="005E28C7" w:rsidRDefault="005E28C7" w:rsidP="00822B4D">
      <w:bookmarkStart w:id="3" w:name="_Hlk62459386"/>
      <w:bookmarkStart w:id="4" w:name="_Hlk61704110"/>
      <w:r>
        <w:t>(...)</w:t>
      </w:r>
    </w:p>
    <w:p w14:paraId="4A95E4EA" w14:textId="77777777" w:rsidR="004B5B58" w:rsidRDefault="004B5B58" w:rsidP="00822B4D"/>
    <w:p w14:paraId="6B9DBC96" w14:textId="5043E2D3" w:rsidR="00142165" w:rsidRPr="005E28C7" w:rsidRDefault="00142165" w:rsidP="00822B4D">
      <w:r w:rsidRPr="005E28C7">
        <w:t>Resultados</w:t>
      </w:r>
    </w:p>
    <w:p w14:paraId="07A6432B" w14:textId="3E0581E4" w:rsidR="00142165" w:rsidRPr="005E28C7" w:rsidRDefault="00142165" w:rsidP="00822B4D">
      <w:r w:rsidRPr="005E28C7">
        <w:t>Um total de 1.172 admissões foram consideradas elegíveis. Dos 268 prontuários selecionados, apenas 219 puderam ser acessados pelos pesquisadores. Desses, 20 foram excluídos: nove por</w:t>
      </w:r>
      <w:r w:rsidR="00560C2B">
        <w:t xml:space="preserve"> tempo de</w:t>
      </w:r>
      <w:r w:rsidRPr="005E28C7">
        <w:t xml:space="preserve"> internação hospitalar inferior a 24 horas, nove devido ao período de internação não corresponder ao período de inclusão no estudo e dois por se referirem a prontuários de doadores cadáveres para transplante de órgãos sólidos. Uma rodada extra de randomização selecionou 12 admissões adicionais, totalizando 211 prontuários (Figura </w:t>
      </w:r>
      <w:r w:rsidR="000C0A5C">
        <w:t>1</w:t>
      </w:r>
      <w:r w:rsidRPr="005E28C7">
        <w:t>). A indisponibilidade de prontuários para pesquisa foi justificada pelas características de armazenamento remoto de grandes prontuários e sua utilização para outras finalidades, como atendimento médico, auditoria ou faturamento.</w:t>
      </w:r>
    </w:p>
    <w:bookmarkEnd w:id="3"/>
    <w:bookmarkEnd w:id="4"/>
    <w:p w14:paraId="3ED64C8D" w14:textId="3AA893A2" w:rsidR="00822B4D" w:rsidRPr="00965AD9" w:rsidRDefault="00822B4D" w:rsidP="00822B4D"/>
    <w:p w14:paraId="064DE579" w14:textId="77777777" w:rsidR="005E28C7" w:rsidRDefault="006E1899" w:rsidP="005E28C7">
      <w:pPr>
        <w:keepNext/>
        <w:jc w:val="center"/>
      </w:pPr>
      <w:r>
        <w:rPr>
          <w:noProof/>
          <w:lang w:val="en-US"/>
        </w:rPr>
        <w:drawing>
          <wp:inline distT="0" distB="0" distL="0" distR="0" wp14:anchorId="7F2F96BD" wp14:editId="01059B2C">
            <wp:extent cx="3870251" cy="3256704"/>
            <wp:effectExtent l="0" t="0" r="0" b="127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3809" cy="3301772"/>
                    </a:xfrm>
                    <a:prstGeom prst="rect">
                      <a:avLst/>
                    </a:prstGeom>
                    <a:noFill/>
                  </pic:spPr>
                </pic:pic>
              </a:graphicData>
            </a:graphic>
          </wp:inline>
        </w:drawing>
      </w:r>
    </w:p>
    <w:p w14:paraId="4B859EAF" w14:textId="133E3783" w:rsidR="00D32681" w:rsidRPr="00965AD9" w:rsidRDefault="005E28C7" w:rsidP="005E28C7">
      <w:pPr>
        <w:pStyle w:val="Legenda"/>
        <w:ind w:left="1560"/>
      </w:pPr>
      <w:r>
        <w:t xml:space="preserve">Figura </w:t>
      </w:r>
      <w:r w:rsidR="001E4B39">
        <w:fldChar w:fldCharType="begin"/>
      </w:r>
      <w:r w:rsidR="001E4B39">
        <w:instrText xml:space="preserve"> SEQ Figura \* ARABIC </w:instrText>
      </w:r>
      <w:r w:rsidR="001E4B39">
        <w:fldChar w:fldCharType="separate"/>
      </w:r>
      <w:r>
        <w:rPr>
          <w:noProof/>
        </w:rPr>
        <w:t>1</w:t>
      </w:r>
      <w:r w:rsidR="001E4B39">
        <w:rPr>
          <w:noProof/>
        </w:rPr>
        <w:fldChar w:fldCharType="end"/>
      </w:r>
      <w:r>
        <w:t xml:space="preserve"> – Processo de seleção da amostra</w:t>
      </w:r>
    </w:p>
    <w:p w14:paraId="311CBE6A" w14:textId="77777777" w:rsidR="00B74591" w:rsidRPr="00965AD9" w:rsidRDefault="00B74591" w:rsidP="00B74591">
      <w:pPr>
        <w:jc w:val="center"/>
      </w:pPr>
    </w:p>
    <w:p w14:paraId="4B27AE0F" w14:textId="7F6C7606" w:rsidR="00117247" w:rsidRPr="005E28C7" w:rsidRDefault="00A67626" w:rsidP="0062262E">
      <w:r w:rsidRPr="005E28C7">
        <w:t>Entre as 2</w:t>
      </w:r>
      <w:r w:rsidR="006E1899" w:rsidRPr="005E28C7">
        <w:t>1</w:t>
      </w:r>
      <w:r w:rsidRPr="005E28C7">
        <w:t>1 internações</w:t>
      </w:r>
      <w:r w:rsidR="00142165" w:rsidRPr="005E28C7">
        <w:t xml:space="preserve"> da amostra final</w:t>
      </w:r>
      <w:r w:rsidRPr="005E28C7">
        <w:t>, 134 (63,%%) eram de mulheres, 63</w:t>
      </w:r>
      <w:r w:rsidR="005F7DA7" w:rsidRPr="005E28C7">
        <w:t xml:space="preserve"> (29,9%)</w:t>
      </w:r>
      <w:r w:rsidRPr="005E28C7">
        <w:t xml:space="preserve"> </w:t>
      </w:r>
      <w:commentRangeStart w:id="5"/>
      <w:r w:rsidRPr="005E28C7">
        <w:t>eram</w:t>
      </w:r>
      <w:commentRangeEnd w:id="5"/>
      <w:r w:rsidR="00412507">
        <w:rPr>
          <w:rStyle w:val="Refdecomentrio"/>
          <w:lang w:val="x-none" w:eastAsia="x-none"/>
        </w:rPr>
        <w:commentReference w:id="5"/>
      </w:r>
      <w:r w:rsidRPr="005E28C7">
        <w:t xml:space="preserve"> de pacientes com 60 anos ou mais</w:t>
      </w:r>
      <w:r w:rsidR="005F7DA7" w:rsidRPr="005E28C7">
        <w:t>,</w:t>
      </w:r>
      <w:r w:rsidR="0062262E" w:rsidRPr="005E28C7">
        <w:t xml:space="preserve"> 172</w:t>
      </w:r>
      <w:r w:rsidR="005F7DA7" w:rsidRPr="005E28C7">
        <w:t xml:space="preserve"> (81,5%)</w:t>
      </w:r>
      <w:r w:rsidR="0062262E" w:rsidRPr="005E28C7">
        <w:t xml:space="preserve"> </w:t>
      </w:r>
      <w:r w:rsidR="005F7DA7" w:rsidRPr="005E28C7">
        <w:t xml:space="preserve">ocorreram </w:t>
      </w:r>
      <w:r w:rsidR="0062262E" w:rsidRPr="005E28C7">
        <w:t>em caráter de urgência</w:t>
      </w:r>
      <w:r w:rsidR="00B74591" w:rsidRPr="005E28C7">
        <w:t xml:space="preserve"> e</w:t>
      </w:r>
      <w:r w:rsidR="005F7DA7" w:rsidRPr="005E28C7">
        <w:t xml:space="preserve"> 47 </w:t>
      </w:r>
      <w:r w:rsidR="00A446E7" w:rsidRPr="005E28C7">
        <w:t xml:space="preserve">(22,3%) </w:t>
      </w:r>
      <w:r w:rsidR="005F7DA7" w:rsidRPr="005E28C7">
        <w:t xml:space="preserve">eram de pacientes </w:t>
      </w:r>
      <w:r w:rsidR="00A446E7" w:rsidRPr="005E28C7">
        <w:t xml:space="preserve">com </w:t>
      </w:r>
      <w:r w:rsidR="005F7DA7" w:rsidRPr="005E28C7">
        <w:t xml:space="preserve">Índice de Comorbidade de Charlson </w:t>
      </w:r>
      <w:r w:rsidR="005F7DA7" w:rsidRPr="005E28C7">
        <w:lastRenderedPageBreak/>
        <w:t xml:space="preserve">maior ou igual a 3, ou seja, considerados alto ou muito alto. </w:t>
      </w:r>
      <w:r w:rsidR="00A446E7" w:rsidRPr="005E28C7">
        <w:t xml:space="preserve">Quanto ao tipo de internação, 90 (42,7%) foram por motivos cirúrgicos, 76 (36,0%) clínicos e 45 (21,3%) obstétricos. </w:t>
      </w:r>
      <w:r w:rsidR="0048381C" w:rsidRPr="005E28C7">
        <w:t xml:space="preserve">O tempo médio de duração das internações incluídas nas amostras foi de 12,2 </w:t>
      </w:r>
      <w:r w:rsidR="0048381C" w:rsidRPr="005E28C7">
        <w:rPr>
          <w:highlight w:val="yellow"/>
        </w:rPr>
        <w:t xml:space="preserve">dias (Desvio padrão </w:t>
      </w:r>
      <w:commentRangeStart w:id="6"/>
      <w:r w:rsidR="0048381C" w:rsidRPr="005E28C7">
        <w:rPr>
          <w:highlight w:val="yellow"/>
        </w:rPr>
        <w:t>XXX</w:t>
      </w:r>
      <w:commentRangeEnd w:id="6"/>
      <w:r w:rsidR="005E28C7">
        <w:rPr>
          <w:rStyle w:val="Refdecomentrio"/>
          <w:lang w:val="x-none" w:eastAsia="x-none"/>
        </w:rPr>
        <w:commentReference w:id="6"/>
      </w:r>
      <w:r w:rsidR="0048381C" w:rsidRPr="005E28C7">
        <w:rPr>
          <w:highlight w:val="yellow"/>
        </w:rPr>
        <w:t>)</w:t>
      </w:r>
      <w:r w:rsidR="0048381C" w:rsidRPr="005E28C7">
        <w:t xml:space="preserve">, o que somou um total de 2.571 pacientes-dia. Devido às características metodológicas de corte transversal estabelecidas pelo padrão referência, apenas os dias de internação que estavam dentro do período da pesquisa foram contados, o que resultou em 1.393 pacientes-dia. </w:t>
      </w:r>
      <w:bookmarkStart w:id="7" w:name="_Hlk72069025"/>
      <w:r w:rsidR="0048381C" w:rsidRPr="000C0A5C">
        <w:rPr>
          <w:highlight w:val="yellow"/>
        </w:rPr>
        <w:t>Das 211 internações, 150 tiveram mais de 75% do tempo</w:t>
      </w:r>
      <w:r w:rsidR="00B74591" w:rsidRPr="000C0A5C">
        <w:rPr>
          <w:highlight w:val="yellow"/>
        </w:rPr>
        <w:t xml:space="preserve"> de hospitalização</w:t>
      </w:r>
      <w:r w:rsidR="0048381C" w:rsidRPr="000C0A5C">
        <w:rPr>
          <w:highlight w:val="yellow"/>
        </w:rPr>
        <w:t xml:space="preserve"> incluídos no estudo, o que representa 717 pacientes-dia, 23 tiveram 50-74% (358 pacientes-dia), 24 tiveram 25-49% (263 pacientes-dia) e 14 tiveram 4-24% (55 pacientes-</w:t>
      </w:r>
      <w:commentRangeStart w:id="8"/>
      <w:r w:rsidR="0048381C" w:rsidRPr="000C0A5C">
        <w:rPr>
          <w:highlight w:val="yellow"/>
        </w:rPr>
        <w:t>dia</w:t>
      </w:r>
      <w:commentRangeEnd w:id="8"/>
      <w:r w:rsidR="0081017E">
        <w:rPr>
          <w:rStyle w:val="Refdecomentrio"/>
          <w:lang w:val="x-none" w:eastAsia="x-none"/>
        </w:rPr>
        <w:commentReference w:id="8"/>
      </w:r>
      <w:r w:rsidR="0048381C" w:rsidRPr="000C0A5C">
        <w:rPr>
          <w:highlight w:val="yellow"/>
        </w:rPr>
        <w:t>).</w:t>
      </w:r>
      <w:r w:rsidR="0048381C" w:rsidRPr="005E28C7">
        <w:t xml:space="preserve"> </w:t>
      </w:r>
      <w:bookmarkEnd w:id="7"/>
    </w:p>
    <w:p w14:paraId="23948E4D" w14:textId="480A3CC7" w:rsidR="00784B7C" w:rsidRDefault="00784B7C" w:rsidP="00784B7C">
      <w:pPr>
        <w:spacing w:line="276" w:lineRule="auto"/>
        <w:ind w:right="1955"/>
        <w:jc w:val="left"/>
        <w:rPr>
          <w:rFonts w:eastAsia="Times New Roman" w:cs="Arial"/>
          <w:sz w:val="20"/>
          <w:szCs w:val="20"/>
        </w:rPr>
      </w:pPr>
    </w:p>
    <w:p w14:paraId="74BFBFF2" w14:textId="31E1A2E4" w:rsidR="00700B19" w:rsidRDefault="00D6467D" w:rsidP="00280DB7">
      <w:r>
        <w:t>F</w:t>
      </w:r>
      <w:r w:rsidR="00700B19">
        <w:t>or</w:t>
      </w:r>
      <w:r w:rsidR="00E83486">
        <w:t>am</w:t>
      </w:r>
      <w:r w:rsidR="00700B19">
        <w:t xml:space="preserve"> identificados </w:t>
      </w:r>
      <w:r>
        <w:t>627</w:t>
      </w:r>
      <w:r w:rsidR="00E83486">
        <w:t xml:space="preserve"> </w:t>
      </w:r>
      <w:r w:rsidR="00700B19">
        <w:t xml:space="preserve">rastreadores </w:t>
      </w:r>
      <w:r>
        <w:t>pelo método padrão referência, dos quais 27</w:t>
      </w:r>
      <w:r w:rsidR="009B341E">
        <w:t>4</w:t>
      </w:r>
      <w:r>
        <w:t xml:space="preserve"> </w:t>
      </w:r>
      <w:r w:rsidR="00EB6370">
        <w:t>(43,</w:t>
      </w:r>
      <w:r w:rsidR="009B341E">
        <w:t>7</w:t>
      </w:r>
      <w:r w:rsidR="00EB6370">
        <w:t xml:space="preserve">%) </w:t>
      </w:r>
      <w:commentRangeStart w:id="9"/>
      <w:r>
        <w:t>foram</w:t>
      </w:r>
      <w:commentRangeEnd w:id="9"/>
      <w:r w:rsidR="003F2D79">
        <w:rPr>
          <w:rStyle w:val="Refdecomentrio"/>
          <w:lang w:val="x-none" w:eastAsia="x-none"/>
        </w:rPr>
        <w:commentReference w:id="9"/>
      </w:r>
      <w:r>
        <w:t xml:space="preserve"> positivos para a ocorrência de eventos adversos.</w:t>
      </w:r>
      <w:r w:rsidR="00164761">
        <w:t xml:space="preserve"> Os rastreadores mais frequentes foram</w:t>
      </w:r>
      <w:r w:rsidR="00A446E7">
        <w:t xml:space="preserve"> os de cuidado </w:t>
      </w:r>
      <w:r w:rsidR="00E74393">
        <w:t xml:space="preserve">quase </w:t>
      </w:r>
      <w:r w:rsidR="00A446E7">
        <w:t xml:space="preserve">em tempo real </w:t>
      </w:r>
      <w:r w:rsidR="00B74591">
        <w:t xml:space="preserve">coletados por meio de entrevistas com os profissionais da assistência durante as visitas </w:t>
      </w:r>
      <w:r w:rsidR="0035409B">
        <w:t xml:space="preserve">diárias aos setores de cuidado </w:t>
      </w:r>
      <w:r w:rsidR="00A446E7">
        <w:t>(n=35</w:t>
      </w:r>
      <w:r w:rsidR="009B341E">
        <w:t>7</w:t>
      </w:r>
      <w:r w:rsidR="00A446E7">
        <w:t>)</w:t>
      </w:r>
      <w:r w:rsidR="00164761">
        <w:t xml:space="preserve">, </w:t>
      </w:r>
      <w:r w:rsidR="00464972">
        <w:t>seguido</w:t>
      </w:r>
      <w:r w:rsidR="00A446E7">
        <w:t>s</w:t>
      </w:r>
      <w:r w:rsidR="00464972">
        <w:t xml:space="preserve"> da</w:t>
      </w:r>
      <w:r w:rsidR="00A446E7">
        <w:t>queles referentes às</w:t>
      </w:r>
      <w:r w:rsidR="00464972">
        <w:t xml:space="preserve"> </w:t>
      </w:r>
      <w:r w:rsidR="0035409B">
        <w:t xml:space="preserve">solicitações de </w:t>
      </w:r>
      <w:r w:rsidR="00464972">
        <w:t>autorizaç</w:t>
      </w:r>
      <w:r w:rsidR="0035409B">
        <w:t>ão</w:t>
      </w:r>
      <w:r w:rsidR="00464972">
        <w:t xml:space="preserve"> para início de antibióticos (n=85) e </w:t>
      </w:r>
      <w:r w:rsidR="00A446E7">
        <w:t>aos</w:t>
      </w:r>
      <w:r w:rsidR="00464972">
        <w:t xml:space="preserve"> resultado</w:t>
      </w:r>
      <w:r w:rsidR="0035409B">
        <w:t>s</w:t>
      </w:r>
      <w:r w:rsidR="00464972">
        <w:t xml:space="preserve"> de exames laboratoriais alterados (n=49).</w:t>
      </w:r>
      <w:r w:rsidR="00164761">
        <w:t xml:space="preserve"> A frequência de ocorrência</w:t>
      </w:r>
      <w:r w:rsidR="0035409B">
        <w:t xml:space="preserve"> e de positividade</w:t>
      </w:r>
      <w:r w:rsidR="00164761">
        <w:t xml:space="preserve"> dos rastreadores do método padrão referência </w:t>
      </w:r>
      <w:r w:rsidR="00142165">
        <w:t>por</w:t>
      </w:r>
      <w:r w:rsidR="003B2F28">
        <w:t xml:space="preserve"> cada tipo de fonte e</w:t>
      </w:r>
      <w:r w:rsidR="00164761">
        <w:t>st</w:t>
      </w:r>
      <w:r w:rsidR="00142165">
        <w:t xml:space="preserve">á </w:t>
      </w:r>
      <w:r w:rsidR="00164761">
        <w:t>descrit</w:t>
      </w:r>
      <w:r w:rsidR="00142165">
        <w:t>a</w:t>
      </w:r>
      <w:r w:rsidR="00164761">
        <w:t xml:space="preserve"> na tabela </w:t>
      </w:r>
      <w:r w:rsidR="003B08D0">
        <w:t>1</w:t>
      </w:r>
      <w:r w:rsidR="003B2F28">
        <w:t>.</w:t>
      </w:r>
      <w:r w:rsidR="00DF61D0">
        <w:t xml:space="preserve"> </w:t>
      </w:r>
    </w:p>
    <w:p w14:paraId="493CD14F" w14:textId="3D3696CC" w:rsidR="00E83486" w:rsidRPr="00164761" w:rsidRDefault="00E83486" w:rsidP="00164761">
      <w:pPr>
        <w:spacing w:line="240" w:lineRule="auto"/>
        <w:jc w:val="center"/>
        <w:rPr>
          <w:rFonts w:eastAsia="Times New Roman" w:cs="Arial"/>
          <w:b/>
          <w:bCs/>
          <w:color w:val="000000"/>
          <w:sz w:val="20"/>
          <w:szCs w:val="20"/>
        </w:rPr>
      </w:pPr>
    </w:p>
    <w:p w14:paraId="5F13BF75" w14:textId="36BFD149" w:rsidR="003B2F28" w:rsidRDefault="003B2F28" w:rsidP="00142165">
      <w:pPr>
        <w:pStyle w:val="Legenda"/>
        <w:keepNext/>
        <w:ind w:left="426" w:right="567"/>
      </w:pPr>
      <w:r>
        <w:t xml:space="preserve">Tabela </w:t>
      </w:r>
      <w:r w:rsidR="003B08D0">
        <w:t>1</w:t>
      </w:r>
      <w:r>
        <w:t xml:space="preserve"> - Rastreadores do método referência: frequência por tipo de fonte</w:t>
      </w:r>
    </w:p>
    <w:tbl>
      <w:tblPr>
        <w:tblStyle w:val="Tabelacomgrad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560"/>
        <w:gridCol w:w="2409"/>
      </w:tblGrid>
      <w:tr w:rsidR="0035409B" w:rsidRPr="00164761" w14:paraId="11E490C9" w14:textId="77777777" w:rsidTr="00EB6370">
        <w:trPr>
          <w:trHeight w:val="454"/>
          <w:jc w:val="center"/>
        </w:trPr>
        <w:tc>
          <w:tcPr>
            <w:tcW w:w="4536" w:type="dxa"/>
            <w:tcBorders>
              <w:top w:val="single" w:sz="4" w:space="0" w:color="auto"/>
              <w:bottom w:val="single" w:sz="4" w:space="0" w:color="auto"/>
            </w:tcBorders>
            <w:vAlign w:val="center"/>
          </w:tcPr>
          <w:p w14:paraId="2B8D7322" w14:textId="48E02B14" w:rsidR="0035409B" w:rsidRPr="00164761" w:rsidRDefault="0035409B" w:rsidP="0035409B">
            <w:pPr>
              <w:spacing w:line="240" w:lineRule="auto"/>
              <w:jc w:val="left"/>
              <w:rPr>
                <w:rFonts w:eastAsia="Times New Roman" w:cs="Arial"/>
                <w:b/>
                <w:bCs/>
                <w:color w:val="000000"/>
                <w:sz w:val="20"/>
                <w:szCs w:val="20"/>
              </w:rPr>
            </w:pPr>
            <w:bookmarkStart w:id="10" w:name="_Hlk72085114"/>
            <w:r>
              <w:rPr>
                <w:rFonts w:eastAsia="Times New Roman" w:cs="Arial"/>
                <w:b/>
                <w:bCs/>
                <w:color w:val="000000"/>
                <w:sz w:val="20"/>
                <w:szCs w:val="20"/>
              </w:rPr>
              <w:t>Rastreador por tipo de fonte</w:t>
            </w:r>
          </w:p>
        </w:tc>
        <w:tc>
          <w:tcPr>
            <w:tcW w:w="1560" w:type="dxa"/>
            <w:tcBorders>
              <w:top w:val="single" w:sz="4" w:space="0" w:color="auto"/>
              <w:bottom w:val="single" w:sz="4" w:space="0" w:color="auto"/>
            </w:tcBorders>
            <w:vAlign w:val="center"/>
          </w:tcPr>
          <w:p w14:paraId="2443D919" w14:textId="48796C7D" w:rsidR="0035409B" w:rsidRPr="00164761" w:rsidRDefault="0035409B" w:rsidP="00164761">
            <w:pPr>
              <w:spacing w:line="240" w:lineRule="auto"/>
              <w:jc w:val="center"/>
              <w:rPr>
                <w:rFonts w:eastAsia="Times New Roman" w:cs="Arial"/>
                <w:b/>
                <w:bCs/>
                <w:color w:val="000000"/>
                <w:sz w:val="20"/>
                <w:szCs w:val="20"/>
              </w:rPr>
            </w:pPr>
            <w:r>
              <w:rPr>
                <w:rFonts w:eastAsia="Times New Roman" w:cs="Arial"/>
                <w:b/>
                <w:bCs/>
                <w:color w:val="000000"/>
                <w:sz w:val="20"/>
                <w:szCs w:val="20"/>
              </w:rPr>
              <w:t>Total</w:t>
            </w:r>
          </w:p>
        </w:tc>
        <w:tc>
          <w:tcPr>
            <w:tcW w:w="2409" w:type="dxa"/>
            <w:tcBorders>
              <w:top w:val="single" w:sz="4" w:space="0" w:color="auto"/>
              <w:bottom w:val="single" w:sz="4" w:space="0" w:color="auto"/>
            </w:tcBorders>
            <w:vAlign w:val="center"/>
          </w:tcPr>
          <w:p w14:paraId="2A2A2230" w14:textId="3E424E35" w:rsidR="0035409B" w:rsidRPr="00164761" w:rsidRDefault="0035409B" w:rsidP="00164761">
            <w:pPr>
              <w:spacing w:line="240" w:lineRule="auto"/>
              <w:jc w:val="center"/>
              <w:rPr>
                <w:rFonts w:eastAsia="Times New Roman" w:cs="Arial"/>
                <w:b/>
                <w:bCs/>
                <w:color w:val="000000"/>
                <w:sz w:val="20"/>
                <w:szCs w:val="20"/>
              </w:rPr>
            </w:pPr>
            <w:r w:rsidRPr="00E83486">
              <w:rPr>
                <w:rFonts w:eastAsia="Times New Roman" w:cs="Arial"/>
                <w:b/>
                <w:bCs/>
                <w:color w:val="000000"/>
                <w:sz w:val="20"/>
                <w:szCs w:val="20"/>
              </w:rPr>
              <w:t>Positivos</w:t>
            </w:r>
            <w:r>
              <w:rPr>
                <w:rFonts w:eastAsia="Times New Roman" w:cs="Arial"/>
                <w:b/>
                <w:bCs/>
                <w:color w:val="000000"/>
                <w:sz w:val="20"/>
                <w:szCs w:val="20"/>
              </w:rPr>
              <w:t xml:space="preserve"> para eventos adversos</w:t>
            </w:r>
            <w:r w:rsidR="00EB6370">
              <w:rPr>
                <w:rFonts w:eastAsia="Times New Roman" w:cs="Arial"/>
                <w:b/>
                <w:bCs/>
                <w:color w:val="000000"/>
                <w:sz w:val="20"/>
                <w:szCs w:val="20"/>
              </w:rPr>
              <w:t xml:space="preserve"> (%)</w:t>
            </w:r>
          </w:p>
        </w:tc>
      </w:tr>
      <w:tr w:rsidR="0035409B" w:rsidRPr="00164761" w14:paraId="54B7CEF2" w14:textId="77777777" w:rsidTr="00EB6370">
        <w:trPr>
          <w:trHeight w:val="454"/>
          <w:jc w:val="center"/>
        </w:trPr>
        <w:tc>
          <w:tcPr>
            <w:tcW w:w="4536" w:type="dxa"/>
            <w:tcBorders>
              <w:top w:val="single" w:sz="4" w:space="0" w:color="auto"/>
            </w:tcBorders>
            <w:vAlign w:val="center"/>
          </w:tcPr>
          <w:p w14:paraId="08932E30" w14:textId="127730BC" w:rsidR="0035409B" w:rsidRPr="0035409B" w:rsidRDefault="0035409B" w:rsidP="0035409B">
            <w:pPr>
              <w:spacing w:line="240" w:lineRule="auto"/>
              <w:jc w:val="left"/>
              <w:rPr>
                <w:rFonts w:eastAsia="Times New Roman" w:cs="Arial"/>
                <w:color w:val="000000"/>
                <w:sz w:val="20"/>
                <w:szCs w:val="20"/>
              </w:rPr>
            </w:pPr>
            <w:bookmarkStart w:id="11" w:name="_Hlk72081932"/>
            <w:r w:rsidRPr="0035409B">
              <w:rPr>
                <w:rFonts w:eastAsia="Times New Roman" w:cs="Arial"/>
                <w:color w:val="000000"/>
                <w:sz w:val="20"/>
                <w:szCs w:val="20"/>
              </w:rPr>
              <w:t>Entrevista semiestruturada com profissionais</w:t>
            </w:r>
          </w:p>
        </w:tc>
        <w:tc>
          <w:tcPr>
            <w:tcW w:w="1560" w:type="dxa"/>
            <w:tcBorders>
              <w:top w:val="single" w:sz="4" w:space="0" w:color="auto"/>
            </w:tcBorders>
            <w:vAlign w:val="center"/>
          </w:tcPr>
          <w:p w14:paraId="5A3CB6B4" w14:textId="28595295" w:rsidR="0035409B" w:rsidRPr="00164761" w:rsidRDefault="0035409B" w:rsidP="00164761">
            <w:pPr>
              <w:spacing w:line="240" w:lineRule="auto"/>
              <w:jc w:val="center"/>
              <w:rPr>
                <w:rFonts w:eastAsia="Times New Roman" w:cs="Arial"/>
                <w:color w:val="000000"/>
                <w:sz w:val="20"/>
                <w:szCs w:val="20"/>
              </w:rPr>
            </w:pPr>
            <w:r w:rsidRPr="00E83486">
              <w:rPr>
                <w:rFonts w:eastAsia="Times New Roman" w:cs="Arial"/>
                <w:color w:val="000000"/>
                <w:sz w:val="20"/>
                <w:szCs w:val="20"/>
              </w:rPr>
              <w:t>35</w:t>
            </w:r>
            <w:r w:rsidR="009B341E">
              <w:rPr>
                <w:rFonts w:eastAsia="Times New Roman" w:cs="Arial"/>
                <w:color w:val="000000"/>
                <w:sz w:val="20"/>
                <w:szCs w:val="20"/>
              </w:rPr>
              <w:t>7</w:t>
            </w:r>
          </w:p>
        </w:tc>
        <w:tc>
          <w:tcPr>
            <w:tcW w:w="2409" w:type="dxa"/>
            <w:tcBorders>
              <w:top w:val="single" w:sz="4" w:space="0" w:color="auto"/>
            </w:tcBorders>
            <w:vAlign w:val="center"/>
          </w:tcPr>
          <w:p w14:paraId="7B2834E4" w14:textId="7B0E10E3" w:rsidR="0035409B" w:rsidRPr="00164761" w:rsidRDefault="0035409B" w:rsidP="00164761">
            <w:pPr>
              <w:spacing w:line="240" w:lineRule="auto"/>
              <w:jc w:val="center"/>
              <w:rPr>
                <w:rFonts w:eastAsia="Times New Roman" w:cs="Arial"/>
                <w:color w:val="000000"/>
                <w:sz w:val="20"/>
                <w:szCs w:val="20"/>
              </w:rPr>
            </w:pPr>
            <w:r w:rsidRPr="00E83486">
              <w:rPr>
                <w:rFonts w:eastAsia="Times New Roman" w:cs="Arial"/>
                <w:color w:val="000000"/>
                <w:sz w:val="20"/>
                <w:szCs w:val="20"/>
              </w:rPr>
              <w:t>16</w:t>
            </w:r>
            <w:r>
              <w:rPr>
                <w:rFonts w:eastAsia="Times New Roman" w:cs="Arial"/>
                <w:color w:val="000000"/>
                <w:sz w:val="20"/>
                <w:szCs w:val="20"/>
              </w:rPr>
              <w:t>5</w:t>
            </w:r>
            <w:r w:rsidR="00EB6370">
              <w:rPr>
                <w:rFonts w:eastAsia="Times New Roman" w:cs="Arial"/>
                <w:color w:val="000000"/>
                <w:sz w:val="20"/>
                <w:szCs w:val="20"/>
              </w:rPr>
              <w:t xml:space="preserve"> (46,</w:t>
            </w:r>
            <w:r w:rsidR="009B341E">
              <w:rPr>
                <w:rFonts w:eastAsia="Times New Roman" w:cs="Arial"/>
                <w:color w:val="000000"/>
                <w:sz w:val="20"/>
                <w:szCs w:val="20"/>
              </w:rPr>
              <w:t>2</w:t>
            </w:r>
            <w:r w:rsidR="00EB6370">
              <w:rPr>
                <w:rFonts w:eastAsia="Times New Roman" w:cs="Arial"/>
                <w:color w:val="000000"/>
                <w:sz w:val="20"/>
                <w:szCs w:val="20"/>
              </w:rPr>
              <w:t>)</w:t>
            </w:r>
          </w:p>
        </w:tc>
      </w:tr>
      <w:tr w:rsidR="006E1899" w:rsidRPr="00164761" w14:paraId="3BCA8210" w14:textId="77777777" w:rsidTr="00EB6370">
        <w:trPr>
          <w:trHeight w:val="454"/>
          <w:jc w:val="center"/>
        </w:trPr>
        <w:tc>
          <w:tcPr>
            <w:tcW w:w="4536" w:type="dxa"/>
            <w:vAlign w:val="center"/>
          </w:tcPr>
          <w:p w14:paraId="0EA42726" w14:textId="77777777" w:rsidR="006E1899" w:rsidRPr="0035409B" w:rsidRDefault="006E1899" w:rsidP="007E406E">
            <w:pPr>
              <w:spacing w:line="240" w:lineRule="auto"/>
              <w:jc w:val="left"/>
              <w:rPr>
                <w:rFonts w:eastAsia="Times New Roman" w:cs="Arial"/>
                <w:color w:val="000000"/>
                <w:sz w:val="20"/>
                <w:szCs w:val="20"/>
              </w:rPr>
            </w:pPr>
            <w:r w:rsidRPr="0035409B">
              <w:rPr>
                <w:rFonts w:eastAsia="Times New Roman" w:cs="Arial"/>
                <w:color w:val="000000"/>
                <w:sz w:val="20"/>
                <w:szCs w:val="20"/>
              </w:rPr>
              <w:t>Autorização para início de antibióticos</w:t>
            </w:r>
          </w:p>
        </w:tc>
        <w:tc>
          <w:tcPr>
            <w:tcW w:w="1560" w:type="dxa"/>
            <w:vAlign w:val="center"/>
          </w:tcPr>
          <w:p w14:paraId="4A7E8FD5" w14:textId="77777777" w:rsidR="006E1899" w:rsidRPr="00164761" w:rsidRDefault="006E1899" w:rsidP="007E406E">
            <w:pPr>
              <w:spacing w:line="240" w:lineRule="auto"/>
              <w:jc w:val="center"/>
              <w:rPr>
                <w:rFonts w:eastAsia="Times New Roman" w:cs="Arial"/>
                <w:color w:val="000000"/>
                <w:sz w:val="20"/>
                <w:szCs w:val="20"/>
              </w:rPr>
            </w:pPr>
            <w:r w:rsidRPr="00E83486">
              <w:rPr>
                <w:rFonts w:eastAsia="Times New Roman" w:cs="Arial"/>
                <w:color w:val="000000"/>
                <w:sz w:val="20"/>
                <w:szCs w:val="20"/>
              </w:rPr>
              <w:t>85</w:t>
            </w:r>
          </w:p>
        </w:tc>
        <w:tc>
          <w:tcPr>
            <w:tcW w:w="2409" w:type="dxa"/>
            <w:vAlign w:val="center"/>
          </w:tcPr>
          <w:p w14:paraId="7460AC9A" w14:textId="5CE6B3F7" w:rsidR="006E1899" w:rsidRPr="00164761" w:rsidRDefault="006E1899" w:rsidP="007E406E">
            <w:pPr>
              <w:spacing w:line="240" w:lineRule="auto"/>
              <w:jc w:val="center"/>
              <w:rPr>
                <w:rFonts w:eastAsia="Times New Roman" w:cs="Arial"/>
                <w:color w:val="000000"/>
                <w:sz w:val="20"/>
                <w:szCs w:val="20"/>
              </w:rPr>
            </w:pPr>
            <w:r w:rsidRPr="00E83486">
              <w:rPr>
                <w:rFonts w:eastAsia="Times New Roman" w:cs="Arial"/>
                <w:color w:val="000000"/>
                <w:sz w:val="20"/>
                <w:szCs w:val="20"/>
              </w:rPr>
              <w:t>29</w:t>
            </w:r>
            <w:r w:rsidR="00EB6370">
              <w:rPr>
                <w:rFonts w:eastAsia="Times New Roman" w:cs="Arial"/>
                <w:color w:val="000000"/>
                <w:sz w:val="20"/>
                <w:szCs w:val="20"/>
              </w:rPr>
              <w:t xml:space="preserve"> (34,1)</w:t>
            </w:r>
          </w:p>
        </w:tc>
      </w:tr>
      <w:tr w:rsidR="006E1899" w:rsidRPr="00164761" w14:paraId="7BCD50DD" w14:textId="77777777" w:rsidTr="00EB6370">
        <w:trPr>
          <w:trHeight w:val="454"/>
          <w:jc w:val="center"/>
        </w:trPr>
        <w:tc>
          <w:tcPr>
            <w:tcW w:w="4536" w:type="dxa"/>
            <w:vAlign w:val="center"/>
          </w:tcPr>
          <w:p w14:paraId="4D74A70C" w14:textId="055BF19E" w:rsidR="006E1899" w:rsidRPr="0035409B" w:rsidRDefault="006E1899" w:rsidP="006E1899">
            <w:pPr>
              <w:spacing w:line="240" w:lineRule="auto"/>
              <w:jc w:val="left"/>
              <w:rPr>
                <w:rFonts w:eastAsia="Times New Roman" w:cs="Arial"/>
                <w:color w:val="000000"/>
                <w:sz w:val="20"/>
                <w:szCs w:val="20"/>
              </w:rPr>
            </w:pPr>
            <w:r w:rsidRPr="0035409B">
              <w:rPr>
                <w:rFonts w:eastAsia="Times New Roman" w:cs="Arial"/>
                <w:color w:val="000000"/>
                <w:sz w:val="20"/>
                <w:szCs w:val="20"/>
              </w:rPr>
              <w:t>Resultado de exames laboratoriais</w:t>
            </w:r>
          </w:p>
        </w:tc>
        <w:tc>
          <w:tcPr>
            <w:tcW w:w="1560" w:type="dxa"/>
            <w:vAlign w:val="center"/>
          </w:tcPr>
          <w:p w14:paraId="0F394A62" w14:textId="3350F2BF" w:rsidR="006E1899" w:rsidRPr="00E83486" w:rsidRDefault="006E1899" w:rsidP="006E1899">
            <w:pPr>
              <w:spacing w:line="240" w:lineRule="auto"/>
              <w:jc w:val="center"/>
              <w:rPr>
                <w:rFonts w:eastAsia="Times New Roman" w:cs="Arial"/>
                <w:color w:val="000000"/>
                <w:sz w:val="20"/>
                <w:szCs w:val="20"/>
              </w:rPr>
            </w:pPr>
            <w:r w:rsidRPr="00E83486">
              <w:rPr>
                <w:rFonts w:eastAsia="Times New Roman" w:cs="Arial"/>
                <w:color w:val="000000"/>
                <w:sz w:val="20"/>
                <w:szCs w:val="20"/>
              </w:rPr>
              <w:t>49</w:t>
            </w:r>
          </w:p>
        </w:tc>
        <w:tc>
          <w:tcPr>
            <w:tcW w:w="2409" w:type="dxa"/>
            <w:vAlign w:val="center"/>
          </w:tcPr>
          <w:p w14:paraId="23E74EF8" w14:textId="3A26D56F" w:rsidR="006E1899" w:rsidRPr="00E83486" w:rsidRDefault="006E1899" w:rsidP="006E1899">
            <w:pPr>
              <w:spacing w:line="240" w:lineRule="auto"/>
              <w:jc w:val="center"/>
              <w:rPr>
                <w:rFonts w:eastAsia="Times New Roman" w:cs="Arial"/>
                <w:color w:val="000000"/>
                <w:sz w:val="20"/>
                <w:szCs w:val="20"/>
              </w:rPr>
            </w:pPr>
            <w:r w:rsidRPr="00E83486">
              <w:rPr>
                <w:rFonts w:eastAsia="Times New Roman" w:cs="Arial"/>
                <w:color w:val="000000"/>
                <w:sz w:val="20"/>
                <w:szCs w:val="20"/>
              </w:rPr>
              <w:t>11</w:t>
            </w:r>
            <w:r w:rsidR="00EB6370">
              <w:rPr>
                <w:rFonts w:eastAsia="Times New Roman" w:cs="Arial"/>
                <w:color w:val="000000"/>
                <w:sz w:val="20"/>
                <w:szCs w:val="20"/>
              </w:rPr>
              <w:t xml:space="preserve"> (22,5)</w:t>
            </w:r>
          </w:p>
        </w:tc>
      </w:tr>
      <w:tr w:rsidR="006E1899" w:rsidRPr="00164761" w14:paraId="34B59781" w14:textId="77777777" w:rsidTr="00EB6370">
        <w:trPr>
          <w:trHeight w:val="454"/>
          <w:jc w:val="center"/>
        </w:trPr>
        <w:tc>
          <w:tcPr>
            <w:tcW w:w="4536" w:type="dxa"/>
            <w:vAlign w:val="center"/>
          </w:tcPr>
          <w:p w14:paraId="69842ABD" w14:textId="681CE29C" w:rsidR="006E1899" w:rsidRPr="0035409B" w:rsidRDefault="006E1899" w:rsidP="006E1899">
            <w:pPr>
              <w:spacing w:line="240" w:lineRule="auto"/>
              <w:jc w:val="left"/>
              <w:rPr>
                <w:rFonts w:eastAsia="Times New Roman" w:cs="Arial"/>
                <w:color w:val="000000"/>
                <w:sz w:val="20"/>
                <w:szCs w:val="20"/>
              </w:rPr>
            </w:pPr>
            <w:r w:rsidRPr="0035409B">
              <w:rPr>
                <w:rFonts w:eastAsia="Times New Roman" w:cs="Arial"/>
                <w:color w:val="000000"/>
                <w:sz w:val="20"/>
                <w:szCs w:val="20"/>
              </w:rPr>
              <w:t>Avaliação de notas cirúrgicas</w:t>
            </w:r>
          </w:p>
        </w:tc>
        <w:tc>
          <w:tcPr>
            <w:tcW w:w="1560" w:type="dxa"/>
            <w:vAlign w:val="center"/>
          </w:tcPr>
          <w:p w14:paraId="0E6873E6" w14:textId="372E7674" w:rsidR="006E1899" w:rsidRPr="00E83486" w:rsidRDefault="006E1899" w:rsidP="006E1899">
            <w:pPr>
              <w:spacing w:line="240" w:lineRule="auto"/>
              <w:jc w:val="center"/>
              <w:rPr>
                <w:rFonts w:eastAsia="Times New Roman" w:cs="Arial"/>
                <w:color w:val="000000"/>
                <w:sz w:val="20"/>
                <w:szCs w:val="20"/>
              </w:rPr>
            </w:pPr>
            <w:r w:rsidRPr="00E83486">
              <w:rPr>
                <w:rFonts w:eastAsia="Times New Roman" w:cs="Arial"/>
                <w:color w:val="000000"/>
                <w:sz w:val="20"/>
                <w:szCs w:val="20"/>
              </w:rPr>
              <w:t>34</w:t>
            </w:r>
          </w:p>
        </w:tc>
        <w:tc>
          <w:tcPr>
            <w:tcW w:w="2409" w:type="dxa"/>
            <w:vAlign w:val="center"/>
          </w:tcPr>
          <w:p w14:paraId="5832ECDC" w14:textId="3F9891A9" w:rsidR="006E1899" w:rsidRPr="00E83486" w:rsidRDefault="006E1899" w:rsidP="006E1899">
            <w:pPr>
              <w:spacing w:line="240" w:lineRule="auto"/>
              <w:jc w:val="center"/>
              <w:rPr>
                <w:rFonts w:eastAsia="Times New Roman" w:cs="Arial"/>
                <w:color w:val="000000"/>
                <w:sz w:val="20"/>
                <w:szCs w:val="20"/>
              </w:rPr>
            </w:pPr>
            <w:r w:rsidRPr="00E83486">
              <w:rPr>
                <w:rFonts w:eastAsia="Times New Roman" w:cs="Arial"/>
                <w:color w:val="000000"/>
                <w:sz w:val="20"/>
                <w:szCs w:val="20"/>
              </w:rPr>
              <w:t>9</w:t>
            </w:r>
            <w:r w:rsidR="00EB6370">
              <w:rPr>
                <w:rFonts w:eastAsia="Times New Roman" w:cs="Arial"/>
                <w:color w:val="000000"/>
                <w:sz w:val="20"/>
                <w:szCs w:val="20"/>
              </w:rPr>
              <w:t xml:space="preserve"> (26,5)</w:t>
            </w:r>
          </w:p>
        </w:tc>
      </w:tr>
      <w:tr w:rsidR="006E1899" w:rsidRPr="00164761" w14:paraId="36172EDA" w14:textId="77777777" w:rsidTr="00EB6370">
        <w:trPr>
          <w:trHeight w:val="454"/>
          <w:jc w:val="center"/>
        </w:trPr>
        <w:tc>
          <w:tcPr>
            <w:tcW w:w="4536" w:type="dxa"/>
            <w:vAlign w:val="center"/>
          </w:tcPr>
          <w:p w14:paraId="2A8AEDFC" w14:textId="1E0FFCAB" w:rsidR="006E1899" w:rsidRPr="0035409B" w:rsidRDefault="006E1899" w:rsidP="006E1899">
            <w:pPr>
              <w:spacing w:line="240" w:lineRule="auto"/>
              <w:jc w:val="left"/>
              <w:rPr>
                <w:rFonts w:eastAsia="Times New Roman" w:cs="Arial"/>
                <w:color w:val="000000"/>
                <w:sz w:val="20"/>
                <w:szCs w:val="20"/>
              </w:rPr>
            </w:pPr>
            <w:r w:rsidRPr="0035409B">
              <w:rPr>
                <w:rFonts w:eastAsia="Times New Roman" w:cs="Arial"/>
                <w:color w:val="000000"/>
                <w:sz w:val="20"/>
                <w:szCs w:val="20"/>
              </w:rPr>
              <w:t>Revisão diária das prescrições</w:t>
            </w:r>
          </w:p>
        </w:tc>
        <w:tc>
          <w:tcPr>
            <w:tcW w:w="1560" w:type="dxa"/>
            <w:vAlign w:val="center"/>
          </w:tcPr>
          <w:p w14:paraId="5A77989E" w14:textId="40D99E80" w:rsidR="006E1899" w:rsidRPr="00164761" w:rsidRDefault="006E1899" w:rsidP="006E1899">
            <w:pPr>
              <w:spacing w:line="240" w:lineRule="auto"/>
              <w:jc w:val="center"/>
              <w:rPr>
                <w:rFonts w:eastAsia="Times New Roman" w:cs="Arial"/>
                <w:color w:val="000000"/>
                <w:sz w:val="20"/>
                <w:szCs w:val="20"/>
              </w:rPr>
            </w:pPr>
            <w:r w:rsidRPr="00E83486">
              <w:rPr>
                <w:rFonts w:eastAsia="Times New Roman" w:cs="Arial"/>
                <w:color w:val="000000"/>
                <w:sz w:val="20"/>
                <w:szCs w:val="20"/>
              </w:rPr>
              <w:t>33</w:t>
            </w:r>
          </w:p>
        </w:tc>
        <w:tc>
          <w:tcPr>
            <w:tcW w:w="2409" w:type="dxa"/>
            <w:vAlign w:val="center"/>
          </w:tcPr>
          <w:p w14:paraId="25F53558" w14:textId="3475B7D9" w:rsidR="006E1899" w:rsidRPr="00164761" w:rsidRDefault="006E1899" w:rsidP="006E1899">
            <w:pPr>
              <w:spacing w:line="240" w:lineRule="auto"/>
              <w:jc w:val="center"/>
              <w:rPr>
                <w:rFonts w:eastAsia="Times New Roman" w:cs="Arial"/>
                <w:color w:val="000000"/>
                <w:sz w:val="20"/>
                <w:szCs w:val="20"/>
              </w:rPr>
            </w:pPr>
            <w:r w:rsidRPr="00E83486">
              <w:rPr>
                <w:rFonts w:eastAsia="Times New Roman" w:cs="Arial"/>
                <w:color w:val="000000"/>
                <w:sz w:val="20"/>
                <w:szCs w:val="20"/>
              </w:rPr>
              <w:t>15</w:t>
            </w:r>
            <w:r w:rsidR="00EB6370">
              <w:rPr>
                <w:rFonts w:eastAsia="Times New Roman" w:cs="Arial"/>
                <w:color w:val="000000"/>
                <w:sz w:val="20"/>
                <w:szCs w:val="20"/>
              </w:rPr>
              <w:t xml:space="preserve"> (45,5)</w:t>
            </w:r>
          </w:p>
        </w:tc>
      </w:tr>
      <w:tr w:rsidR="006E1899" w:rsidRPr="00164761" w14:paraId="06C790BB" w14:textId="77777777" w:rsidTr="00EB6370">
        <w:trPr>
          <w:trHeight w:val="454"/>
          <w:jc w:val="center"/>
        </w:trPr>
        <w:tc>
          <w:tcPr>
            <w:tcW w:w="4536" w:type="dxa"/>
            <w:vAlign w:val="center"/>
          </w:tcPr>
          <w:p w14:paraId="20579632" w14:textId="1C629851" w:rsidR="006E1899" w:rsidRPr="0035409B" w:rsidRDefault="006E1899" w:rsidP="006E1899">
            <w:pPr>
              <w:spacing w:line="240" w:lineRule="auto"/>
              <w:jc w:val="left"/>
              <w:rPr>
                <w:rFonts w:eastAsia="Times New Roman" w:cs="Arial"/>
                <w:color w:val="000000"/>
                <w:sz w:val="20"/>
                <w:szCs w:val="20"/>
              </w:rPr>
            </w:pPr>
            <w:r w:rsidRPr="0035409B">
              <w:rPr>
                <w:rFonts w:eastAsia="Times New Roman" w:cs="Arial"/>
                <w:color w:val="000000"/>
                <w:sz w:val="20"/>
                <w:szCs w:val="20"/>
              </w:rPr>
              <w:t>Achados em prontuário durante coleta ou análise de outros dados</w:t>
            </w:r>
          </w:p>
        </w:tc>
        <w:tc>
          <w:tcPr>
            <w:tcW w:w="1560" w:type="dxa"/>
            <w:vAlign w:val="center"/>
          </w:tcPr>
          <w:p w14:paraId="5B29C165" w14:textId="63E18A8F" w:rsidR="006E1899" w:rsidRPr="00E83486" w:rsidRDefault="006E1899" w:rsidP="006E1899">
            <w:pPr>
              <w:spacing w:line="240" w:lineRule="auto"/>
              <w:jc w:val="center"/>
              <w:rPr>
                <w:rFonts w:eastAsia="Times New Roman" w:cs="Arial"/>
                <w:color w:val="000000"/>
                <w:sz w:val="20"/>
                <w:szCs w:val="20"/>
              </w:rPr>
            </w:pPr>
            <w:r w:rsidRPr="00E83486">
              <w:rPr>
                <w:rFonts w:eastAsia="Times New Roman" w:cs="Arial"/>
                <w:color w:val="000000"/>
                <w:sz w:val="20"/>
                <w:szCs w:val="20"/>
              </w:rPr>
              <w:t>2</w:t>
            </w:r>
            <w:r w:rsidR="009B341E">
              <w:rPr>
                <w:rFonts w:eastAsia="Times New Roman" w:cs="Arial"/>
                <w:color w:val="000000"/>
                <w:sz w:val="20"/>
                <w:szCs w:val="20"/>
              </w:rPr>
              <w:t>1</w:t>
            </w:r>
          </w:p>
        </w:tc>
        <w:tc>
          <w:tcPr>
            <w:tcW w:w="2409" w:type="dxa"/>
            <w:vAlign w:val="center"/>
          </w:tcPr>
          <w:p w14:paraId="6BED3999" w14:textId="742E4463" w:rsidR="006E1899" w:rsidRPr="00E83486" w:rsidRDefault="006E1899" w:rsidP="006E1899">
            <w:pPr>
              <w:spacing w:line="240" w:lineRule="auto"/>
              <w:jc w:val="center"/>
              <w:rPr>
                <w:rFonts w:eastAsia="Times New Roman" w:cs="Arial"/>
                <w:color w:val="000000"/>
                <w:sz w:val="20"/>
                <w:szCs w:val="20"/>
              </w:rPr>
            </w:pPr>
            <w:r w:rsidRPr="00E83486">
              <w:rPr>
                <w:rFonts w:eastAsia="Times New Roman" w:cs="Arial"/>
                <w:color w:val="000000"/>
                <w:sz w:val="20"/>
                <w:szCs w:val="20"/>
              </w:rPr>
              <w:t>2</w:t>
            </w:r>
            <w:r w:rsidR="009B341E">
              <w:rPr>
                <w:rFonts w:eastAsia="Times New Roman" w:cs="Arial"/>
                <w:color w:val="000000"/>
                <w:sz w:val="20"/>
                <w:szCs w:val="20"/>
              </w:rPr>
              <w:t>1</w:t>
            </w:r>
            <w:r w:rsidR="00EB6370">
              <w:rPr>
                <w:rFonts w:eastAsia="Times New Roman" w:cs="Arial"/>
                <w:color w:val="000000"/>
                <w:sz w:val="20"/>
                <w:szCs w:val="20"/>
              </w:rPr>
              <w:t xml:space="preserve"> (100)</w:t>
            </w:r>
          </w:p>
        </w:tc>
      </w:tr>
      <w:tr w:rsidR="006E1899" w:rsidRPr="00164761" w14:paraId="6EA07174" w14:textId="77777777" w:rsidTr="00EB6370">
        <w:trPr>
          <w:trHeight w:val="454"/>
          <w:jc w:val="center"/>
        </w:trPr>
        <w:tc>
          <w:tcPr>
            <w:tcW w:w="4536" w:type="dxa"/>
            <w:vAlign w:val="center"/>
          </w:tcPr>
          <w:p w14:paraId="326D3AE3" w14:textId="793EF1AE" w:rsidR="006E1899" w:rsidRPr="0035409B" w:rsidRDefault="006E1899" w:rsidP="006E1899">
            <w:pPr>
              <w:spacing w:line="240" w:lineRule="auto"/>
              <w:jc w:val="left"/>
              <w:rPr>
                <w:rFonts w:eastAsia="Times New Roman" w:cs="Arial"/>
                <w:color w:val="000000"/>
                <w:sz w:val="20"/>
                <w:szCs w:val="20"/>
              </w:rPr>
            </w:pPr>
            <w:r w:rsidRPr="0035409B">
              <w:rPr>
                <w:rFonts w:eastAsia="Times New Roman" w:cs="Arial"/>
                <w:color w:val="000000"/>
                <w:sz w:val="20"/>
                <w:szCs w:val="20"/>
              </w:rPr>
              <w:t>Relatórios de notificação voluntária</w:t>
            </w:r>
          </w:p>
        </w:tc>
        <w:tc>
          <w:tcPr>
            <w:tcW w:w="1560" w:type="dxa"/>
            <w:vAlign w:val="center"/>
          </w:tcPr>
          <w:p w14:paraId="215D77FC" w14:textId="7ECA929F" w:rsidR="006E1899" w:rsidRPr="00164761" w:rsidRDefault="006E1899" w:rsidP="006E1899">
            <w:pPr>
              <w:spacing w:line="240" w:lineRule="auto"/>
              <w:jc w:val="center"/>
              <w:rPr>
                <w:rFonts w:eastAsia="Times New Roman" w:cs="Arial"/>
                <w:color w:val="000000"/>
                <w:sz w:val="20"/>
                <w:szCs w:val="20"/>
              </w:rPr>
            </w:pPr>
            <w:r w:rsidRPr="00E83486">
              <w:rPr>
                <w:rFonts w:eastAsia="Times New Roman" w:cs="Arial"/>
                <w:color w:val="000000"/>
                <w:sz w:val="20"/>
                <w:szCs w:val="20"/>
              </w:rPr>
              <w:t>21</w:t>
            </w:r>
          </w:p>
        </w:tc>
        <w:tc>
          <w:tcPr>
            <w:tcW w:w="2409" w:type="dxa"/>
            <w:vAlign w:val="center"/>
          </w:tcPr>
          <w:p w14:paraId="3156DC1B" w14:textId="0C33FA75" w:rsidR="006E1899" w:rsidRPr="00164761" w:rsidRDefault="006E1899" w:rsidP="006E1899">
            <w:pPr>
              <w:spacing w:line="240" w:lineRule="auto"/>
              <w:jc w:val="center"/>
              <w:rPr>
                <w:rFonts w:eastAsia="Times New Roman" w:cs="Arial"/>
                <w:color w:val="000000"/>
                <w:sz w:val="20"/>
                <w:szCs w:val="20"/>
              </w:rPr>
            </w:pPr>
            <w:r w:rsidRPr="00E83486">
              <w:rPr>
                <w:rFonts w:eastAsia="Times New Roman" w:cs="Arial"/>
                <w:color w:val="000000"/>
                <w:sz w:val="20"/>
                <w:szCs w:val="20"/>
              </w:rPr>
              <w:t>11</w:t>
            </w:r>
            <w:r w:rsidR="00EB6370">
              <w:rPr>
                <w:rFonts w:eastAsia="Times New Roman" w:cs="Arial"/>
                <w:color w:val="000000"/>
                <w:sz w:val="20"/>
                <w:szCs w:val="20"/>
              </w:rPr>
              <w:t xml:space="preserve"> (52,4)</w:t>
            </w:r>
          </w:p>
        </w:tc>
      </w:tr>
      <w:tr w:rsidR="006E1899" w:rsidRPr="00164761" w14:paraId="0E50E7FA" w14:textId="77777777" w:rsidTr="00EB6370">
        <w:trPr>
          <w:trHeight w:val="454"/>
          <w:jc w:val="center"/>
        </w:trPr>
        <w:tc>
          <w:tcPr>
            <w:tcW w:w="4536" w:type="dxa"/>
            <w:vAlign w:val="center"/>
          </w:tcPr>
          <w:p w14:paraId="7F3F1FA9" w14:textId="0A29BB37" w:rsidR="006E1899" w:rsidRPr="0035409B" w:rsidRDefault="006E1899" w:rsidP="006E1899">
            <w:pPr>
              <w:spacing w:line="240" w:lineRule="auto"/>
              <w:jc w:val="left"/>
              <w:rPr>
                <w:rFonts w:eastAsia="Times New Roman" w:cs="Arial"/>
                <w:color w:val="000000"/>
                <w:sz w:val="20"/>
                <w:szCs w:val="20"/>
              </w:rPr>
            </w:pPr>
            <w:r w:rsidRPr="0035409B">
              <w:rPr>
                <w:rFonts w:eastAsia="Times New Roman" w:cs="Arial"/>
                <w:color w:val="000000"/>
                <w:sz w:val="20"/>
                <w:szCs w:val="20"/>
              </w:rPr>
              <w:t>Reinternação em até 30 dias da alta</w:t>
            </w:r>
          </w:p>
        </w:tc>
        <w:tc>
          <w:tcPr>
            <w:tcW w:w="1560" w:type="dxa"/>
            <w:vAlign w:val="center"/>
          </w:tcPr>
          <w:p w14:paraId="33AEA43C" w14:textId="7DFFF342" w:rsidR="006E1899" w:rsidRPr="00E83486" w:rsidRDefault="006E1899" w:rsidP="006E1899">
            <w:pPr>
              <w:spacing w:line="240" w:lineRule="auto"/>
              <w:jc w:val="center"/>
              <w:rPr>
                <w:rFonts w:eastAsia="Times New Roman" w:cs="Arial"/>
                <w:color w:val="000000"/>
                <w:sz w:val="20"/>
                <w:szCs w:val="20"/>
              </w:rPr>
            </w:pPr>
            <w:r w:rsidRPr="00E83486">
              <w:rPr>
                <w:rFonts w:eastAsia="Times New Roman" w:cs="Arial"/>
                <w:color w:val="000000"/>
                <w:sz w:val="20"/>
                <w:szCs w:val="20"/>
              </w:rPr>
              <w:t>11</w:t>
            </w:r>
          </w:p>
        </w:tc>
        <w:tc>
          <w:tcPr>
            <w:tcW w:w="2409" w:type="dxa"/>
            <w:vAlign w:val="center"/>
          </w:tcPr>
          <w:p w14:paraId="4DDF65CA" w14:textId="624BDB81" w:rsidR="006E1899" w:rsidRPr="00E83486" w:rsidRDefault="006E1899" w:rsidP="006E1899">
            <w:pPr>
              <w:spacing w:line="240" w:lineRule="auto"/>
              <w:jc w:val="center"/>
              <w:rPr>
                <w:rFonts w:eastAsia="Times New Roman" w:cs="Arial"/>
                <w:color w:val="000000"/>
                <w:sz w:val="20"/>
                <w:szCs w:val="20"/>
              </w:rPr>
            </w:pPr>
            <w:r w:rsidRPr="00E83486">
              <w:rPr>
                <w:rFonts w:eastAsia="Times New Roman" w:cs="Arial"/>
                <w:color w:val="000000"/>
                <w:sz w:val="20"/>
                <w:szCs w:val="20"/>
              </w:rPr>
              <w:t>3</w:t>
            </w:r>
            <w:r w:rsidR="00EB6370">
              <w:rPr>
                <w:rFonts w:eastAsia="Times New Roman" w:cs="Arial"/>
                <w:color w:val="000000"/>
                <w:sz w:val="20"/>
                <w:szCs w:val="20"/>
              </w:rPr>
              <w:t xml:space="preserve"> (27,3)</w:t>
            </w:r>
          </w:p>
        </w:tc>
      </w:tr>
      <w:tr w:rsidR="006E1899" w:rsidRPr="00164761" w14:paraId="267D05B2" w14:textId="77777777" w:rsidTr="00EB6370">
        <w:trPr>
          <w:trHeight w:val="454"/>
          <w:jc w:val="center"/>
        </w:trPr>
        <w:tc>
          <w:tcPr>
            <w:tcW w:w="4536" w:type="dxa"/>
            <w:vAlign w:val="center"/>
          </w:tcPr>
          <w:p w14:paraId="302A971E" w14:textId="7FE94E4D" w:rsidR="006E1899" w:rsidRPr="0035409B" w:rsidRDefault="006E1899" w:rsidP="006E1899">
            <w:pPr>
              <w:spacing w:line="240" w:lineRule="auto"/>
              <w:jc w:val="left"/>
              <w:rPr>
                <w:rFonts w:eastAsia="Times New Roman" w:cs="Arial"/>
                <w:color w:val="000000"/>
                <w:sz w:val="20"/>
                <w:szCs w:val="20"/>
              </w:rPr>
            </w:pPr>
            <w:r w:rsidRPr="0035409B">
              <w:rPr>
                <w:rFonts w:eastAsia="Times New Roman" w:cs="Arial"/>
                <w:color w:val="000000"/>
                <w:sz w:val="20"/>
                <w:szCs w:val="20"/>
              </w:rPr>
              <w:t>Avaliação de notas obstétricas</w:t>
            </w:r>
          </w:p>
        </w:tc>
        <w:tc>
          <w:tcPr>
            <w:tcW w:w="1560" w:type="dxa"/>
            <w:vAlign w:val="center"/>
          </w:tcPr>
          <w:p w14:paraId="6CF421AD" w14:textId="346DD2C4" w:rsidR="006E1899" w:rsidRPr="00E83486" w:rsidRDefault="006E1899" w:rsidP="006E1899">
            <w:pPr>
              <w:spacing w:line="240" w:lineRule="auto"/>
              <w:jc w:val="center"/>
              <w:rPr>
                <w:rFonts w:eastAsia="Times New Roman" w:cs="Arial"/>
                <w:color w:val="000000"/>
                <w:sz w:val="20"/>
                <w:szCs w:val="20"/>
              </w:rPr>
            </w:pPr>
            <w:r w:rsidRPr="00E83486">
              <w:rPr>
                <w:rFonts w:eastAsia="Times New Roman" w:cs="Arial"/>
                <w:color w:val="000000"/>
                <w:sz w:val="20"/>
                <w:szCs w:val="20"/>
              </w:rPr>
              <w:t>7</w:t>
            </w:r>
          </w:p>
        </w:tc>
        <w:tc>
          <w:tcPr>
            <w:tcW w:w="2409" w:type="dxa"/>
            <w:vAlign w:val="center"/>
          </w:tcPr>
          <w:p w14:paraId="6CBCEA7F" w14:textId="2CD386E3" w:rsidR="006E1899" w:rsidRPr="00E83486" w:rsidRDefault="006E1899" w:rsidP="006E1899">
            <w:pPr>
              <w:spacing w:line="240" w:lineRule="auto"/>
              <w:jc w:val="center"/>
              <w:rPr>
                <w:rFonts w:eastAsia="Times New Roman" w:cs="Arial"/>
                <w:color w:val="000000"/>
                <w:sz w:val="20"/>
                <w:szCs w:val="20"/>
              </w:rPr>
            </w:pPr>
            <w:r w:rsidRPr="00E83486">
              <w:rPr>
                <w:rFonts w:eastAsia="Times New Roman" w:cs="Arial"/>
                <w:color w:val="000000"/>
                <w:sz w:val="20"/>
                <w:szCs w:val="20"/>
              </w:rPr>
              <w:t>2</w:t>
            </w:r>
            <w:r w:rsidR="00EB6370">
              <w:rPr>
                <w:rFonts w:eastAsia="Times New Roman" w:cs="Arial"/>
                <w:color w:val="000000"/>
                <w:sz w:val="20"/>
                <w:szCs w:val="20"/>
              </w:rPr>
              <w:t xml:space="preserve"> (28,6)</w:t>
            </w:r>
          </w:p>
        </w:tc>
      </w:tr>
      <w:tr w:rsidR="006E1899" w:rsidRPr="00164761" w14:paraId="50F4B890" w14:textId="77777777" w:rsidTr="00EB6370">
        <w:trPr>
          <w:trHeight w:val="454"/>
          <w:jc w:val="center"/>
        </w:trPr>
        <w:tc>
          <w:tcPr>
            <w:tcW w:w="4536" w:type="dxa"/>
            <w:vAlign w:val="center"/>
          </w:tcPr>
          <w:p w14:paraId="6BD6898F" w14:textId="0F19653C" w:rsidR="006E1899" w:rsidRPr="0035409B" w:rsidRDefault="006E1899" w:rsidP="006E1899">
            <w:pPr>
              <w:spacing w:line="240" w:lineRule="auto"/>
              <w:jc w:val="left"/>
              <w:rPr>
                <w:rFonts w:eastAsia="Times New Roman" w:cs="Arial"/>
                <w:color w:val="000000"/>
                <w:sz w:val="20"/>
                <w:szCs w:val="20"/>
              </w:rPr>
            </w:pPr>
            <w:r w:rsidRPr="0035409B">
              <w:rPr>
                <w:rFonts w:eastAsia="Times New Roman" w:cs="Arial"/>
                <w:color w:val="000000"/>
                <w:sz w:val="20"/>
                <w:szCs w:val="20"/>
              </w:rPr>
              <w:t xml:space="preserve">Relatório sobre </w:t>
            </w:r>
            <w:r>
              <w:rPr>
                <w:rFonts w:eastAsia="Times New Roman" w:cs="Arial"/>
                <w:color w:val="000000"/>
                <w:sz w:val="20"/>
                <w:szCs w:val="20"/>
              </w:rPr>
              <w:t>infecções relacionadas à assistência</w:t>
            </w:r>
          </w:p>
        </w:tc>
        <w:tc>
          <w:tcPr>
            <w:tcW w:w="1560" w:type="dxa"/>
            <w:vAlign w:val="center"/>
          </w:tcPr>
          <w:p w14:paraId="08982ECB" w14:textId="24602B65" w:rsidR="006E1899" w:rsidRPr="00164761" w:rsidRDefault="006E1899" w:rsidP="006E1899">
            <w:pPr>
              <w:spacing w:line="240" w:lineRule="auto"/>
              <w:jc w:val="center"/>
              <w:rPr>
                <w:rFonts w:eastAsia="Times New Roman" w:cs="Arial"/>
                <w:color w:val="000000"/>
                <w:sz w:val="20"/>
                <w:szCs w:val="20"/>
              </w:rPr>
            </w:pPr>
            <w:r w:rsidRPr="00E83486">
              <w:rPr>
                <w:rFonts w:eastAsia="Times New Roman" w:cs="Arial"/>
                <w:color w:val="000000"/>
                <w:sz w:val="20"/>
                <w:szCs w:val="20"/>
              </w:rPr>
              <w:t>6</w:t>
            </w:r>
          </w:p>
        </w:tc>
        <w:tc>
          <w:tcPr>
            <w:tcW w:w="2409" w:type="dxa"/>
            <w:vAlign w:val="center"/>
          </w:tcPr>
          <w:p w14:paraId="346591ED" w14:textId="4611E4B4" w:rsidR="006E1899" w:rsidRPr="00164761" w:rsidRDefault="006E1899" w:rsidP="006E1899">
            <w:pPr>
              <w:spacing w:line="240" w:lineRule="auto"/>
              <w:jc w:val="center"/>
              <w:rPr>
                <w:rFonts w:eastAsia="Times New Roman" w:cs="Arial"/>
                <w:color w:val="000000"/>
                <w:sz w:val="20"/>
                <w:szCs w:val="20"/>
              </w:rPr>
            </w:pPr>
            <w:r w:rsidRPr="00E83486">
              <w:rPr>
                <w:rFonts w:eastAsia="Times New Roman" w:cs="Arial"/>
                <w:color w:val="000000"/>
                <w:sz w:val="20"/>
                <w:szCs w:val="20"/>
              </w:rPr>
              <w:t>6</w:t>
            </w:r>
            <w:r w:rsidR="00EB6370">
              <w:rPr>
                <w:rFonts w:eastAsia="Times New Roman" w:cs="Arial"/>
                <w:color w:val="000000"/>
                <w:sz w:val="20"/>
                <w:szCs w:val="20"/>
              </w:rPr>
              <w:t xml:space="preserve"> (100)</w:t>
            </w:r>
          </w:p>
        </w:tc>
      </w:tr>
      <w:tr w:rsidR="006E1899" w:rsidRPr="00164761" w14:paraId="5DF8109D" w14:textId="77777777" w:rsidTr="00EB6370">
        <w:trPr>
          <w:trHeight w:val="454"/>
          <w:jc w:val="center"/>
        </w:trPr>
        <w:tc>
          <w:tcPr>
            <w:tcW w:w="4536" w:type="dxa"/>
            <w:vAlign w:val="center"/>
          </w:tcPr>
          <w:p w14:paraId="603EC92B" w14:textId="10A24170" w:rsidR="006E1899" w:rsidRPr="0035409B" w:rsidRDefault="006E1899" w:rsidP="006E1899">
            <w:pPr>
              <w:spacing w:line="240" w:lineRule="auto"/>
              <w:jc w:val="left"/>
              <w:rPr>
                <w:rFonts w:eastAsia="Times New Roman" w:cs="Arial"/>
                <w:color w:val="000000"/>
                <w:sz w:val="20"/>
                <w:szCs w:val="20"/>
              </w:rPr>
            </w:pPr>
            <w:r w:rsidRPr="0035409B">
              <w:rPr>
                <w:rFonts w:eastAsia="Times New Roman" w:cs="Arial"/>
                <w:color w:val="000000"/>
                <w:sz w:val="20"/>
                <w:szCs w:val="20"/>
              </w:rPr>
              <w:t>Relatórios da Agência Transfusional</w:t>
            </w:r>
          </w:p>
        </w:tc>
        <w:tc>
          <w:tcPr>
            <w:tcW w:w="1560" w:type="dxa"/>
            <w:vAlign w:val="center"/>
          </w:tcPr>
          <w:p w14:paraId="08D7E03C" w14:textId="35CFE0C7" w:rsidR="006E1899" w:rsidRPr="00164761" w:rsidRDefault="006E1899" w:rsidP="006E1899">
            <w:pPr>
              <w:spacing w:line="240" w:lineRule="auto"/>
              <w:jc w:val="center"/>
              <w:rPr>
                <w:rFonts w:eastAsia="Times New Roman" w:cs="Arial"/>
                <w:color w:val="000000"/>
                <w:sz w:val="20"/>
                <w:szCs w:val="20"/>
              </w:rPr>
            </w:pPr>
            <w:r w:rsidRPr="00E83486">
              <w:rPr>
                <w:rFonts w:eastAsia="Times New Roman" w:cs="Arial"/>
                <w:color w:val="000000"/>
                <w:sz w:val="20"/>
                <w:szCs w:val="20"/>
              </w:rPr>
              <w:t>2</w:t>
            </w:r>
          </w:p>
        </w:tc>
        <w:tc>
          <w:tcPr>
            <w:tcW w:w="2409" w:type="dxa"/>
            <w:vAlign w:val="center"/>
          </w:tcPr>
          <w:p w14:paraId="0B46F8A3" w14:textId="1EB6B44B" w:rsidR="006E1899" w:rsidRPr="00164761" w:rsidRDefault="006E1899" w:rsidP="006E1899">
            <w:pPr>
              <w:spacing w:line="240" w:lineRule="auto"/>
              <w:jc w:val="center"/>
              <w:rPr>
                <w:rFonts w:eastAsia="Times New Roman" w:cs="Arial"/>
                <w:color w:val="000000"/>
                <w:sz w:val="20"/>
                <w:szCs w:val="20"/>
              </w:rPr>
            </w:pPr>
            <w:r w:rsidRPr="00E83486">
              <w:rPr>
                <w:rFonts w:eastAsia="Times New Roman" w:cs="Arial"/>
                <w:color w:val="000000"/>
                <w:sz w:val="20"/>
                <w:szCs w:val="20"/>
              </w:rPr>
              <w:t>2</w:t>
            </w:r>
            <w:r w:rsidR="00EB6370">
              <w:rPr>
                <w:rFonts w:eastAsia="Times New Roman" w:cs="Arial"/>
                <w:color w:val="000000"/>
                <w:sz w:val="20"/>
                <w:szCs w:val="20"/>
              </w:rPr>
              <w:t xml:space="preserve"> (100)</w:t>
            </w:r>
          </w:p>
        </w:tc>
      </w:tr>
      <w:tr w:rsidR="006E1899" w:rsidRPr="00164761" w14:paraId="7C15A4BB" w14:textId="77777777" w:rsidTr="00EB6370">
        <w:trPr>
          <w:trHeight w:val="454"/>
          <w:jc w:val="center"/>
        </w:trPr>
        <w:tc>
          <w:tcPr>
            <w:tcW w:w="4536" w:type="dxa"/>
            <w:vAlign w:val="center"/>
          </w:tcPr>
          <w:p w14:paraId="1608783E" w14:textId="39045BFE" w:rsidR="006E1899" w:rsidRPr="0035409B" w:rsidRDefault="006E1899" w:rsidP="006E1899">
            <w:pPr>
              <w:spacing w:line="240" w:lineRule="auto"/>
              <w:jc w:val="left"/>
              <w:rPr>
                <w:rFonts w:eastAsia="Times New Roman" w:cs="Arial"/>
                <w:color w:val="000000"/>
                <w:sz w:val="20"/>
                <w:szCs w:val="20"/>
              </w:rPr>
            </w:pPr>
            <w:r w:rsidRPr="0035409B">
              <w:rPr>
                <w:rFonts w:eastAsia="Times New Roman" w:cs="Arial"/>
                <w:color w:val="000000"/>
                <w:sz w:val="20"/>
                <w:szCs w:val="20"/>
              </w:rPr>
              <w:lastRenderedPageBreak/>
              <w:t>Avaliação</w:t>
            </w:r>
            <w:r>
              <w:rPr>
                <w:rFonts w:eastAsia="Times New Roman" w:cs="Arial"/>
                <w:color w:val="000000"/>
                <w:sz w:val="20"/>
                <w:szCs w:val="20"/>
              </w:rPr>
              <w:t xml:space="preserve"> da causa</w:t>
            </w:r>
            <w:r w:rsidRPr="0035409B">
              <w:rPr>
                <w:rFonts w:eastAsia="Times New Roman" w:cs="Arial"/>
                <w:color w:val="000000"/>
                <w:sz w:val="20"/>
                <w:szCs w:val="20"/>
              </w:rPr>
              <w:t xml:space="preserve"> dos óbitos</w:t>
            </w:r>
          </w:p>
        </w:tc>
        <w:tc>
          <w:tcPr>
            <w:tcW w:w="1560" w:type="dxa"/>
            <w:vAlign w:val="center"/>
          </w:tcPr>
          <w:p w14:paraId="35FA59E9" w14:textId="3B5DE8EE" w:rsidR="006E1899" w:rsidRPr="00164761" w:rsidRDefault="006E1899" w:rsidP="006E1899">
            <w:pPr>
              <w:spacing w:line="240" w:lineRule="auto"/>
              <w:jc w:val="center"/>
              <w:rPr>
                <w:rFonts w:eastAsia="Times New Roman" w:cs="Arial"/>
                <w:color w:val="000000"/>
                <w:sz w:val="20"/>
                <w:szCs w:val="20"/>
              </w:rPr>
            </w:pPr>
            <w:r w:rsidRPr="00E83486">
              <w:rPr>
                <w:rFonts w:eastAsia="Times New Roman" w:cs="Arial"/>
                <w:color w:val="000000"/>
                <w:sz w:val="20"/>
                <w:szCs w:val="20"/>
              </w:rPr>
              <w:t>1</w:t>
            </w:r>
          </w:p>
        </w:tc>
        <w:tc>
          <w:tcPr>
            <w:tcW w:w="2409" w:type="dxa"/>
            <w:vAlign w:val="center"/>
          </w:tcPr>
          <w:p w14:paraId="4C4FA74E" w14:textId="074A2E8E" w:rsidR="006E1899" w:rsidRPr="00164761" w:rsidRDefault="006E1899" w:rsidP="006E1899">
            <w:pPr>
              <w:spacing w:line="240" w:lineRule="auto"/>
              <w:jc w:val="center"/>
              <w:rPr>
                <w:rFonts w:eastAsia="Times New Roman" w:cs="Arial"/>
                <w:color w:val="000000"/>
                <w:sz w:val="20"/>
                <w:szCs w:val="20"/>
              </w:rPr>
            </w:pPr>
            <w:r w:rsidRPr="00E83486">
              <w:rPr>
                <w:rFonts w:eastAsia="Times New Roman" w:cs="Arial"/>
                <w:color w:val="000000"/>
                <w:sz w:val="20"/>
                <w:szCs w:val="20"/>
              </w:rPr>
              <w:t>0</w:t>
            </w:r>
            <w:r w:rsidR="00EB6370">
              <w:rPr>
                <w:rFonts w:eastAsia="Times New Roman" w:cs="Arial"/>
                <w:color w:val="000000"/>
                <w:sz w:val="20"/>
                <w:szCs w:val="20"/>
              </w:rPr>
              <w:t xml:space="preserve"> (0)</w:t>
            </w:r>
          </w:p>
        </w:tc>
      </w:tr>
      <w:bookmarkEnd w:id="11"/>
      <w:tr w:rsidR="006E1899" w:rsidRPr="00164761" w14:paraId="3ED6AE79" w14:textId="77777777" w:rsidTr="00EB6370">
        <w:trPr>
          <w:trHeight w:val="454"/>
          <w:jc w:val="center"/>
        </w:trPr>
        <w:tc>
          <w:tcPr>
            <w:tcW w:w="4536" w:type="dxa"/>
            <w:tcBorders>
              <w:top w:val="single" w:sz="4" w:space="0" w:color="auto"/>
              <w:bottom w:val="single" w:sz="4" w:space="0" w:color="auto"/>
            </w:tcBorders>
            <w:vAlign w:val="center"/>
          </w:tcPr>
          <w:p w14:paraId="54DFD010" w14:textId="4CF01C37" w:rsidR="006E1899" w:rsidRPr="00164761" w:rsidRDefault="006E1899" w:rsidP="006E1899">
            <w:pPr>
              <w:spacing w:line="240" w:lineRule="auto"/>
              <w:jc w:val="left"/>
              <w:rPr>
                <w:rFonts w:eastAsia="Times New Roman" w:cs="Arial"/>
                <w:b/>
                <w:bCs/>
                <w:color w:val="000000"/>
                <w:sz w:val="20"/>
                <w:szCs w:val="20"/>
              </w:rPr>
            </w:pPr>
            <w:r w:rsidRPr="00E83486">
              <w:rPr>
                <w:rFonts w:eastAsia="Times New Roman" w:cs="Arial"/>
                <w:b/>
                <w:bCs/>
                <w:color w:val="000000"/>
                <w:sz w:val="20"/>
                <w:szCs w:val="20"/>
              </w:rPr>
              <w:t>Total</w:t>
            </w:r>
          </w:p>
        </w:tc>
        <w:tc>
          <w:tcPr>
            <w:tcW w:w="1560" w:type="dxa"/>
            <w:tcBorders>
              <w:top w:val="single" w:sz="4" w:space="0" w:color="auto"/>
              <w:bottom w:val="single" w:sz="4" w:space="0" w:color="auto"/>
            </w:tcBorders>
            <w:vAlign w:val="center"/>
          </w:tcPr>
          <w:p w14:paraId="723824B7" w14:textId="374823AC" w:rsidR="006E1899" w:rsidRPr="00164761" w:rsidRDefault="006E1899" w:rsidP="006E1899">
            <w:pPr>
              <w:spacing w:line="240" w:lineRule="auto"/>
              <w:jc w:val="center"/>
              <w:rPr>
                <w:rFonts w:eastAsia="Times New Roman" w:cs="Arial"/>
                <w:color w:val="000000"/>
                <w:sz w:val="20"/>
                <w:szCs w:val="20"/>
              </w:rPr>
            </w:pPr>
            <w:r w:rsidRPr="00E83486">
              <w:rPr>
                <w:rFonts w:eastAsia="Times New Roman" w:cs="Arial"/>
                <w:color w:val="000000"/>
                <w:sz w:val="20"/>
                <w:szCs w:val="20"/>
              </w:rPr>
              <w:t>627</w:t>
            </w:r>
          </w:p>
        </w:tc>
        <w:tc>
          <w:tcPr>
            <w:tcW w:w="2409" w:type="dxa"/>
            <w:tcBorders>
              <w:top w:val="single" w:sz="4" w:space="0" w:color="auto"/>
              <w:bottom w:val="single" w:sz="4" w:space="0" w:color="auto"/>
            </w:tcBorders>
            <w:vAlign w:val="center"/>
          </w:tcPr>
          <w:p w14:paraId="0DC5A225" w14:textId="325D10E4" w:rsidR="006E1899" w:rsidRPr="00164761" w:rsidRDefault="006E1899" w:rsidP="006E1899">
            <w:pPr>
              <w:spacing w:line="240" w:lineRule="auto"/>
              <w:jc w:val="center"/>
              <w:rPr>
                <w:rFonts w:eastAsia="Times New Roman" w:cs="Arial"/>
                <w:color w:val="000000"/>
                <w:sz w:val="20"/>
                <w:szCs w:val="20"/>
              </w:rPr>
            </w:pPr>
            <w:r w:rsidRPr="00E83486">
              <w:rPr>
                <w:rFonts w:eastAsia="Times New Roman" w:cs="Arial"/>
                <w:color w:val="000000"/>
                <w:sz w:val="20"/>
                <w:szCs w:val="20"/>
              </w:rPr>
              <w:t>27</w:t>
            </w:r>
            <w:r w:rsidR="009B341E">
              <w:rPr>
                <w:rFonts w:eastAsia="Times New Roman" w:cs="Arial"/>
                <w:color w:val="000000"/>
                <w:sz w:val="20"/>
                <w:szCs w:val="20"/>
              </w:rPr>
              <w:t>4</w:t>
            </w:r>
            <w:r w:rsidR="00EB6370">
              <w:rPr>
                <w:rFonts w:eastAsia="Times New Roman" w:cs="Arial"/>
                <w:color w:val="000000"/>
                <w:sz w:val="20"/>
                <w:szCs w:val="20"/>
              </w:rPr>
              <w:t xml:space="preserve"> (43,</w:t>
            </w:r>
            <w:r w:rsidR="009B341E">
              <w:rPr>
                <w:rFonts w:eastAsia="Times New Roman" w:cs="Arial"/>
                <w:color w:val="000000"/>
                <w:sz w:val="20"/>
                <w:szCs w:val="20"/>
              </w:rPr>
              <w:t>7</w:t>
            </w:r>
            <w:r w:rsidR="00EB6370">
              <w:rPr>
                <w:rFonts w:eastAsia="Times New Roman" w:cs="Arial"/>
                <w:color w:val="000000"/>
                <w:sz w:val="20"/>
                <w:szCs w:val="20"/>
              </w:rPr>
              <w:t>)</w:t>
            </w:r>
          </w:p>
        </w:tc>
      </w:tr>
      <w:bookmarkEnd w:id="10"/>
    </w:tbl>
    <w:p w14:paraId="7243D471" w14:textId="77777777" w:rsidR="00E83486" w:rsidRPr="00164761" w:rsidRDefault="00E83486" w:rsidP="00164761">
      <w:pPr>
        <w:spacing w:line="240" w:lineRule="auto"/>
        <w:jc w:val="center"/>
        <w:rPr>
          <w:rFonts w:eastAsia="Times New Roman" w:cs="Arial"/>
          <w:b/>
          <w:bCs/>
          <w:color w:val="000000"/>
          <w:sz w:val="20"/>
          <w:szCs w:val="20"/>
        </w:rPr>
      </w:pPr>
    </w:p>
    <w:p w14:paraId="07909C5F" w14:textId="77777777" w:rsidR="00700B19" w:rsidRPr="00164761" w:rsidRDefault="00700B19" w:rsidP="00164761">
      <w:pPr>
        <w:spacing w:line="240" w:lineRule="auto"/>
        <w:jc w:val="center"/>
        <w:rPr>
          <w:rFonts w:eastAsia="Times New Roman" w:cs="Arial"/>
          <w:b/>
          <w:bCs/>
          <w:color w:val="000000"/>
          <w:sz w:val="20"/>
          <w:szCs w:val="20"/>
        </w:rPr>
      </w:pPr>
    </w:p>
    <w:p w14:paraId="595D63EA" w14:textId="36D84835" w:rsidR="00A64FA4" w:rsidRDefault="00A46F61" w:rsidP="00280DB7">
      <w:r>
        <w:t>Durante o período do estudo, o</w:t>
      </w:r>
      <w:r w:rsidR="006E1899">
        <w:t>s dois métodos</w:t>
      </w:r>
      <w:r w:rsidR="00D7183E">
        <w:t xml:space="preserve"> combinados</w:t>
      </w:r>
      <w:r w:rsidR="006E1899">
        <w:t xml:space="preserve"> identificaram</w:t>
      </w:r>
      <w:r>
        <w:t xml:space="preserve"> 233 eventos adversos em 92 internações</w:t>
      </w:r>
      <w:r w:rsidR="007A45BB">
        <w:t>, o que re</w:t>
      </w:r>
      <w:r w:rsidR="0031767B">
        <w:t>sult</w:t>
      </w:r>
      <w:r>
        <w:t>ou</w:t>
      </w:r>
      <w:r w:rsidR="0031767B">
        <w:t xml:space="preserve"> em taxa</w:t>
      </w:r>
      <w:r w:rsidR="007A45BB">
        <w:t>s</w:t>
      </w:r>
      <w:r w:rsidR="0031767B">
        <w:t xml:space="preserve"> globa</w:t>
      </w:r>
      <w:r w:rsidR="007A45BB">
        <w:t>is</w:t>
      </w:r>
      <w:r w:rsidR="0031767B">
        <w:t xml:space="preserve"> de </w:t>
      </w:r>
      <w:r w:rsidR="00142165">
        <w:t xml:space="preserve">43,6% das internações com pelo menos um evento adverso e </w:t>
      </w:r>
      <w:r w:rsidR="0031767B">
        <w:t>167 eventos adversos/1.000 paciente</w:t>
      </w:r>
      <w:r w:rsidR="00142165">
        <w:t>s</w:t>
      </w:r>
      <w:r w:rsidR="0031767B">
        <w:t>-dia</w:t>
      </w:r>
      <w:r w:rsidR="007A45BB">
        <w:t xml:space="preserve">. </w:t>
      </w:r>
      <w:r w:rsidR="0014729F">
        <w:t>Individualmente, o</w:t>
      </w:r>
      <w:r w:rsidR="007A45BB">
        <w:t xml:space="preserve"> método padrão referência identificou 176 eventos adversos em 67 internações, com taxas de </w:t>
      </w:r>
      <w:r w:rsidR="00142165">
        <w:t xml:space="preserve">31,8% das internações com pelo menos um evento adverso e </w:t>
      </w:r>
      <w:r w:rsidR="007A45BB">
        <w:t>126 eventos adversos/1.000 paciente</w:t>
      </w:r>
      <w:r w:rsidR="00142165">
        <w:t>s</w:t>
      </w:r>
      <w:r w:rsidR="007A45BB">
        <w:t>-dia</w:t>
      </w:r>
      <w:r w:rsidR="0014729F">
        <w:t xml:space="preserve">, e </w:t>
      </w:r>
      <w:r w:rsidR="007A45BB">
        <w:t xml:space="preserve">o </w:t>
      </w:r>
      <w:r w:rsidR="007A45BB">
        <w:rPr>
          <w:i/>
          <w:iCs/>
        </w:rPr>
        <w:t>GTT</w:t>
      </w:r>
      <w:r w:rsidR="007A45BB">
        <w:t xml:space="preserve"> identificou 129 eventos adversos em 76 internações, com taxas de </w:t>
      </w:r>
      <w:r w:rsidR="0014729F">
        <w:t xml:space="preserve">36,0% das internações com pelo menos um evento adverso e </w:t>
      </w:r>
      <w:r w:rsidR="007A45BB">
        <w:t>92 eventos adversos/1.000 paciente</w:t>
      </w:r>
      <w:r w:rsidR="0014729F">
        <w:t>s</w:t>
      </w:r>
      <w:r w:rsidR="007A45BB">
        <w:t xml:space="preserve">-dia. </w:t>
      </w:r>
      <w:r w:rsidR="00D908A7">
        <w:t>Considerando-se a exclusão dos EAs que ocorreram fora do período da pesquisa, a porcentagem de internações com EAs pode estar subestimada.</w:t>
      </w:r>
    </w:p>
    <w:p w14:paraId="0751F9EE" w14:textId="6EEDE55E" w:rsidR="00BF6712" w:rsidRDefault="00BF6712" w:rsidP="00280DB7"/>
    <w:p w14:paraId="32C268DC" w14:textId="76FDE2ED" w:rsidR="003B08D0" w:rsidRPr="009B7251" w:rsidRDefault="003B08D0" w:rsidP="003B08D0">
      <w:pPr>
        <w:rPr>
          <w:i/>
          <w:iCs/>
        </w:rPr>
      </w:pPr>
      <w:r>
        <w:t>Quase 70 % de todos os eventos adversos identificados foram classificados como E quanto à gravidade do dano (n=160) e nenhum evento foi classificado como I, ou seja, resultou em morte do paciente (Tabela 2).</w:t>
      </w:r>
      <w:r w:rsidRPr="007A45BB">
        <w:t xml:space="preserve"> </w:t>
      </w:r>
      <w:commentRangeStart w:id="12"/>
      <w:commentRangeStart w:id="13"/>
      <w:r>
        <w:t xml:space="preserve">Em números absolutos, o </w:t>
      </w:r>
      <w:r>
        <w:rPr>
          <w:i/>
          <w:iCs/>
        </w:rPr>
        <w:t xml:space="preserve">GTT </w:t>
      </w:r>
      <w:r>
        <w:t xml:space="preserve">identificou mais eventos classificados </w:t>
      </w:r>
      <w:r w:rsidR="009B7251">
        <w:t>como</w:t>
      </w:r>
      <w:r>
        <w:t xml:space="preserve"> F</w:t>
      </w:r>
      <w:r w:rsidR="009B7251">
        <w:t>-</w:t>
      </w:r>
      <w:r w:rsidRPr="003B08D0">
        <w:t>I</w:t>
      </w:r>
      <w:r>
        <w:t xml:space="preserve"> que o método padrão referência, que por sua vez foi capaz de identificar quase o dobro de eventos classificado</w:t>
      </w:r>
      <w:r w:rsidR="009B7251">
        <w:t>s como</w:t>
      </w:r>
      <w:r>
        <w:t xml:space="preserve"> </w:t>
      </w:r>
      <w:r w:rsidR="009B7251">
        <w:t>E</w:t>
      </w:r>
      <w:r>
        <w:t xml:space="preserve"> em comparação ao </w:t>
      </w:r>
      <w:r>
        <w:rPr>
          <w:i/>
          <w:iCs/>
        </w:rPr>
        <w:t xml:space="preserve">GTT. </w:t>
      </w:r>
      <w:commentRangeEnd w:id="12"/>
      <w:r>
        <w:rPr>
          <w:rStyle w:val="Refdecomentrio"/>
          <w:lang w:val="x-none" w:eastAsia="x-none"/>
        </w:rPr>
        <w:commentReference w:id="12"/>
      </w:r>
      <w:commentRangeEnd w:id="13"/>
      <w:r w:rsidR="00BA1671">
        <w:rPr>
          <w:rStyle w:val="Refdecomentrio"/>
          <w:lang w:val="x-none" w:eastAsia="x-none"/>
        </w:rPr>
        <w:commentReference w:id="13"/>
      </w:r>
      <w:r>
        <w:t>A notificação voluntária, que foi incluída como um dos rastreadores utilizados no método padrão referência, encontrou nove eventos adversos</w:t>
      </w:r>
      <w:r w:rsidR="00A64FA4">
        <w:t xml:space="preserve"> (</w:t>
      </w:r>
      <w:r w:rsidR="009B7251">
        <w:t xml:space="preserve">oito classificados como E e um como H), o que corresponde a </w:t>
      </w:r>
      <w:r w:rsidR="00A64FA4">
        <w:t>3,9% do total de eventos identificados)</w:t>
      </w:r>
      <w:r w:rsidR="009B7251">
        <w:t xml:space="preserve">, sendo que apenas 3 deles foram identificados também pelo </w:t>
      </w:r>
      <w:r w:rsidR="009B7251">
        <w:rPr>
          <w:i/>
          <w:iCs/>
        </w:rPr>
        <w:t>GTT</w:t>
      </w:r>
      <w:r w:rsidR="00D908A7">
        <w:rPr>
          <w:i/>
          <w:iCs/>
        </w:rPr>
        <w:t xml:space="preserve"> </w:t>
      </w:r>
      <w:r w:rsidR="00D908A7">
        <w:t>(um H e dois E)</w:t>
      </w:r>
      <w:r w:rsidR="009B7251">
        <w:rPr>
          <w:i/>
          <w:iCs/>
        </w:rPr>
        <w:t>.</w:t>
      </w:r>
    </w:p>
    <w:p w14:paraId="673D9E68" w14:textId="77777777" w:rsidR="003B08D0" w:rsidRDefault="003B08D0" w:rsidP="003B08D0">
      <w:pPr>
        <w:spacing w:line="240" w:lineRule="auto"/>
        <w:jc w:val="left"/>
        <w:rPr>
          <w:rFonts w:eastAsia="Times New Roman" w:cs="Arial"/>
          <w:b/>
          <w:bCs/>
          <w:color w:val="000000"/>
          <w:sz w:val="20"/>
          <w:szCs w:val="20"/>
        </w:rPr>
      </w:pPr>
    </w:p>
    <w:p w14:paraId="41F2D77E" w14:textId="68DEB27A" w:rsidR="003B08D0" w:rsidRDefault="003B08D0" w:rsidP="003B08D0">
      <w:pPr>
        <w:pStyle w:val="Legenda"/>
        <w:keepNext/>
        <w:ind w:left="1276" w:right="1134"/>
      </w:pPr>
      <w:r>
        <w:t xml:space="preserve">Tabela </w:t>
      </w:r>
      <w:r w:rsidR="00063715">
        <w:t>2</w:t>
      </w:r>
      <w:r>
        <w:t xml:space="preserve"> - </w:t>
      </w:r>
      <w:r w:rsidRPr="00FB21E7">
        <w:t xml:space="preserve">Eventos adversos </w:t>
      </w:r>
      <w:r>
        <w:t>por classificação quanto à gravidade do dano</w:t>
      </w:r>
      <w:r w:rsidRPr="00FB21E7">
        <w:t xml:space="preserve"> e por método de identificação</w:t>
      </w:r>
    </w:p>
    <w:tbl>
      <w:tblPr>
        <w:tblStyle w:val="Tabelacomgrade"/>
        <w:tblW w:w="7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3"/>
        <w:gridCol w:w="1417"/>
        <w:gridCol w:w="1276"/>
        <w:gridCol w:w="1276"/>
      </w:tblGrid>
      <w:tr w:rsidR="00EB6370" w:rsidRPr="00542E7E" w14:paraId="631B05DD" w14:textId="05912198" w:rsidTr="00EB6370">
        <w:trPr>
          <w:trHeight w:val="454"/>
          <w:jc w:val="center"/>
        </w:trPr>
        <w:tc>
          <w:tcPr>
            <w:tcW w:w="1985" w:type="dxa"/>
            <w:tcBorders>
              <w:top w:val="single" w:sz="4" w:space="0" w:color="auto"/>
              <w:bottom w:val="single" w:sz="4" w:space="0" w:color="auto"/>
            </w:tcBorders>
            <w:vAlign w:val="center"/>
          </w:tcPr>
          <w:p w14:paraId="1C41E334" w14:textId="0DC38219" w:rsidR="00EB6370" w:rsidRPr="00542E7E" w:rsidRDefault="00EB6370" w:rsidP="009340B0">
            <w:pPr>
              <w:spacing w:line="240" w:lineRule="auto"/>
              <w:jc w:val="center"/>
              <w:rPr>
                <w:rFonts w:eastAsia="Times New Roman" w:cs="Arial"/>
                <w:b/>
                <w:bCs/>
                <w:color w:val="000000"/>
                <w:sz w:val="20"/>
                <w:szCs w:val="20"/>
              </w:rPr>
            </w:pPr>
            <w:bookmarkStart w:id="14" w:name="_Hlk72083343"/>
            <w:r w:rsidRPr="00542E7E">
              <w:rPr>
                <w:rFonts w:eastAsia="Times New Roman" w:cs="Arial"/>
                <w:b/>
                <w:bCs/>
                <w:color w:val="000000"/>
                <w:sz w:val="20"/>
                <w:szCs w:val="20"/>
              </w:rPr>
              <w:t xml:space="preserve">Eventos </w:t>
            </w:r>
            <w:r>
              <w:rPr>
                <w:rFonts w:eastAsia="Times New Roman" w:cs="Arial"/>
                <w:b/>
                <w:bCs/>
                <w:color w:val="000000"/>
                <w:sz w:val="20"/>
                <w:szCs w:val="20"/>
              </w:rPr>
              <w:t>adversos por gravidade*</w:t>
            </w:r>
          </w:p>
        </w:tc>
        <w:tc>
          <w:tcPr>
            <w:tcW w:w="1843" w:type="dxa"/>
            <w:tcBorders>
              <w:top w:val="single" w:sz="4" w:space="0" w:color="auto"/>
              <w:bottom w:val="single" w:sz="4" w:space="0" w:color="auto"/>
            </w:tcBorders>
            <w:vAlign w:val="center"/>
          </w:tcPr>
          <w:p w14:paraId="26B600FB" w14:textId="195FF3FF" w:rsidR="00EB6370" w:rsidRPr="00542E7E" w:rsidRDefault="00EB6370" w:rsidP="009340B0">
            <w:pPr>
              <w:spacing w:line="240" w:lineRule="auto"/>
              <w:jc w:val="center"/>
              <w:rPr>
                <w:rFonts w:eastAsia="Times New Roman" w:cs="Arial"/>
                <w:b/>
                <w:bCs/>
                <w:color w:val="000000"/>
                <w:sz w:val="20"/>
                <w:szCs w:val="20"/>
              </w:rPr>
            </w:pPr>
            <w:r>
              <w:rPr>
                <w:rFonts w:eastAsia="Times New Roman" w:cs="Arial"/>
                <w:b/>
                <w:bCs/>
                <w:color w:val="000000"/>
                <w:sz w:val="20"/>
                <w:szCs w:val="20"/>
              </w:rPr>
              <w:t>Todos os métodos</w:t>
            </w:r>
          </w:p>
        </w:tc>
        <w:tc>
          <w:tcPr>
            <w:tcW w:w="1417" w:type="dxa"/>
            <w:tcBorders>
              <w:top w:val="single" w:sz="4" w:space="0" w:color="auto"/>
              <w:bottom w:val="single" w:sz="4" w:space="0" w:color="auto"/>
            </w:tcBorders>
            <w:vAlign w:val="center"/>
          </w:tcPr>
          <w:p w14:paraId="2F5074C7" w14:textId="77777777" w:rsidR="00EB6370" w:rsidRPr="00542E7E" w:rsidRDefault="00EB6370" w:rsidP="009340B0">
            <w:pPr>
              <w:spacing w:line="240" w:lineRule="auto"/>
              <w:jc w:val="center"/>
              <w:rPr>
                <w:rFonts w:eastAsia="Times New Roman" w:cs="Arial"/>
                <w:b/>
                <w:bCs/>
                <w:color w:val="000000"/>
                <w:sz w:val="20"/>
                <w:szCs w:val="20"/>
              </w:rPr>
            </w:pPr>
            <w:r>
              <w:rPr>
                <w:rFonts w:eastAsia="Times New Roman" w:cs="Arial"/>
                <w:b/>
                <w:bCs/>
                <w:color w:val="000000"/>
                <w:sz w:val="20"/>
                <w:szCs w:val="20"/>
              </w:rPr>
              <w:t xml:space="preserve">Padrão </w:t>
            </w:r>
            <w:r w:rsidRPr="00542E7E">
              <w:rPr>
                <w:rFonts w:eastAsia="Times New Roman" w:cs="Arial"/>
                <w:b/>
                <w:bCs/>
                <w:color w:val="000000"/>
                <w:sz w:val="20"/>
                <w:szCs w:val="20"/>
              </w:rPr>
              <w:t>Referência</w:t>
            </w:r>
          </w:p>
        </w:tc>
        <w:tc>
          <w:tcPr>
            <w:tcW w:w="1276" w:type="dxa"/>
            <w:tcBorders>
              <w:top w:val="single" w:sz="4" w:space="0" w:color="auto"/>
              <w:bottom w:val="single" w:sz="4" w:space="0" w:color="auto"/>
            </w:tcBorders>
            <w:vAlign w:val="center"/>
          </w:tcPr>
          <w:p w14:paraId="3C9CB6BB" w14:textId="77777777" w:rsidR="00EB6370" w:rsidRPr="006853A2" w:rsidRDefault="00EB6370" w:rsidP="009340B0">
            <w:pPr>
              <w:spacing w:line="240" w:lineRule="auto"/>
              <w:jc w:val="center"/>
              <w:rPr>
                <w:rFonts w:eastAsia="Times New Roman" w:cs="Arial"/>
                <w:b/>
                <w:bCs/>
                <w:i/>
                <w:iCs/>
                <w:color w:val="000000"/>
                <w:sz w:val="20"/>
                <w:szCs w:val="20"/>
              </w:rPr>
            </w:pPr>
            <w:r>
              <w:rPr>
                <w:rFonts w:eastAsia="Times New Roman" w:cs="Arial"/>
                <w:b/>
                <w:bCs/>
                <w:i/>
                <w:iCs/>
                <w:color w:val="000000"/>
                <w:sz w:val="20"/>
                <w:szCs w:val="20"/>
              </w:rPr>
              <w:t>GTT-IHI</w:t>
            </w:r>
          </w:p>
        </w:tc>
        <w:tc>
          <w:tcPr>
            <w:tcW w:w="1276" w:type="dxa"/>
            <w:tcBorders>
              <w:top w:val="single" w:sz="4" w:space="0" w:color="auto"/>
              <w:bottom w:val="single" w:sz="4" w:space="0" w:color="auto"/>
            </w:tcBorders>
            <w:vAlign w:val="center"/>
          </w:tcPr>
          <w:p w14:paraId="2BC285DC" w14:textId="0817EB7D" w:rsidR="00EB6370" w:rsidRDefault="00EB6370" w:rsidP="009340B0">
            <w:pPr>
              <w:spacing w:line="240" w:lineRule="auto"/>
              <w:jc w:val="center"/>
              <w:rPr>
                <w:rFonts w:eastAsia="Times New Roman" w:cs="Arial"/>
                <w:b/>
                <w:bCs/>
                <w:i/>
                <w:iCs/>
                <w:color w:val="000000"/>
                <w:sz w:val="20"/>
                <w:szCs w:val="20"/>
              </w:rPr>
            </w:pPr>
            <w:r>
              <w:rPr>
                <w:rFonts w:eastAsia="Times New Roman" w:cs="Arial"/>
                <w:b/>
                <w:bCs/>
                <w:i/>
                <w:iCs/>
                <w:color w:val="000000"/>
                <w:sz w:val="20"/>
                <w:szCs w:val="20"/>
              </w:rPr>
              <w:t>P**</w:t>
            </w:r>
          </w:p>
        </w:tc>
      </w:tr>
      <w:tr w:rsidR="00EB6370" w:rsidRPr="00542E7E" w14:paraId="3D6E8735" w14:textId="609600E4" w:rsidTr="00EB6370">
        <w:trPr>
          <w:trHeight w:val="454"/>
          <w:jc w:val="center"/>
        </w:trPr>
        <w:tc>
          <w:tcPr>
            <w:tcW w:w="1985" w:type="dxa"/>
            <w:tcBorders>
              <w:top w:val="single" w:sz="4" w:space="0" w:color="auto"/>
            </w:tcBorders>
            <w:vAlign w:val="center"/>
          </w:tcPr>
          <w:p w14:paraId="1EBCD8A3" w14:textId="77777777" w:rsidR="00EB6370" w:rsidRPr="00542E7E" w:rsidRDefault="00EB6370" w:rsidP="009340B0">
            <w:pPr>
              <w:spacing w:line="240" w:lineRule="auto"/>
              <w:jc w:val="left"/>
              <w:rPr>
                <w:rFonts w:eastAsia="Times New Roman" w:cs="Arial"/>
                <w:color w:val="000000"/>
                <w:sz w:val="20"/>
                <w:szCs w:val="20"/>
              </w:rPr>
            </w:pPr>
            <w:r>
              <w:rPr>
                <w:rFonts w:eastAsia="Times New Roman" w:cs="Arial"/>
                <w:color w:val="000000"/>
                <w:sz w:val="20"/>
                <w:szCs w:val="20"/>
              </w:rPr>
              <w:t>E</w:t>
            </w:r>
          </w:p>
        </w:tc>
        <w:tc>
          <w:tcPr>
            <w:tcW w:w="1843" w:type="dxa"/>
            <w:tcBorders>
              <w:top w:val="single" w:sz="4" w:space="0" w:color="auto"/>
            </w:tcBorders>
            <w:vAlign w:val="center"/>
          </w:tcPr>
          <w:p w14:paraId="4DCFA787" w14:textId="77777777" w:rsidR="00EB6370" w:rsidRDefault="00EB6370" w:rsidP="009340B0">
            <w:pPr>
              <w:spacing w:line="240" w:lineRule="auto"/>
              <w:jc w:val="center"/>
              <w:rPr>
                <w:rFonts w:eastAsia="Times New Roman" w:cs="Arial"/>
                <w:color w:val="000000"/>
                <w:sz w:val="20"/>
                <w:szCs w:val="20"/>
              </w:rPr>
            </w:pPr>
            <w:r>
              <w:rPr>
                <w:rFonts w:eastAsia="Times New Roman" w:cs="Arial"/>
                <w:color w:val="000000"/>
                <w:sz w:val="20"/>
                <w:szCs w:val="20"/>
              </w:rPr>
              <w:t>160</w:t>
            </w:r>
          </w:p>
        </w:tc>
        <w:tc>
          <w:tcPr>
            <w:tcW w:w="1417" w:type="dxa"/>
            <w:tcBorders>
              <w:top w:val="single" w:sz="4" w:space="0" w:color="auto"/>
            </w:tcBorders>
            <w:vAlign w:val="center"/>
          </w:tcPr>
          <w:p w14:paraId="325AB65E" w14:textId="77777777" w:rsidR="00EB6370" w:rsidRPr="00542E7E" w:rsidRDefault="00EB6370" w:rsidP="009340B0">
            <w:pPr>
              <w:spacing w:line="240" w:lineRule="auto"/>
              <w:jc w:val="center"/>
              <w:rPr>
                <w:rFonts w:eastAsia="Times New Roman" w:cs="Arial"/>
                <w:color w:val="000000"/>
                <w:sz w:val="20"/>
                <w:szCs w:val="20"/>
              </w:rPr>
            </w:pPr>
            <w:r>
              <w:rPr>
                <w:rFonts w:eastAsia="Times New Roman" w:cs="Arial"/>
                <w:color w:val="000000"/>
                <w:sz w:val="20"/>
                <w:szCs w:val="20"/>
              </w:rPr>
              <w:t>124</w:t>
            </w:r>
          </w:p>
        </w:tc>
        <w:tc>
          <w:tcPr>
            <w:tcW w:w="1276" w:type="dxa"/>
            <w:tcBorders>
              <w:top w:val="single" w:sz="4" w:space="0" w:color="auto"/>
            </w:tcBorders>
            <w:vAlign w:val="center"/>
          </w:tcPr>
          <w:p w14:paraId="5D130332" w14:textId="77777777" w:rsidR="00EB6370" w:rsidRPr="00542E7E" w:rsidRDefault="00EB6370" w:rsidP="009340B0">
            <w:pPr>
              <w:spacing w:line="240" w:lineRule="auto"/>
              <w:jc w:val="center"/>
              <w:rPr>
                <w:rFonts w:eastAsia="Times New Roman" w:cs="Arial"/>
                <w:color w:val="000000"/>
                <w:sz w:val="20"/>
                <w:szCs w:val="20"/>
              </w:rPr>
            </w:pPr>
            <w:r>
              <w:rPr>
                <w:rFonts w:eastAsia="Times New Roman" w:cs="Arial"/>
                <w:color w:val="000000"/>
                <w:sz w:val="20"/>
                <w:szCs w:val="20"/>
              </w:rPr>
              <w:t>64</w:t>
            </w:r>
          </w:p>
        </w:tc>
        <w:tc>
          <w:tcPr>
            <w:tcW w:w="1276" w:type="dxa"/>
            <w:tcBorders>
              <w:top w:val="single" w:sz="4" w:space="0" w:color="auto"/>
            </w:tcBorders>
          </w:tcPr>
          <w:p w14:paraId="75AD1EF7" w14:textId="77777777" w:rsidR="00EB6370" w:rsidRDefault="00EB6370" w:rsidP="009340B0">
            <w:pPr>
              <w:spacing w:line="240" w:lineRule="auto"/>
              <w:jc w:val="center"/>
              <w:rPr>
                <w:rFonts w:eastAsia="Times New Roman" w:cs="Arial"/>
                <w:color w:val="000000"/>
                <w:sz w:val="20"/>
                <w:szCs w:val="20"/>
              </w:rPr>
            </w:pPr>
          </w:p>
        </w:tc>
      </w:tr>
      <w:tr w:rsidR="00EB6370" w:rsidRPr="00542E7E" w14:paraId="62D1DFB6" w14:textId="0D89D867" w:rsidTr="00EB6370">
        <w:trPr>
          <w:trHeight w:val="454"/>
          <w:jc w:val="center"/>
        </w:trPr>
        <w:tc>
          <w:tcPr>
            <w:tcW w:w="1985" w:type="dxa"/>
            <w:vAlign w:val="center"/>
          </w:tcPr>
          <w:p w14:paraId="5445C143" w14:textId="77777777" w:rsidR="00EB6370" w:rsidRPr="00542E7E" w:rsidRDefault="00EB6370" w:rsidP="009340B0">
            <w:pPr>
              <w:spacing w:line="240" w:lineRule="auto"/>
              <w:jc w:val="left"/>
              <w:rPr>
                <w:rFonts w:eastAsia="Times New Roman" w:cs="Arial"/>
                <w:color w:val="000000"/>
                <w:sz w:val="20"/>
                <w:szCs w:val="20"/>
              </w:rPr>
            </w:pPr>
            <w:r>
              <w:rPr>
                <w:rFonts w:eastAsia="Times New Roman" w:cs="Arial"/>
                <w:color w:val="000000"/>
                <w:sz w:val="20"/>
                <w:szCs w:val="20"/>
              </w:rPr>
              <w:t>F</w:t>
            </w:r>
          </w:p>
        </w:tc>
        <w:tc>
          <w:tcPr>
            <w:tcW w:w="1843" w:type="dxa"/>
            <w:vAlign w:val="center"/>
          </w:tcPr>
          <w:p w14:paraId="13140C59" w14:textId="77777777" w:rsidR="00EB6370" w:rsidRDefault="00EB6370" w:rsidP="009340B0">
            <w:pPr>
              <w:spacing w:line="240" w:lineRule="auto"/>
              <w:jc w:val="center"/>
              <w:rPr>
                <w:rFonts w:eastAsia="Times New Roman" w:cs="Arial"/>
                <w:color w:val="000000"/>
                <w:sz w:val="20"/>
                <w:szCs w:val="20"/>
              </w:rPr>
            </w:pPr>
            <w:r>
              <w:rPr>
                <w:rFonts w:eastAsia="Times New Roman" w:cs="Arial"/>
                <w:color w:val="000000"/>
                <w:sz w:val="20"/>
                <w:szCs w:val="20"/>
              </w:rPr>
              <w:t>55</w:t>
            </w:r>
          </w:p>
        </w:tc>
        <w:tc>
          <w:tcPr>
            <w:tcW w:w="1417" w:type="dxa"/>
            <w:vAlign w:val="center"/>
          </w:tcPr>
          <w:p w14:paraId="032A601E" w14:textId="77777777" w:rsidR="00EB6370" w:rsidRPr="00542E7E" w:rsidRDefault="00EB6370" w:rsidP="009340B0">
            <w:pPr>
              <w:spacing w:line="240" w:lineRule="auto"/>
              <w:jc w:val="center"/>
              <w:rPr>
                <w:rFonts w:eastAsia="Times New Roman" w:cs="Arial"/>
                <w:color w:val="000000"/>
                <w:sz w:val="20"/>
                <w:szCs w:val="20"/>
              </w:rPr>
            </w:pPr>
            <w:r>
              <w:rPr>
                <w:rFonts w:eastAsia="Times New Roman" w:cs="Arial"/>
                <w:color w:val="000000"/>
                <w:sz w:val="20"/>
                <w:szCs w:val="20"/>
              </w:rPr>
              <w:t>42</w:t>
            </w:r>
          </w:p>
        </w:tc>
        <w:tc>
          <w:tcPr>
            <w:tcW w:w="1276" w:type="dxa"/>
            <w:vAlign w:val="center"/>
          </w:tcPr>
          <w:p w14:paraId="0BB611B4" w14:textId="77777777" w:rsidR="00EB6370" w:rsidRPr="00542E7E" w:rsidRDefault="00EB6370" w:rsidP="009340B0">
            <w:pPr>
              <w:spacing w:line="240" w:lineRule="auto"/>
              <w:jc w:val="center"/>
              <w:rPr>
                <w:rFonts w:eastAsia="Times New Roman" w:cs="Arial"/>
                <w:color w:val="000000"/>
                <w:sz w:val="20"/>
                <w:szCs w:val="20"/>
              </w:rPr>
            </w:pPr>
            <w:r>
              <w:rPr>
                <w:rFonts w:eastAsia="Times New Roman" w:cs="Arial"/>
                <w:color w:val="000000"/>
                <w:sz w:val="20"/>
                <w:szCs w:val="20"/>
              </w:rPr>
              <w:t>49</w:t>
            </w:r>
          </w:p>
        </w:tc>
        <w:tc>
          <w:tcPr>
            <w:tcW w:w="1276" w:type="dxa"/>
          </w:tcPr>
          <w:p w14:paraId="7C3FA5D4" w14:textId="77777777" w:rsidR="00EB6370" w:rsidRDefault="00EB6370" w:rsidP="009340B0">
            <w:pPr>
              <w:spacing w:line="240" w:lineRule="auto"/>
              <w:jc w:val="center"/>
              <w:rPr>
                <w:rFonts w:eastAsia="Times New Roman" w:cs="Arial"/>
                <w:color w:val="000000"/>
                <w:sz w:val="20"/>
                <w:szCs w:val="20"/>
              </w:rPr>
            </w:pPr>
          </w:p>
        </w:tc>
      </w:tr>
      <w:tr w:rsidR="00EB6370" w:rsidRPr="00542E7E" w14:paraId="187F9F85" w14:textId="30C9C1FC" w:rsidTr="00EB6370">
        <w:trPr>
          <w:trHeight w:val="454"/>
          <w:jc w:val="center"/>
        </w:trPr>
        <w:tc>
          <w:tcPr>
            <w:tcW w:w="1985" w:type="dxa"/>
            <w:vAlign w:val="center"/>
          </w:tcPr>
          <w:p w14:paraId="2880383A" w14:textId="77777777" w:rsidR="00EB6370" w:rsidRPr="00542E7E" w:rsidRDefault="00EB6370" w:rsidP="009340B0">
            <w:pPr>
              <w:spacing w:line="240" w:lineRule="auto"/>
              <w:jc w:val="left"/>
              <w:rPr>
                <w:rFonts w:eastAsia="Times New Roman" w:cs="Arial"/>
                <w:color w:val="000000"/>
                <w:sz w:val="20"/>
                <w:szCs w:val="20"/>
              </w:rPr>
            </w:pPr>
            <w:r>
              <w:rPr>
                <w:rFonts w:eastAsia="Times New Roman" w:cs="Arial"/>
                <w:color w:val="000000"/>
                <w:sz w:val="20"/>
                <w:szCs w:val="20"/>
              </w:rPr>
              <w:t>G</w:t>
            </w:r>
          </w:p>
        </w:tc>
        <w:tc>
          <w:tcPr>
            <w:tcW w:w="1843" w:type="dxa"/>
            <w:vAlign w:val="center"/>
          </w:tcPr>
          <w:p w14:paraId="59F9E1EF" w14:textId="77777777" w:rsidR="00EB6370" w:rsidRDefault="00EB6370" w:rsidP="009340B0">
            <w:pPr>
              <w:spacing w:line="240" w:lineRule="auto"/>
              <w:jc w:val="center"/>
              <w:rPr>
                <w:rFonts w:eastAsia="Times New Roman" w:cs="Arial"/>
                <w:color w:val="000000"/>
                <w:sz w:val="20"/>
                <w:szCs w:val="20"/>
              </w:rPr>
            </w:pPr>
            <w:r>
              <w:rPr>
                <w:rFonts w:eastAsia="Times New Roman" w:cs="Arial"/>
                <w:color w:val="000000"/>
                <w:sz w:val="20"/>
                <w:szCs w:val="20"/>
              </w:rPr>
              <w:t>8</w:t>
            </w:r>
          </w:p>
        </w:tc>
        <w:tc>
          <w:tcPr>
            <w:tcW w:w="1417" w:type="dxa"/>
            <w:vAlign w:val="center"/>
          </w:tcPr>
          <w:p w14:paraId="625D77FF" w14:textId="77777777" w:rsidR="00EB6370" w:rsidRPr="00542E7E" w:rsidRDefault="00EB6370" w:rsidP="009340B0">
            <w:pPr>
              <w:spacing w:line="240" w:lineRule="auto"/>
              <w:jc w:val="center"/>
              <w:rPr>
                <w:rFonts w:eastAsia="Times New Roman" w:cs="Arial"/>
                <w:color w:val="000000"/>
                <w:sz w:val="20"/>
                <w:szCs w:val="20"/>
              </w:rPr>
            </w:pPr>
            <w:r>
              <w:rPr>
                <w:rFonts w:eastAsia="Times New Roman" w:cs="Arial"/>
                <w:color w:val="000000"/>
                <w:sz w:val="20"/>
                <w:szCs w:val="20"/>
              </w:rPr>
              <w:t>3</w:t>
            </w:r>
          </w:p>
        </w:tc>
        <w:tc>
          <w:tcPr>
            <w:tcW w:w="1276" w:type="dxa"/>
            <w:vAlign w:val="center"/>
          </w:tcPr>
          <w:p w14:paraId="36D15A3D" w14:textId="77777777" w:rsidR="00EB6370" w:rsidRPr="00542E7E" w:rsidRDefault="00EB6370" w:rsidP="009340B0">
            <w:pPr>
              <w:spacing w:line="240" w:lineRule="auto"/>
              <w:jc w:val="center"/>
              <w:rPr>
                <w:rFonts w:eastAsia="Times New Roman" w:cs="Arial"/>
                <w:color w:val="000000"/>
                <w:sz w:val="20"/>
                <w:szCs w:val="20"/>
              </w:rPr>
            </w:pPr>
            <w:r>
              <w:rPr>
                <w:rFonts w:eastAsia="Times New Roman" w:cs="Arial"/>
                <w:color w:val="000000"/>
                <w:sz w:val="20"/>
                <w:szCs w:val="20"/>
              </w:rPr>
              <w:t>8</w:t>
            </w:r>
          </w:p>
        </w:tc>
        <w:tc>
          <w:tcPr>
            <w:tcW w:w="1276" w:type="dxa"/>
          </w:tcPr>
          <w:p w14:paraId="47239FB6" w14:textId="77777777" w:rsidR="00EB6370" w:rsidRDefault="00EB6370" w:rsidP="009340B0">
            <w:pPr>
              <w:spacing w:line="240" w:lineRule="auto"/>
              <w:jc w:val="center"/>
              <w:rPr>
                <w:rFonts w:eastAsia="Times New Roman" w:cs="Arial"/>
                <w:color w:val="000000"/>
                <w:sz w:val="20"/>
                <w:szCs w:val="20"/>
              </w:rPr>
            </w:pPr>
          </w:p>
        </w:tc>
      </w:tr>
      <w:tr w:rsidR="00EB6370" w:rsidRPr="00542E7E" w14:paraId="2736CF7B" w14:textId="3CB2E7AD" w:rsidTr="00EB6370">
        <w:trPr>
          <w:trHeight w:val="454"/>
          <w:jc w:val="center"/>
        </w:trPr>
        <w:tc>
          <w:tcPr>
            <w:tcW w:w="1985" w:type="dxa"/>
            <w:vAlign w:val="center"/>
          </w:tcPr>
          <w:p w14:paraId="73175E1F" w14:textId="77777777" w:rsidR="00EB6370" w:rsidRPr="00542E7E" w:rsidRDefault="00EB6370" w:rsidP="009340B0">
            <w:pPr>
              <w:spacing w:line="240" w:lineRule="auto"/>
              <w:jc w:val="left"/>
              <w:rPr>
                <w:rFonts w:eastAsia="Times New Roman" w:cs="Arial"/>
                <w:color w:val="000000"/>
                <w:sz w:val="20"/>
                <w:szCs w:val="20"/>
              </w:rPr>
            </w:pPr>
            <w:r>
              <w:rPr>
                <w:rFonts w:eastAsia="Times New Roman" w:cs="Arial"/>
                <w:color w:val="000000"/>
                <w:sz w:val="20"/>
                <w:szCs w:val="20"/>
              </w:rPr>
              <w:t>H</w:t>
            </w:r>
          </w:p>
        </w:tc>
        <w:tc>
          <w:tcPr>
            <w:tcW w:w="1843" w:type="dxa"/>
            <w:vAlign w:val="center"/>
          </w:tcPr>
          <w:p w14:paraId="6282BCED" w14:textId="77777777" w:rsidR="00EB6370" w:rsidRDefault="00EB6370" w:rsidP="009340B0">
            <w:pPr>
              <w:spacing w:line="240" w:lineRule="auto"/>
              <w:jc w:val="center"/>
              <w:rPr>
                <w:rFonts w:eastAsia="Times New Roman" w:cs="Arial"/>
                <w:color w:val="000000"/>
                <w:sz w:val="20"/>
                <w:szCs w:val="20"/>
              </w:rPr>
            </w:pPr>
            <w:r>
              <w:rPr>
                <w:rFonts w:eastAsia="Times New Roman" w:cs="Arial"/>
                <w:color w:val="000000"/>
                <w:sz w:val="20"/>
                <w:szCs w:val="20"/>
              </w:rPr>
              <w:t>10</w:t>
            </w:r>
          </w:p>
        </w:tc>
        <w:tc>
          <w:tcPr>
            <w:tcW w:w="1417" w:type="dxa"/>
            <w:vAlign w:val="center"/>
          </w:tcPr>
          <w:p w14:paraId="4C96BF11" w14:textId="77777777" w:rsidR="00EB6370" w:rsidRPr="00542E7E" w:rsidRDefault="00EB6370" w:rsidP="009340B0">
            <w:pPr>
              <w:spacing w:line="240" w:lineRule="auto"/>
              <w:jc w:val="center"/>
              <w:rPr>
                <w:rFonts w:eastAsia="Times New Roman" w:cs="Arial"/>
                <w:color w:val="000000"/>
                <w:sz w:val="20"/>
                <w:szCs w:val="20"/>
              </w:rPr>
            </w:pPr>
            <w:r>
              <w:rPr>
                <w:rFonts w:eastAsia="Times New Roman" w:cs="Arial"/>
                <w:color w:val="000000"/>
                <w:sz w:val="20"/>
                <w:szCs w:val="20"/>
              </w:rPr>
              <w:t>7</w:t>
            </w:r>
          </w:p>
        </w:tc>
        <w:tc>
          <w:tcPr>
            <w:tcW w:w="1276" w:type="dxa"/>
            <w:vAlign w:val="center"/>
          </w:tcPr>
          <w:p w14:paraId="4E2CC964" w14:textId="77777777" w:rsidR="00EB6370" w:rsidRPr="00542E7E" w:rsidRDefault="00EB6370" w:rsidP="009340B0">
            <w:pPr>
              <w:spacing w:line="240" w:lineRule="auto"/>
              <w:jc w:val="center"/>
              <w:rPr>
                <w:rFonts w:eastAsia="Times New Roman" w:cs="Arial"/>
                <w:color w:val="000000"/>
                <w:sz w:val="20"/>
                <w:szCs w:val="20"/>
              </w:rPr>
            </w:pPr>
            <w:r>
              <w:rPr>
                <w:rFonts w:eastAsia="Times New Roman" w:cs="Arial"/>
                <w:color w:val="000000"/>
                <w:sz w:val="20"/>
                <w:szCs w:val="20"/>
              </w:rPr>
              <w:t>8</w:t>
            </w:r>
          </w:p>
        </w:tc>
        <w:tc>
          <w:tcPr>
            <w:tcW w:w="1276" w:type="dxa"/>
          </w:tcPr>
          <w:p w14:paraId="366EBA87" w14:textId="77777777" w:rsidR="00EB6370" w:rsidRDefault="00EB6370" w:rsidP="009340B0">
            <w:pPr>
              <w:spacing w:line="240" w:lineRule="auto"/>
              <w:jc w:val="center"/>
              <w:rPr>
                <w:rFonts w:eastAsia="Times New Roman" w:cs="Arial"/>
                <w:color w:val="000000"/>
                <w:sz w:val="20"/>
                <w:szCs w:val="20"/>
              </w:rPr>
            </w:pPr>
          </w:p>
        </w:tc>
      </w:tr>
      <w:tr w:rsidR="00EB6370" w:rsidRPr="00542E7E" w14:paraId="2648144D" w14:textId="50F6AF59" w:rsidTr="00EB6370">
        <w:trPr>
          <w:trHeight w:val="454"/>
          <w:jc w:val="center"/>
        </w:trPr>
        <w:tc>
          <w:tcPr>
            <w:tcW w:w="1985" w:type="dxa"/>
            <w:vAlign w:val="center"/>
          </w:tcPr>
          <w:p w14:paraId="7CC26677" w14:textId="77777777" w:rsidR="00EB6370" w:rsidRPr="00542E7E" w:rsidRDefault="00EB6370" w:rsidP="009340B0">
            <w:pPr>
              <w:spacing w:line="240" w:lineRule="auto"/>
              <w:jc w:val="left"/>
              <w:rPr>
                <w:rFonts w:eastAsia="Times New Roman" w:cs="Arial"/>
                <w:color w:val="000000"/>
                <w:sz w:val="20"/>
                <w:szCs w:val="20"/>
              </w:rPr>
            </w:pPr>
            <w:r>
              <w:rPr>
                <w:rFonts w:eastAsia="Times New Roman" w:cs="Arial"/>
                <w:color w:val="000000"/>
                <w:sz w:val="20"/>
                <w:szCs w:val="20"/>
              </w:rPr>
              <w:t>I</w:t>
            </w:r>
            <w:r w:rsidRPr="00542E7E">
              <w:rPr>
                <w:rFonts w:eastAsia="Times New Roman" w:cs="Arial"/>
                <w:color w:val="000000"/>
                <w:sz w:val="20"/>
                <w:szCs w:val="20"/>
              </w:rPr>
              <w:t xml:space="preserve"> </w:t>
            </w:r>
          </w:p>
        </w:tc>
        <w:tc>
          <w:tcPr>
            <w:tcW w:w="1843" w:type="dxa"/>
            <w:vAlign w:val="center"/>
          </w:tcPr>
          <w:p w14:paraId="48E1D9B1" w14:textId="77777777" w:rsidR="00EB6370" w:rsidRDefault="00EB6370" w:rsidP="009340B0">
            <w:pPr>
              <w:spacing w:line="240" w:lineRule="auto"/>
              <w:jc w:val="center"/>
              <w:rPr>
                <w:rFonts w:eastAsia="Times New Roman" w:cs="Arial"/>
                <w:color w:val="000000"/>
                <w:sz w:val="20"/>
                <w:szCs w:val="20"/>
              </w:rPr>
            </w:pPr>
            <w:r>
              <w:rPr>
                <w:rFonts w:eastAsia="Times New Roman" w:cs="Arial"/>
                <w:color w:val="000000"/>
                <w:sz w:val="20"/>
                <w:szCs w:val="20"/>
              </w:rPr>
              <w:t>0</w:t>
            </w:r>
          </w:p>
        </w:tc>
        <w:tc>
          <w:tcPr>
            <w:tcW w:w="1417" w:type="dxa"/>
            <w:vAlign w:val="center"/>
          </w:tcPr>
          <w:p w14:paraId="1B693BE3" w14:textId="77777777" w:rsidR="00EB6370" w:rsidRPr="00542E7E" w:rsidRDefault="00EB6370" w:rsidP="009340B0">
            <w:pPr>
              <w:spacing w:line="240" w:lineRule="auto"/>
              <w:jc w:val="center"/>
              <w:rPr>
                <w:rFonts w:eastAsia="Times New Roman" w:cs="Arial"/>
                <w:color w:val="000000"/>
                <w:sz w:val="20"/>
                <w:szCs w:val="20"/>
              </w:rPr>
            </w:pPr>
            <w:r>
              <w:rPr>
                <w:rFonts w:eastAsia="Times New Roman" w:cs="Arial"/>
                <w:color w:val="000000"/>
                <w:sz w:val="20"/>
                <w:szCs w:val="20"/>
              </w:rPr>
              <w:t>0</w:t>
            </w:r>
          </w:p>
        </w:tc>
        <w:tc>
          <w:tcPr>
            <w:tcW w:w="1276" w:type="dxa"/>
            <w:vAlign w:val="center"/>
          </w:tcPr>
          <w:p w14:paraId="2F2B2C1D" w14:textId="77777777" w:rsidR="00EB6370" w:rsidRPr="00542E7E" w:rsidRDefault="00EB6370" w:rsidP="009340B0">
            <w:pPr>
              <w:spacing w:line="240" w:lineRule="auto"/>
              <w:jc w:val="center"/>
              <w:rPr>
                <w:rFonts w:eastAsia="Times New Roman" w:cs="Arial"/>
                <w:color w:val="000000"/>
                <w:sz w:val="20"/>
                <w:szCs w:val="20"/>
              </w:rPr>
            </w:pPr>
            <w:r>
              <w:rPr>
                <w:rFonts w:eastAsia="Times New Roman" w:cs="Arial"/>
                <w:color w:val="000000"/>
                <w:sz w:val="20"/>
                <w:szCs w:val="20"/>
              </w:rPr>
              <w:t>0</w:t>
            </w:r>
          </w:p>
        </w:tc>
        <w:tc>
          <w:tcPr>
            <w:tcW w:w="1276" w:type="dxa"/>
          </w:tcPr>
          <w:p w14:paraId="22B1CF29" w14:textId="77777777" w:rsidR="00EB6370" w:rsidRDefault="00EB6370" w:rsidP="009340B0">
            <w:pPr>
              <w:spacing w:line="240" w:lineRule="auto"/>
              <w:jc w:val="center"/>
              <w:rPr>
                <w:rFonts w:eastAsia="Times New Roman" w:cs="Arial"/>
                <w:color w:val="000000"/>
                <w:sz w:val="20"/>
                <w:szCs w:val="20"/>
              </w:rPr>
            </w:pPr>
          </w:p>
        </w:tc>
      </w:tr>
      <w:tr w:rsidR="00EB6370" w:rsidRPr="00542E7E" w14:paraId="4A7A7070" w14:textId="1A652BF7" w:rsidTr="00EB6370">
        <w:trPr>
          <w:trHeight w:val="454"/>
          <w:jc w:val="center"/>
        </w:trPr>
        <w:tc>
          <w:tcPr>
            <w:tcW w:w="1985" w:type="dxa"/>
            <w:tcBorders>
              <w:bottom w:val="single" w:sz="4" w:space="0" w:color="auto"/>
            </w:tcBorders>
            <w:vAlign w:val="center"/>
          </w:tcPr>
          <w:p w14:paraId="363F978E" w14:textId="77777777" w:rsidR="00EB6370" w:rsidRPr="00542E7E" w:rsidRDefault="00EB6370" w:rsidP="009340B0">
            <w:pPr>
              <w:spacing w:line="240" w:lineRule="auto"/>
              <w:jc w:val="left"/>
              <w:rPr>
                <w:rFonts w:eastAsia="Times New Roman" w:cs="Arial"/>
                <w:color w:val="000000"/>
                <w:sz w:val="20"/>
                <w:szCs w:val="20"/>
              </w:rPr>
            </w:pPr>
            <w:r>
              <w:rPr>
                <w:rFonts w:eastAsia="Times New Roman" w:cs="Arial"/>
                <w:color w:val="000000"/>
                <w:sz w:val="20"/>
                <w:szCs w:val="20"/>
              </w:rPr>
              <w:lastRenderedPageBreak/>
              <w:t>F-</w:t>
            </w:r>
            <w:r w:rsidRPr="003B08D0">
              <w:rPr>
                <w:rFonts w:eastAsia="Times New Roman" w:cs="Arial"/>
                <w:color w:val="000000"/>
                <w:sz w:val="20"/>
                <w:szCs w:val="20"/>
              </w:rPr>
              <w:t>I</w:t>
            </w:r>
          </w:p>
        </w:tc>
        <w:tc>
          <w:tcPr>
            <w:tcW w:w="1843" w:type="dxa"/>
            <w:tcBorders>
              <w:bottom w:val="single" w:sz="4" w:space="0" w:color="auto"/>
            </w:tcBorders>
            <w:vAlign w:val="center"/>
          </w:tcPr>
          <w:p w14:paraId="40A5E44C" w14:textId="77777777" w:rsidR="00EB6370" w:rsidRDefault="00EB6370" w:rsidP="009340B0">
            <w:pPr>
              <w:spacing w:line="240" w:lineRule="auto"/>
              <w:jc w:val="center"/>
              <w:rPr>
                <w:rFonts w:eastAsia="Times New Roman" w:cs="Arial"/>
                <w:color w:val="000000"/>
                <w:sz w:val="20"/>
                <w:szCs w:val="20"/>
              </w:rPr>
            </w:pPr>
            <w:r>
              <w:rPr>
                <w:rFonts w:eastAsia="Times New Roman" w:cs="Arial"/>
                <w:color w:val="000000"/>
                <w:sz w:val="20"/>
                <w:szCs w:val="20"/>
              </w:rPr>
              <w:t>73</w:t>
            </w:r>
          </w:p>
        </w:tc>
        <w:tc>
          <w:tcPr>
            <w:tcW w:w="1417" w:type="dxa"/>
            <w:tcBorders>
              <w:bottom w:val="single" w:sz="4" w:space="0" w:color="auto"/>
            </w:tcBorders>
            <w:vAlign w:val="center"/>
          </w:tcPr>
          <w:p w14:paraId="37341CEA" w14:textId="77777777" w:rsidR="00EB6370" w:rsidRPr="00542E7E" w:rsidRDefault="00EB6370" w:rsidP="009340B0">
            <w:pPr>
              <w:spacing w:line="240" w:lineRule="auto"/>
              <w:jc w:val="center"/>
              <w:rPr>
                <w:rFonts w:eastAsia="Times New Roman" w:cs="Arial"/>
                <w:color w:val="000000"/>
                <w:sz w:val="20"/>
                <w:szCs w:val="20"/>
              </w:rPr>
            </w:pPr>
            <w:r>
              <w:rPr>
                <w:rFonts w:eastAsia="Times New Roman" w:cs="Arial"/>
                <w:color w:val="000000"/>
                <w:sz w:val="20"/>
                <w:szCs w:val="20"/>
              </w:rPr>
              <w:t>52</w:t>
            </w:r>
          </w:p>
        </w:tc>
        <w:tc>
          <w:tcPr>
            <w:tcW w:w="1276" w:type="dxa"/>
            <w:tcBorders>
              <w:bottom w:val="single" w:sz="4" w:space="0" w:color="auto"/>
            </w:tcBorders>
            <w:vAlign w:val="center"/>
          </w:tcPr>
          <w:p w14:paraId="654606A9" w14:textId="77777777" w:rsidR="00EB6370" w:rsidRPr="00542E7E" w:rsidRDefault="00EB6370" w:rsidP="009340B0">
            <w:pPr>
              <w:spacing w:line="240" w:lineRule="auto"/>
              <w:jc w:val="center"/>
              <w:rPr>
                <w:rFonts w:eastAsia="Times New Roman" w:cs="Arial"/>
                <w:color w:val="000000"/>
                <w:sz w:val="20"/>
                <w:szCs w:val="20"/>
              </w:rPr>
            </w:pPr>
            <w:r>
              <w:rPr>
                <w:rFonts w:eastAsia="Times New Roman" w:cs="Arial"/>
                <w:color w:val="000000"/>
                <w:sz w:val="20"/>
                <w:szCs w:val="20"/>
              </w:rPr>
              <w:t>65</w:t>
            </w:r>
          </w:p>
        </w:tc>
        <w:tc>
          <w:tcPr>
            <w:tcW w:w="1276" w:type="dxa"/>
            <w:tcBorders>
              <w:bottom w:val="single" w:sz="4" w:space="0" w:color="auto"/>
            </w:tcBorders>
          </w:tcPr>
          <w:p w14:paraId="365474ED" w14:textId="77777777" w:rsidR="00EB6370" w:rsidRDefault="00EB6370" w:rsidP="009340B0">
            <w:pPr>
              <w:spacing w:line="240" w:lineRule="auto"/>
              <w:jc w:val="center"/>
              <w:rPr>
                <w:rFonts w:eastAsia="Times New Roman" w:cs="Arial"/>
                <w:color w:val="000000"/>
                <w:sz w:val="20"/>
                <w:szCs w:val="20"/>
              </w:rPr>
            </w:pPr>
          </w:p>
        </w:tc>
      </w:tr>
    </w:tbl>
    <w:bookmarkEnd w:id="14"/>
    <w:p w14:paraId="563859DE" w14:textId="17B7D3BD" w:rsidR="003B08D0" w:rsidRDefault="003B08D0" w:rsidP="00EB6370">
      <w:pPr>
        <w:spacing w:line="276" w:lineRule="auto"/>
        <w:ind w:left="567" w:right="567"/>
        <w:jc w:val="left"/>
        <w:rPr>
          <w:rFonts w:eastAsia="Times New Roman" w:cs="Arial"/>
          <w:sz w:val="20"/>
          <w:szCs w:val="20"/>
        </w:rPr>
      </w:pPr>
      <w:r>
        <w:rPr>
          <w:rFonts w:eastAsia="Times New Roman" w:cs="Arial"/>
          <w:sz w:val="20"/>
          <w:szCs w:val="20"/>
        </w:rPr>
        <w:t xml:space="preserve">*Classificação da gravidade segundo índice </w:t>
      </w:r>
      <w:r>
        <w:rPr>
          <w:rFonts w:eastAsia="Times New Roman" w:cs="Arial"/>
          <w:i/>
          <w:sz w:val="20"/>
          <w:szCs w:val="20"/>
        </w:rPr>
        <w:t xml:space="preserve">NCC MERP adaptado pelo GTT-IHI: </w:t>
      </w:r>
      <w:r>
        <w:rPr>
          <w:rFonts w:eastAsia="Times New Roman" w:cs="Arial"/>
          <w:sz w:val="20"/>
          <w:szCs w:val="20"/>
        </w:rPr>
        <w:t>categoria E - d</w:t>
      </w:r>
      <w:r w:rsidRPr="00166006">
        <w:rPr>
          <w:rFonts w:eastAsia="Times New Roman" w:cs="Arial"/>
          <w:sz w:val="20"/>
          <w:szCs w:val="20"/>
        </w:rPr>
        <w:t>ano temporário ao paciente</w:t>
      </w:r>
      <w:r>
        <w:rPr>
          <w:rFonts w:eastAsia="Times New Roman" w:cs="Arial"/>
          <w:sz w:val="20"/>
          <w:szCs w:val="20"/>
        </w:rPr>
        <w:t xml:space="preserve"> com necessidade de intervenção; c</w:t>
      </w:r>
      <w:r w:rsidRPr="00166006">
        <w:rPr>
          <w:rFonts w:eastAsia="Times New Roman" w:cs="Arial"/>
          <w:sz w:val="20"/>
          <w:szCs w:val="20"/>
        </w:rPr>
        <w:t>ategoria F</w:t>
      </w:r>
      <w:r>
        <w:rPr>
          <w:rFonts w:eastAsia="Times New Roman" w:cs="Arial"/>
          <w:sz w:val="20"/>
          <w:szCs w:val="20"/>
        </w:rPr>
        <w:t xml:space="preserve"> - d</w:t>
      </w:r>
      <w:r w:rsidRPr="00166006">
        <w:rPr>
          <w:rFonts w:eastAsia="Times New Roman" w:cs="Arial"/>
          <w:sz w:val="20"/>
          <w:szCs w:val="20"/>
        </w:rPr>
        <w:t>ano temporário ao paciente com necessidade de inic</w:t>
      </w:r>
      <w:r>
        <w:rPr>
          <w:rFonts w:eastAsia="Times New Roman" w:cs="Arial"/>
          <w:sz w:val="20"/>
          <w:szCs w:val="20"/>
        </w:rPr>
        <w:t>iar ou prolongar hospitalização; c</w:t>
      </w:r>
      <w:r w:rsidRPr="00166006">
        <w:rPr>
          <w:rFonts w:eastAsia="Times New Roman" w:cs="Arial"/>
          <w:sz w:val="20"/>
          <w:szCs w:val="20"/>
        </w:rPr>
        <w:t>ategoria G</w:t>
      </w:r>
      <w:r>
        <w:rPr>
          <w:rFonts w:eastAsia="Times New Roman" w:cs="Arial"/>
          <w:sz w:val="20"/>
          <w:szCs w:val="20"/>
        </w:rPr>
        <w:t xml:space="preserve"> -dano permanente ao paciente; c</w:t>
      </w:r>
      <w:r w:rsidRPr="00166006">
        <w:rPr>
          <w:rFonts w:eastAsia="Times New Roman" w:cs="Arial"/>
          <w:sz w:val="20"/>
          <w:szCs w:val="20"/>
        </w:rPr>
        <w:t>ategoria H</w:t>
      </w:r>
      <w:r>
        <w:rPr>
          <w:rFonts w:eastAsia="Times New Roman" w:cs="Arial"/>
          <w:sz w:val="20"/>
          <w:szCs w:val="20"/>
        </w:rPr>
        <w:t xml:space="preserve"> - i</w:t>
      </w:r>
      <w:r w:rsidRPr="00166006">
        <w:rPr>
          <w:rFonts w:eastAsia="Times New Roman" w:cs="Arial"/>
          <w:sz w:val="20"/>
          <w:szCs w:val="20"/>
        </w:rPr>
        <w:t>ntervenção nec</w:t>
      </w:r>
      <w:r>
        <w:rPr>
          <w:rFonts w:eastAsia="Times New Roman" w:cs="Arial"/>
          <w:sz w:val="20"/>
          <w:szCs w:val="20"/>
        </w:rPr>
        <w:t xml:space="preserve">essária para manutenção da vida; categoria I - Morte do paciente. </w:t>
      </w:r>
    </w:p>
    <w:p w14:paraId="4ADC8A0A" w14:textId="212B1CD5" w:rsidR="003B08D0" w:rsidRPr="00EB6370" w:rsidRDefault="00EB6370" w:rsidP="00EB6370">
      <w:pPr>
        <w:spacing w:line="276" w:lineRule="auto"/>
        <w:ind w:left="567" w:right="567"/>
        <w:jc w:val="left"/>
        <w:rPr>
          <w:rFonts w:eastAsia="Times New Roman" w:cs="Arial"/>
          <w:color w:val="000000"/>
          <w:sz w:val="20"/>
          <w:szCs w:val="20"/>
        </w:rPr>
      </w:pPr>
      <w:r>
        <w:rPr>
          <w:rFonts w:eastAsia="Times New Roman" w:cs="Arial"/>
          <w:sz w:val="20"/>
          <w:szCs w:val="20"/>
        </w:rPr>
        <w:t xml:space="preserve">** Teste </w:t>
      </w:r>
      <w:proofErr w:type="spellStart"/>
      <w:r w:rsidRPr="00EB6370">
        <w:rPr>
          <w:rFonts w:eastAsia="Times New Roman" w:cs="Arial"/>
          <w:color w:val="000000"/>
          <w:sz w:val="20"/>
          <w:szCs w:val="20"/>
        </w:rPr>
        <w:t>Qui</w:t>
      </w:r>
      <w:proofErr w:type="spellEnd"/>
      <w:r w:rsidRPr="00EB6370">
        <w:rPr>
          <w:rFonts w:eastAsia="Times New Roman" w:cs="Arial"/>
          <w:color w:val="000000"/>
          <w:sz w:val="20"/>
          <w:szCs w:val="20"/>
        </w:rPr>
        <w:t>-quadrado</w:t>
      </w:r>
    </w:p>
    <w:p w14:paraId="2DA09F7F" w14:textId="77777777" w:rsidR="00A64FA4" w:rsidRDefault="00A64FA4" w:rsidP="00AA6DC8"/>
    <w:p w14:paraId="4F1747B1" w14:textId="0DFDDC3E" w:rsidR="00313573" w:rsidRDefault="0031767B" w:rsidP="00313573">
      <w:r>
        <w:t xml:space="preserve">Quanto </w:t>
      </w:r>
      <w:r w:rsidR="007A45BB">
        <w:t>à</w:t>
      </w:r>
      <w:r>
        <w:t xml:space="preserve"> natureza, o</w:t>
      </w:r>
      <w:r w:rsidR="000E6974">
        <w:t xml:space="preserve">s </w:t>
      </w:r>
      <w:r w:rsidR="00D1714D">
        <w:t xml:space="preserve">tipos de </w:t>
      </w:r>
      <w:r w:rsidR="000E6974">
        <w:t xml:space="preserve">eventos adversos mais frequentemente encontrados </w:t>
      </w:r>
      <w:r>
        <w:t>foram aqueles relacionados</w:t>
      </w:r>
      <w:r w:rsidR="000E6974">
        <w:t xml:space="preserve"> </w:t>
      </w:r>
      <w:r w:rsidR="003D698C">
        <w:t>a</w:t>
      </w:r>
      <w:r w:rsidR="000E6974">
        <w:t xml:space="preserve"> acesso venoso periférico (</w:t>
      </w:r>
      <w:r w:rsidR="000039B2">
        <w:t>n=</w:t>
      </w:r>
      <w:commentRangeStart w:id="15"/>
      <w:r w:rsidR="000E6974">
        <w:t>6</w:t>
      </w:r>
      <w:r w:rsidR="006E1899">
        <w:t>7</w:t>
      </w:r>
      <w:commentRangeEnd w:id="15"/>
      <w:r w:rsidR="003D698C">
        <w:rPr>
          <w:rStyle w:val="Refdecomentrio"/>
          <w:lang w:val="x-none" w:eastAsia="x-none"/>
        </w:rPr>
        <w:commentReference w:id="15"/>
      </w:r>
      <w:r w:rsidR="000E6974">
        <w:t xml:space="preserve">), </w:t>
      </w:r>
      <w:r w:rsidR="006E1899">
        <w:t xml:space="preserve">eventos </w:t>
      </w:r>
      <w:r w:rsidR="000E6974">
        <w:t>medicamento</w:t>
      </w:r>
      <w:r w:rsidR="006E1899">
        <w:t>so</w:t>
      </w:r>
      <w:r w:rsidR="000E6974">
        <w:t>s (</w:t>
      </w:r>
      <w:r w:rsidR="000039B2">
        <w:t>n=</w:t>
      </w:r>
      <w:r w:rsidR="006E1899">
        <w:t>54</w:t>
      </w:r>
      <w:r w:rsidR="000E6974">
        <w:t>), cirúrgicos</w:t>
      </w:r>
      <w:r w:rsidR="006E1899">
        <w:t>/</w:t>
      </w:r>
      <w:r w:rsidR="000E6974">
        <w:t>anestésicos (</w:t>
      </w:r>
      <w:r w:rsidR="000039B2">
        <w:t>n=</w:t>
      </w:r>
      <w:r w:rsidR="000E6974">
        <w:t>3</w:t>
      </w:r>
      <w:r w:rsidR="006E1899">
        <w:t>0</w:t>
      </w:r>
      <w:r w:rsidR="000E6974">
        <w:t>) e infecções (</w:t>
      </w:r>
      <w:r w:rsidR="000039B2">
        <w:t>n=</w:t>
      </w:r>
      <w:r w:rsidR="006E1899">
        <w:t>23</w:t>
      </w:r>
      <w:r w:rsidR="000E6974">
        <w:t>)</w:t>
      </w:r>
      <w:r w:rsidR="004E7E2D">
        <w:t xml:space="preserve"> (Tabela </w:t>
      </w:r>
      <w:r w:rsidR="003B08D0">
        <w:t>3</w:t>
      </w:r>
      <w:r w:rsidR="004E7E2D">
        <w:t xml:space="preserve">). </w:t>
      </w:r>
      <w:r w:rsidR="00147BC2">
        <w:t>O</w:t>
      </w:r>
      <w:r w:rsidR="00DE5C9E">
        <w:t xml:space="preserve"> </w:t>
      </w:r>
      <w:r w:rsidR="00DE5C9E">
        <w:rPr>
          <w:i/>
          <w:iCs/>
        </w:rPr>
        <w:t xml:space="preserve">GTT </w:t>
      </w:r>
      <w:r w:rsidR="00DE5C9E">
        <w:t>não identificou nenhum dos</w:t>
      </w:r>
      <w:r w:rsidR="00147BC2">
        <w:t xml:space="preserve"> 16</w:t>
      </w:r>
      <w:r w:rsidR="00DE5C9E">
        <w:t xml:space="preserve"> eventos relacionados a cateteres gástricos/entéricos e apenas 2 dos 67 eventos relacionados a acesso venoso </w:t>
      </w:r>
      <w:commentRangeStart w:id="16"/>
      <w:r w:rsidR="00DE5C9E">
        <w:t>periférico</w:t>
      </w:r>
      <w:commentRangeEnd w:id="16"/>
      <w:r w:rsidR="00DE5C9E">
        <w:rPr>
          <w:rStyle w:val="Refdecomentrio"/>
          <w:lang w:val="x-none" w:eastAsia="x-none"/>
        </w:rPr>
        <w:commentReference w:id="16"/>
      </w:r>
      <w:r w:rsidR="00DE5C9E">
        <w:t xml:space="preserve">. </w:t>
      </w:r>
      <w:r w:rsidR="00313573">
        <w:t xml:space="preserve">Entre os 176 eventos detectados pelo padrão referência, 103 foram identificados exclusivamente por rastreadores de </w:t>
      </w:r>
      <w:r w:rsidR="00D908A7">
        <w:t xml:space="preserve">cuidado que em </w:t>
      </w:r>
      <w:r w:rsidR="00313573">
        <w:t>tempo real colhidos de entrevistas com os profissionais, sendo 59 relacionados a acesso venoso periférico e 14 relacionado</w:t>
      </w:r>
      <w:r w:rsidR="00975281">
        <w:t>s</w:t>
      </w:r>
      <w:r w:rsidR="00313573">
        <w:t xml:space="preserve"> a cateter</w:t>
      </w:r>
      <w:r w:rsidR="00AE542F">
        <w:t>es</w:t>
      </w:r>
      <w:r w:rsidR="00313573">
        <w:t xml:space="preserve"> gástr</w:t>
      </w:r>
      <w:r w:rsidR="00AE542F">
        <w:t>icos</w:t>
      </w:r>
      <w:r w:rsidR="00313573">
        <w:t>/entérico</w:t>
      </w:r>
      <w:r w:rsidR="00AE542F">
        <w:t>s</w:t>
      </w:r>
      <w:r w:rsidR="00313573">
        <w:t xml:space="preserve">. Apesar dos revisores médicos do padrão referência terem encontrado registros em prontuário de 82 </w:t>
      </w:r>
      <w:r w:rsidR="00AE542F">
        <w:t>dos</w:t>
      </w:r>
      <w:r w:rsidR="00313573">
        <w:t xml:space="preserve"> 103 eventos</w:t>
      </w:r>
      <w:r w:rsidR="00AE542F">
        <w:t xml:space="preserve"> detectados a partir de relatos</w:t>
      </w:r>
      <w:r w:rsidR="00313573">
        <w:t xml:space="preserve">, o </w:t>
      </w:r>
      <w:r w:rsidR="00313573">
        <w:rPr>
          <w:i/>
          <w:iCs/>
        </w:rPr>
        <w:t xml:space="preserve">GTT </w:t>
      </w:r>
      <w:r w:rsidR="00313573" w:rsidRPr="00E60524">
        <w:t>identificou apenas 18 dele</w:t>
      </w:r>
      <w:r w:rsidR="00313573">
        <w:t>s</w:t>
      </w:r>
      <w:r w:rsidR="00975281">
        <w:t>.</w:t>
      </w:r>
      <w:r w:rsidR="00313573">
        <w:t xml:space="preserve"> </w:t>
      </w:r>
    </w:p>
    <w:p w14:paraId="539546F5" w14:textId="77777777" w:rsidR="000039B2" w:rsidRDefault="000039B2" w:rsidP="00AA6DC8"/>
    <w:p w14:paraId="184A20BE" w14:textId="23D46582" w:rsidR="00063715" w:rsidRDefault="00063715" w:rsidP="00063715">
      <w:pPr>
        <w:pStyle w:val="Legenda"/>
        <w:keepNext/>
        <w:ind w:left="-142"/>
      </w:pPr>
      <w:r>
        <w:t xml:space="preserve">Tabela 3 - </w:t>
      </w:r>
      <w:r w:rsidRPr="001114F3">
        <w:t>Eventos adversos por natureza por método de identificação</w:t>
      </w:r>
      <w:r>
        <w:t xml:space="preserve"> e classificação quanto a gravidade do dano</w:t>
      </w:r>
    </w:p>
    <w:tbl>
      <w:tblPr>
        <w:tblStyle w:val="Tabelacomgrade"/>
        <w:tblW w:w="1063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5"/>
        <w:gridCol w:w="236"/>
        <w:gridCol w:w="1047"/>
        <w:gridCol w:w="1134"/>
        <w:gridCol w:w="236"/>
        <w:gridCol w:w="1040"/>
        <w:gridCol w:w="1134"/>
        <w:gridCol w:w="236"/>
        <w:gridCol w:w="1040"/>
        <w:gridCol w:w="1134"/>
      </w:tblGrid>
      <w:tr w:rsidR="00D90B2C" w:rsidRPr="00542E7E" w14:paraId="73293BDA" w14:textId="77777777" w:rsidTr="00560C2B">
        <w:trPr>
          <w:trHeight w:val="454"/>
          <w:jc w:val="center"/>
        </w:trPr>
        <w:tc>
          <w:tcPr>
            <w:tcW w:w="3395" w:type="dxa"/>
            <w:vMerge w:val="restart"/>
            <w:tcBorders>
              <w:top w:val="single" w:sz="4" w:space="0" w:color="auto"/>
            </w:tcBorders>
            <w:vAlign w:val="center"/>
          </w:tcPr>
          <w:p w14:paraId="721A7D61" w14:textId="24079110" w:rsidR="00D90B2C" w:rsidRPr="00542E7E" w:rsidRDefault="00D90B2C" w:rsidP="000039B2">
            <w:pPr>
              <w:spacing w:line="240" w:lineRule="auto"/>
              <w:jc w:val="center"/>
              <w:rPr>
                <w:rFonts w:eastAsia="Times New Roman" w:cs="Arial"/>
                <w:b/>
                <w:bCs/>
                <w:color w:val="000000"/>
                <w:sz w:val="20"/>
                <w:szCs w:val="20"/>
              </w:rPr>
            </w:pPr>
            <w:bookmarkStart w:id="17" w:name="_Hlk72083554"/>
            <w:r w:rsidRPr="00542E7E">
              <w:rPr>
                <w:rFonts w:eastAsia="Times New Roman" w:cs="Arial"/>
                <w:b/>
                <w:bCs/>
                <w:color w:val="000000"/>
                <w:sz w:val="20"/>
                <w:szCs w:val="20"/>
              </w:rPr>
              <w:t xml:space="preserve">Eventos </w:t>
            </w:r>
            <w:r>
              <w:rPr>
                <w:rFonts w:eastAsia="Times New Roman" w:cs="Arial"/>
                <w:b/>
                <w:bCs/>
                <w:color w:val="000000"/>
                <w:sz w:val="20"/>
                <w:szCs w:val="20"/>
              </w:rPr>
              <w:t xml:space="preserve">adversos </w:t>
            </w:r>
            <w:r w:rsidRPr="00542E7E">
              <w:rPr>
                <w:rFonts w:eastAsia="Times New Roman" w:cs="Arial"/>
                <w:b/>
                <w:bCs/>
                <w:color w:val="000000"/>
                <w:sz w:val="20"/>
                <w:szCs w:val="20"/>
              </w:rPr>
              <w:t>por natureza</w:t>
            </w:r>
          </w:p>
        </w:tc>
        <w:tc>
          <w:tcPr>
            <w:tcW w:w="236" w:type="dxa"/>
            <w:tcBorders>
              <w:top w:val="single" w:sz="4" w:space="0" w:color="auto"/>
            </w:tcBorders>
          </w:tcPr>
          <w:p w14:paraId="7AE5B965" w14:textId="77777777" w:rsidR="00D90B2C" w:rsidRDefault="00D90B2C" w:rsidP="000039B2">
            <w:pPr>
              <w:spacing w:line="240" w:lineRule="auto"/>
              <w:jc w:val="center"/>
              <w:rPr>
                <w:rFonts w:eastAsia="Times New Roman" w:cs="Arial"/>
                <w:b/>
                <w:bCs/>
                <w:color w:val="000000"/>
                <w:sz w:val="20"/>
                <w:szCs w:val="20"/>
              </w:rPr>
            </w:pPr>
          </w:p>
        </w:tc>
        <w:tc>
          <w:tcPr>
            <w:tcW w:w="2181" w:type="dxa"/>
            <w:gridSpan w:val="2"/>
            <w:tcBorders>
              <w:top w:val="single" w:sz="4" w:space="0" w:color="auto"/>
              <w:bottom w:val="single" w:sz="4" w:space="0" w:color="auto"/>
            </w:tcBorders>
            <w:vAlign w:val="center"/>
          </w:tcPr>
          <w:p w14:paraId="7D48ED58" w14:textId="1E6CD763" w:rsidR="00D90B2C" w:rsidRPr="00542E7E" w:rsidRDefault="00063715" w:rsidP="000039B2">
            <w:pPr>
              <w:spacing w:line="240" w:lineRule="auto"/>
              <w:jc w:val="center"/>
              <w:rPr>
                <w:rFonts w:eastAsia="Times New Roman" w:cs="Arial"/>
                <w:b/>
                <w:bCs/>
                <w:color w:val="000000"/>
                <w:sz w:val="20"/>
                <w:szCs w:val="20"/>
              </w:rPr>
            </w:pPr>
            <w:r>
              <w:rPr>
                <w:rFonts w:eastAsia="Times New Roman" w:cs="Arial"/>
                <w:b/>
                <w:bCs/>
                <w:color w:val="000000"/>
                <w:sz w:val="20"/>
                <w:szCs w:val="20"/>
              </w:rPr>
              <w:t>Todos os métodos</w:t>
            </w:r>
          </w:p>
        </w:tc>
        <w:tc>
          <w:tcPr>
            <w:tcW w:w="236" w:type="dxa"/>
            <w:tcBorders>
              <w:top w:val="single" w:sz="4" w:space="0" w:color="auto"/>
            </w:tcBorders>
          </w:tcPr>
          <w:p w14:paraId="39015991" w14:textId="77777777" w:rsidR="00D90B2C" w:rsidRDefault="00D90B2C" w:rsidP="000039B2">
            <w:pPr>
              <w:spacing w:line="240" w:lineRule="auto"/>
              <w:jc w:val="center"/>
              <w:rPr>
                <w:rFonts w:eastAsia="Times New Roman" w:cs="Arial"/>
                <w:b/>
                <w:bCs/>
                <w:color w:val="000000"/>
                <w:sz w:val="20"/>
                <w:szCs w:val="20"/>
              </w:rPr>
            </w:pPr>
          </w:p>
        </w:tc>
        <w:tc>
          <w:tcPr>
            <w:tcW w:w="2174" w:type="dxa"/>
            <w:gridSpan w:val="2"/>
            <w:tcBorders>
              <w:top w:val="single" w:sz="4" w:space="0" w:color="auto"/>
              <w:bottom w:val="single" w:sz="4" w:space="0" w:color="auto"/>
            </w:tcBorders>
            <w:vAlign w:val="center"/>
          </w:tcPr>
          <w:p w14:paraId="71C63397" w14:textId="06F57288" w:rsidR="00D90B2C" w:rsidRDefault="00D90B2C" w:rsidP="000039B2">
            <w:pPr>
              <w:spacing w:line="240" w:lineRule="auto"/>
              <w:jc w:val="center"/>
              <w:rPr>
                <w:rFonts w:eastAsia="Times New Roman" w:cs="Arial"/>
                <w:b/>
                <w:bCs/>
                <w:color w:val="000000"/>
                <w:sz w:val="20"/>
                <w:szCs w:val="20"/>
              </w:rPr>
            </w:pPr>
            <w:r>
              <w:rPr>
                <w:rFonts w:eastAsia="Times New Roman" w:cs="Arial"/>
                <w:b/>
                <w:bCs/>
                <w:color w:val="000000"/>
                <w:sz w:val="20"/>
                <w:szCs w:val="20"/>
              </w:rPr>
              <w:t>Padrão Referência</w:t>
            </w:r>
          </w:p>
        </w:tc>
        <w:tc>
          <w:tcPr>
            <w:tcW w:w="236" w:type="dxa"/>
            <w:tcBorders>
              <w:top w:val="single" w:sz="4" w:space="0" w:color="auto"/>
            </w:tcBorders>
          </w:tcPr>
          <w:p w14:paraId="028AA582" w14:textId="77777777" w:rsidR="00D90B2C" w:rsidRDefault="00D90B2C" w:rsidP="000039B2">
            <w:pPr>
              <w:spacing w:line="240" w:lineRule="auto"/>
              <w:jc w:val="center"/>
              <w:rPr>
                <w:rFonts w:eastAsia="Times New Roman" w:cs="Arial"/>
                <w:b/>
                <w:bCs/>
                <w:color w:val="000000"/>
                <w:sz w:val="20"/>
                <w:szCs w:val="20"/>
              </w:rPr>
            </w:pPr>
          </w:p>
        </w:tc>
        <w:tc>
          <w:tcPr>
            <w:tcW w:w="2174" w:type="dxa"/>
            <w:gridSpan w:val="2"/>
            <w:tcBorders>
              <w:top w:val="single" w:sz="4" w:space="0" w:color="auto"/>
              <w:bottom w:val="single" w:sz="4" w:space="0" w:color="auto"/>
            </w:tcBorders>
            <w:vAlign w:val="center"/>
          </w:tcPr>
          <w:p w14:paraId="5BB613FA" w14:textId="68D006C4" w:rsidR="00D90B2C" w:rsidRPr="006853A2" w:rsidRDefault="00D90B2C" w:rsidP="000039B2">
            <w:pPr>
              <w:spacing w:line="240" w:lineRule="auto"/>
              <w:jc w:val="center"/>
              <w:rPr>
                <w:rFonts w:eastAsia="Times New Roman" w:cs="Arial"/>
                <w:b/>
                <w:bCs/>
                <w:i/>
                <w:iCs/>
                <w:color w:val="000000"/>
                <w:sz w:val="20"/>
                <w:szCs w:val="20"/>
              </w:rPr>
            </w:pPr>
            <w:r>
              <w:rPr>
                <w:rFonts w:eastAsia="Times New Roman" w:cs="Arial"/>
                <w:b/>
                <w:bCs/>
                <w:i/>
                <w:iCs/>
                <w:color w:val="000000"/>
                <w:sz w:val="20"/>
                <w:szCs w:val="20"/>
              </w:rPr>
              <w:t>GTT-IHI</w:t>
            </w:r>
          </w:p>
        </w:tc>
      </w:tr>
      <w:tr w:rsidR="00063715" w:rsidRPr="00542E7E" w14:paraId="0130929C" w14:textId="77777777" w:rsidTr="00560C2B">
        <w:trPr>
          <w:trHeight w:val="454"/>
          <w:jc w:val="center"/>
        </w:trPr>
        <w:tc>
          <w:tcPr>
            <w:tcW w:w="3395" w:type="dxa"/>
            <w:vMerge/>
            <w:tcBorders>
              <w:bottom w:val="single" w:sz="4" w:space="0" w:color="auto"/>
            </w:tcBorders>
            <w:vAlign w:val="center"/>
          </w:tcPr>
          <w:p w14:paraId="7180123A" w14:textId="77777777" w:rsidR="00D90B2C" w:rsidRPr="00542E7E" w:rsidRDefault="00D90B2C" w:rsidP="00D90B2C">
            <w:pPr>
              <w:spacing w:line="240" w:lineRule="auto"/>
              <w:jc w:val="center"/>
              <w:rPr>
                <w:rFonts w:eastAsia="Times New Roman" w:cs="Arial"/>
                <w:b/>
                <w:bCs/>
                <w:color w:val="000000"/>
                <w:sz w:val="20"/>
                <w:szCs w:val="20"/>
              </w:rPr>
            </w:pPr>
          </w:p>
        </w:tc>
        <w:tc>
          <w:tcPr>
            <w:tcW w:w="236" w:type="dxa"/>
          </w:tcPr>
          <w:p w14:paraId="594825B1" w14:textId="77777777" w:rsidR="00D90B2C" w:rsidRDefault="00D90B2C" w:rsidP="00D90B2C">
            <w:pPr>
              <w:spacing w:line="240" w:lineRule="auto"/>
              <w:jc w:val="center"/>
              <w:rPr>
                <w:rFonts w:eastAsia="Times New Roman" w:cs="Arial"/>
                <w:b/>
                <w:bCs/>
                <w:color w:val="000000"/>
                <w:sz w:val="20"/>
                <w:szCs w:val="20"/>
              </w:rPr>
            </w:pPr>
          </w:p>
        </w:tc>
        <w:tc>
          <w:tcPr>
            <w:tcW w:w="1047" w:type="dxa"/>
            <w:tcBorders>
              <w:top w:val="single" w:sz="4" w:space="0" w:color="auto"/>
              <w:bottom w:val="single" w:sz="4" w:space="0" w:color="auto"/>
            </w:tcBorders>
            <w:vAlign w:val="center"/>
          </w:tcPr>
          <w:p w14:paraId="3FDAE36C" w14:textId="62BBDD86" w:rsidR="00D90B2C" w:rsidRDefault="00D90B2C" w:rsidP="00D90B2C">
            <w:pPr>
              <w:spacing w:line="240" w:lineRule="auto"/>
              <w:jc w:val="center"/>
              <w:rPr>
                <w:rFonts w:eastAsia="Times New Roman" w:cs="Arial"/>
                <w:b/>
                <w:bCs/>
                <w:color w:val="000000"/>
                <w:sz w:val="20"/>
                <w:szCs w:val="20"/>
              </w:rPr>
            </w:pPr>
            <w:r>
              <w:rPr>
                <w:rFonts w:eastAsia="Times New Roman" w:cs="Arial"/>
                <w:b/>
                <w:bCs/>
                <w:color w:val="000000"/>
                <w:sz w:val="20"/>
                <w:szCs w:val="20"/>
              </w:rPr>
              <w:t>Total</w:t>
            </w:r>
          </w:p>
        </w:tc>
        <w:tc>
          <w:tcPr>
            <w:tcW w:w="1134" w:type="dxa"/>
            <w:tcBorders>
              <w:top w:val="single" w:sz="4" w:space="0" w:color="auto"/>
              <w:bottom w:val="single" w:sz="4" w:space="0" w:color="auto"/>
            </w:tcBorders>
            <w:vAlign w:val="center"/>
          </w:tcPr>
          <w:p w14:paraId="4B538432" w14:textId="5C2E5424" w:rsidR="00D90B2C" w:rsidRDefault="00D90B2C" w:rsidP="00D90B2C">
            <w:pPr>
              <w:spacing w:line="240" w:lineRule="auto"/>
              <w:jc w:val="center"/>
              <w:rPr>
                <w:rFonts w:eastAsia="Times New Roman" w:cs="Arial"/>
                <w:b/>
                <w:bCs/>
                <w:color w:val="000000"/>
                <w:sz w:val="20"/>
                <w:szCs w:val="20"/>
              </w:rPr>
            </w:pPr>
            <w:r>
              <w:rPr>
                <w:rFonts w:eastAsia="Times New Roman" w:cs="Arial"/>
                <w:b/>
                <w:bCs/>
                <w:color w:val="000000"/>
                <w:sz w:val="20"/>
                <w:szCs w:val="20"/>
              </w:rPr>
              <w:t>F-I</w:t>
            </w:r>
          </w:p>
        </w:tc>
        <w:tc>
          <w:tcPr>
            <w:tcW w:w="236" w:type="dxa"/>
          </w:tcPr>
          <w:p w14:paraId="5E034376" w14:textId="77777777" w:rsidR="00D90B2C" w:rsidRDefault="00D90B2C" w:rsidP="00D90B2C">
            <w:pPr>
              <w:spacing w:line="240" w:lineRule="auto"/>
              <w:jc w:val="center"/>
              <w:rPr>
                <w:rFonts w:eastAsia="Times New Roman" w:cs="Arial"/>
                <w:b/>
                <w:bCs/>
                <w:color w:val="000000"/>
                <w:sz w:val="20"/>
                <w:szCs w:val="20"/>
              </w:rPr>
            </w:pPr>
          </w:p>
        </w:tc>
        <w:tc>
          <w:tcPr>
            <w:tcW w:w="1040" w:type="dxa"/>
            <w:tcBorders>
              <w:top w:val="single" w:sz="4" w:space="0" w:color="auto"/>
              <w:bottom w:val="single" w:sz="4" w:space="0" w:color="auto"/>
            </w:tcBorders>
            <w:vAlign w:val="center"/>
          </w:tcPr>
          <w:p w14:paraId="3E3FE2C7" w14:textId="785EC995" w:rsidR="00D90B2C" w:rsidRDefault="00D90B2C" w:rsidP="00D90B2C">
            <w:pPr>
              <w:spacing w:line="240" w:lineRule="auto"/>
              <w:jc w:val="center"/>
              <w:rPr>
                <w:rFonts w:eastAsia="Times New Roman" w:cs="Arial"/>
                <w:b/>
                <w:bCs/>
                <w:color w:val="000000"/>
                <w:sz w:val="20"/>
                <w:szCs w:val="20"/>
              </w:rPr>
            </w:pPr>
            <w:r>
              <w:rPr>
                <w:rFonts w:eastAsia="Times New Roman" w:cs="Arial"/>
                <w:b/>
                <w:bCs/>
                <w:color w:val="000000"/>
                <w:sz w:val="20"/>
                <w:szCs w:val="20"/>
              </w:rPr>
              <w:t>Total</w:t>
            </w:r>
          </w:p>
        </w:tc>
        <w:tc>
          <w:tcPr>
            <w:tcW w:w="1134" w:type="dxa"/>
            <w:tcBorders>
              <w:top w:val="single" w:sz="4" w:space="0" w:color="auto"/>
              <w:bottom w:val="single" w:sz="4" w:space="0" w:color="auto"/>
            </w:tcBorders>
            <w:vAlign w:val="center"/>
          </w:tcPr>
          <w:p w14:paraId="33EBCF20" w14:textId="67685788" w:rsidR="00D90B2C" w:rsidRDefault="00D90B2C" w:rsidP="00D90B2C">
            <w:pPr>
              <w:spacing w:line="240" w:lineRule="auto"/>
              <w:jc w:val="center"/>
              <w:rPr>
                <w:rFonts w:eastAsia="Times New Roman" w:cs="Arial"/>
                <w:b/>
                <w:bCs/>
                <w:color w:val="000000"/>
                <w:sz w:val="20"/>
                <w:szCs w:val="20"/>
              </w:rPr>
            </w:pPr>
            <w:r>
              <w:rPr>
                <w:rFonts w:eastAsia="Times New Roman" w:cs="Arial"/>
                <w:b/>
                <w:bCs/>
                <w:color w:val="000000"/>
                <w:sz w:val="20"/>
                <w:szCs w:val="20"/>
              </w:rPr>
              <w:t>F-I</w:t>
            </w:r>
          </w:p>
        </w:tc>
        <w:tc>
          <w:tcPr>
            <w:tcW w:w="236" w:type="dxa"/>
          </w:tcPr>
          <w:p w14:paraId="7875C880" w14:textId="77777777" w:rsidR="00D90B2C" w:rsidRDefault="00D90B2C" w:rsidP="00D90B2C">
            <w:pPr>
              <w:spacing w:line="240" w:lineRule="auto"/>
              <w:jc w:val="center"/>
              <w:rPr>
                <w:rFonts w:eastAsia="Times New Roman" w:cs="Arial"/>
                <w:b/>
                <w:bCs/>
                <w:color w:val="000000"/>
                <w:sz w:val="20"/>
                <w:szCs w:val="20"/>
              </w:rPr>
            </w:pPr>
          </w:p>
        </w:tc>
        <w:tc>
          <w:tcPr>
            <w:tcW w:w="1040" w:type="dxa"/>
            <w:tcBorders>
              <w:top w:val="single" w:sz="4" w:space="0" w:color="auto"/>
              <w:bottom w:val="single" w:sz="4" w:space="0" w:color="auto"/>
            </w:tcBorders>
            <w:vAlign w:val="center"/>
          </w:tcPr>
          <w:p w14:paraId="5999DA73" w14:textId="28F2E6BB" w:rsidR="00D90B2C" w:rsidRDefault="00D90B2C" w:rsidP="00D90B2C">
            <w:pPr>
              <w:spacing w:line="240" w:lineRule="auto"/>
              <w:jc w:val="center"/>
              <w:rPr>
                <w:rFonts w:eastAsia="Times New Roman" w:cs="Arial"/>
                <w:b/>
                <w:bCs/>
                <w:color w:val="000000"/>
                <w:sz w:val="20"/>
                <w:szCs w:val="20"/>
              </w:rPr>
            </w:pPr>
            <w:r>
              <w:rPr>
                <w:rFonts w:eastAsia="Times New Roman" w:cs="Arial"/>
                <w:b/>
                <w:bCs/>
                <w:color w:val="000000"/>
                <w:sz w:val="20"/>
                <w:szCs w:val="20"/>
              </w:rPr>
              <w:t>Total</w:t>
            </w:r>
          </w:p>
        </w:tc>
        <w:tc>
          <w:tcPr>
            <w:tcW w:w="1134" w:type="dxa"/>
            <w:tcBorders>
              <w:top w:val="single" w:sz="4" w:space="0" w:color="auto"/>
              <w:bottom w:val="single" w:sz="4" w:space="0" w:color="auto"/>
            </w:tcBorders>
            <w:vAlign w:val="center"/>
          </w:tcPr>
          <w:p w14:paraId="7E5E42AB" w14:textId="098A641C" w:rsidR="00D90B2C" w:rsidRDefault="00D90B2C" w:rsidP="00D90B2C">
            <w:pPr>
              <w:spacing w:line="240" w:lineRule="auto"/>
              <w:jc w:val="center"/>
              <w:rPr>
                <w:rFonts w:eastAsia="Times New Roman" w:cs="Arial"/>
                <w:b/>
                <w:bCs/>
                <w:color w:val="000000"/>
                <w:sz w:val="20"/>
                <w:szCs w:val="20"/>
              </w:rPr>
            </w:pPr>
            <w:r>
              <w:rPr>
                <w:rFonts w:eastAsia="Times New Roman" w:cs="Arial"/>
                <w:b/>
                <w:bCs/>
                <w:color w:val="000000"/>
                <w:sz w:val="20"/>
                <w:szCs w:val="20"/>
              </w:rPr>
              <w:t>F-I</w:t>
            </w:r>
          </w:p>
        </w:tc>
      </w:tr>
      <w:tr w:rsidR="00063715" w:rsidRPr="00542E7E" w14:paraId="0ACAB256" w14:textId="77777777" w:rsidTr="00560C2B">
        <w:trPr>
          <w:trHeight w:val="454"/>
          <w:jc w:val="center"/>
        </w:trPr>
        <w:tc>
          <w:tcPr>
            <w:tcW w:w="3395" w:type="dxa"/>
            <w:tcBorders>
              <w:top w:val="single" w:sz="4" w:space="0" w:color="auto"/>
            </w:tcBorders>
            <w:vAlign w:val="center"/>
          </w:tcPr>
          <w:p w14:paraId="409A557D" w14:textId="77777777" w:rsidR="00D90B2C" w:rsidRPr="00542E7E" w:rsidRDefault="00D90B2C" w:rsidP="009340B0">
            <w:pPr>
              <w:spacing w:line="240" w:lineRule="auto"/>
              <w:jc w:val="left"/>
              <w:rPr>
                <w:rFonts w:eastAsia="Times New Roman" w:cs="Arial"/>
                <w:color w:val="000000"/>
                <w:sz w:val="20"/>
                <w:szCs w:val="20"/>
              </w:rPr>
            </w:pPr>
            <w:r w:rsidRPr="00542E7E">
              <w:rPr>
                <w:rFonts w:eastAsia="Times New Roman" w:cs="Arial"/>
                <w:color w:val="000000"/>
                <w:sz w:val="20"/>
                <w:szCs w:val="20"/>
              </w:rPr>
              <w:t>Acessos venosos periféricos</w:t>
            </w:r>
          </w:p>
        </w:tc>
        <w:tc>
          <w:tcPr>
            <w:tcW w:w="236" w:type="dxa"/>
          </w:tcPr>
          <w:p w14:paraId="4243E878" w14:textId="77777777" w:rsidR="00D90B2C" w:rsidRPr="00542E7E" w:rsidRDefault="00D90B2C" w:rsidP="009340B0">
            <w:pPr>
              <w:spacing w:line="240" w:lineRule="auto"/>
              <w:jc w:val="center"/>
              <w:rPr>
                <w:rFonts w:eastAsia="Times New Roman" w:cs="Arial"/>
                <w:color w:val="000000"/>
                <w:sz w:val="20"/>
                <w:szCs w:val="20"/>
              </w:rPr>
            </w:pPr>
          </w:p>
        </w:tc>
        <w:tc>
          <w:tcPr>
            <w:tcW w:w="1047" w:type="dxa"/>
            <w:tcBorders>
              <w:top w:val="single" w:sz="4" w:space="0" w:color="auto"/>
            </w:tcBorders>
            <w:vAlign w:val="center"/>
          </w:tcPr>
          <w:p w14:paraId="343AA1E0" w14:textId="02ED0E2C"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67</w:t>
            </w:r>
            <w:r w:rsidR="00B138B4">
              <w:rPr>
                <w:rFonts w:eastAsia="Times New Roman" w:cs="Arial"/>
                <w:color w:val="000000"/>
                <w:sz w:val="20"/>
                <w:szCs w:val="20"/>
              </w:rPr>
              <w:t xml:space="preserve"> (28,8)</w:t>
            </w:r>
          </w:p>
        </w:tc>
        <w:tc>
          <w:tcPr>
            <w:tcW w:w="1134" w:type="dxa"/>
            <w:tcBorders>
              <w:top w:val="single" w:sz="4" w:space="0" w:color="auto"/>
            </w:tcBorders>
            <w:vAlign w:val="center"/>
          </w:tcPr>
          <w:p w14:paraId="7BCE84EF" w14:textId="597F8E64"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0</w:t>
            </w:r>
            <w:r w:rsidR="00B138B4">
              <w:rPr>
                <w:rFonts w:eastAsia="Times New Roman" w:cs="Arial"/>
                <w:color w:val="000000"/>
                <w:sz w:val="20"/>
                <w:szCs w:val="20"/>
              </w:rPr>
              <w:t xml:space="preserve"> (0)</w:t>
            </w:r>
          </w:p>
        </w:tc>
        <w:tc>
          <w:tcPr>
            <w:tcW w:w="236" w:type="dxa"/>
          </w:tcPr>
          <w:p w14:paraId="3E63F609" w14:textId="77777777" w:rsidR="00D90B2C" w:rsidRPr="00542E7E" w:rsidRDefault="00D90B2C" w:rsidP="009340B0">
            <w:pPr>
              <w:spacing w:line="240" w:lineRule="auto"/>
              <w:jc w:val="center"/>
              <w:rPr>
                <w:rFonts w:eastAsia="Times New Roman" w:cs="Arial"/>
                <w:color w:val="000000"/>
                <w:sz w:val="20"/>
                <w:szCs w:val="20"/>
              </w:rPr>
            </w:pPr>
          </w:p>
        </w:tc>
        <w:tc>
          <w:tcPr>
            <w:tcW w:w="1040" w:type="dxa"/>
            <w:tcBorders>
              <w:top w:val="single" w:sz="4" w:space="0" w:color="auto"/>
            </w:tcBorders>
            <w:vAlign w:val="center"/>
          </w:tcPr>
          <w:p w14:paraId="44E1586B" w14:textId="4E718AFD"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66</w:t>
            </w:r>
            <w:r w:rsidR="0053199E">
              <w:rPr>
                <w:rFonts w:eastAsia="Times New Roman" w:cs="Arial"/>
                <w:color w:val="000000"/>
                <w:sz w:val="20"/>
                <w:szCs w:val="20"/>
              </w:rPr>
              <w:t xml:space="preserve"> (37,5)</w:t>
            </w:r>
          </w:p>
        </w:tc>
        <w:tc>
          <w:tcPr>
            <w:tcW w:w="1134" w:type="dxa"/>
            <w:tcBorders>
              <w:top w:val="single" w:sz="4" w:space="0" w:color="auto"/>
            </w:tcBorders>
            <w:vAlign w:val="center"/>
          </w:tcPr>
          <w:p w14:paraId="3CCEAD93" w14:textId="5ABA61DE"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0</w:t>
            </w:r>
            <w:r w:rsidR="0053199E">
              <w:rPr>
                <w:rFonts w:eastAsia="Times New Roman" w:cs="Arial"/>
                <w:color w:val="000000"/>
                <w:sz w:val="20"/>
                <w:szCs w:val="20"/>
              </w:rPr>
              <w:t xml:space="preserve"> (0)</w:t>
            </w:r>
          </w:p>
        </w:tc>
        <w:tc>
          <w:tcPr>
            <w:tcW w:w="236" w:type="dxa"/>
          </w:tcPr>
          <w:p w14:paraId="2FCF6B4B" w14:textId="77777777" w:rsidR="00D90B2C" w:rsidRPr="00542E7E" w:rsidRDefault="00D90B2C" w:rsidP="009340B0">
            <w:pPr>
              <w:spacing w:line="240" w:lineRule="auto"/>
              <w:jc w:val="center"/>
              <w:rPr>
                <w:rFonts w:eastAsia="Times New Roman" w:cs="Arial"/>
                <w:color w:val="000000"/>
                <w:sz w:val="20"/>
                <w:szCs w:val="20"/>
              </w:rPr>
            </w:pPr>
          </w:p>
        </w:tc>
        <w:tc>
          <w:tcPr>
            <w:tcW w:w="1040" w:type="dxa"/>
            <w:tcBorders>
              <w:top w:val="single" w:sz="4" w:space="0" w:color="auto"/>
            </w:tcBorders>
            <w:vAlign w:val="center"/>
          </w:tcPr>
          <w:p w14:paraId="5E96BA54" w14:textId="7461E57D"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2</w:t>
            </w:r>
            <w:r w:rsidR="0053199E">
              <w:rPr>
                <w:rFonts w:eastAsia="Times New Roman" w:cs="Arial"/>
                <w:color w:val="000000"/>
                <w:sz w:val="20"/>
                <w:szCs w:val="20"/>
              </w:rPr>
              <w:t xml:space="preserve"> (1,6)</w:t>
            </w:r>
          </w:p>
        </w:tc>
        <w:tc>
          <w:tcPr>
            <w:tcW w:w="1134" w:type="dxa"/>
            <w:tcBorders>
              <w:top w:val="single" w:sz="4" w:space="0" w:color="auto"/>
            </w:tcBorders>
            <w:vAlign w:val="center"/>
          </w:tcPr>
          <w:p w14:paraId="5FE5B7D8" w14:textId="28B0B617"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0</w:t>
            </w:r>
            <w:r w:rsidR="00560C2B">
              <w:rPr>
                <w:rFonts w:eastAsia="Times New Roman" w:cs="Arial"/>
                <w:color w:val="000000"/>
                <w:sz w:val="20"/>
                <w:szCs w:val="20"/>
              </w:rPr>
              <w:t xml:space="preserve"> (0)</w:t>
            </w:r>
          </w:p>
        </w:tc>
      </w:tr>
      <w:tr w:rsidR="00063715" w:rsidRPr="00542E7E" w14:paraId="7832935B" w14:textId="77777777" w:rsidTr="00560C2B">
        <w:trPr>
          <w:trHeight w:val="454"/>
          <w:jc w:val="center"/>
        </w:trPr>
        <w:tc>
          <w:tcPr>
            <w:tcW w:w="3395" w:type="dxa"/>
            <w:vAlign w:val="center"/>
          </w:tcPr>
          <w:p w14:paraId="1D28510E" w14:textId="77777777" w:rsidR="00D90B2C" w:rsidRPr="00542E7E" w:rsidRDefault="00D90B2C" w:rsidP="009340B0">
            <w:pPr>
              <w:spacing w:line="240" w:lineRule="auto"/>
              <w:jc w:val="left"/>
              <w:rPr>
                <w:rFonts w:eastAsia="Times New Roman" w:cs="Arial"/>
                <w:color w:val="000000"/>
                <w:sz w:val="20"/>
                <w:szCs w:val="20"/>
              </w:rPr>
            </w:pPr>
            <w:r w:rsidRPr="00542E7E">
              <w:rPr>
                <w:rFonts w:eastAsia="Times New Roman" w:cs="Arial"/>
                <w:color w:val="000000"/>
                <w:sz w:val="20"/>
                <w:szCs w:val="20"/>
              </w:rPr>
              <w:t>Medicamentosos</w:t>
            </w:r>
          </w:p>
        </w:tc>
        <w:tc>
          <w:tcPr>
            <w:tcW w:w="236" w:type="dxa"/>
          </w:tcPr>
          <w:p w14:paraId="4C79469F" w14:textId="77777777" w:rsidR="00D90B2C" w:rsidRPr="00542E7E" w:rsidRDefault="00D90B2C" w:rsidP="009340B0">
            <w:pPr>
              <w:spacing w:line="240" w:lineRule="auto"/>
              <w:jc w:val="center"/>
              <w:rPr>
                <w:rFonts w:eastAsia="Times New Roman" w:cs="Arial"/>
                <w:color w:val="000000"/>
                <w:sz w:val="20"/>
                <w:szCs w:val="20"/>
              </w:rPr>
            </w:pPr>
          </w:p>
        </w:tc>
        <w:tc>
          <w:tcPr>
            <w:tcW w:w="1047" w:type="dxa"/>
            <w:vAlign w:val="center"/>
          </w:tcPr>
          <w:p w14:paraId="47074B2E" w14:textId="7BB72E2D"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54</w:t>
            </w:r>
            <w:r w:rsidR="00B138B4">
              <w:rPr>
                <w:rFonts w:eastAsia="Times New Roman" w:cs="Arial"/>
                <w:color w:val="000000"/>
                <w:sz w:val="20"/>
                <w:szCs w:val="20"/>
              </w:rPr>
              <w:t xml:space="preserve"> (23,2)</w:t>
            </w:r>
          </w:p>
        </w:tc>
        <w:tc>
          <w:tcPr>
            <w:tcW w:w="1134" w:type="dxa"/>
            <w:vAlign w:val="center"/>
          </w:tcPr>
          <w:p w14:paraId="2EBA4853" w14:textId="430B5404"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13</w:t>
            </w:r>
            <w:r w:rsidR="00B138B4">
              <w:rPr>
                <w:rFonts w:eastAsia="Times New Roman" w:cs="Arial"/>
                <w:color w:val="000000"/>
                <w:sz w:val="20"/>
                <w:szCs w:val="20"/>
              </w:rPr>
              <w:t xml:space="preserve"> (17,8)</w:t>
            </w:r>
          </w:p>
        </w:tc>
        <w:tc>
          <w:tcPr>
            <w:tcW w:w="236" w:type="dxa"/>
          </w:tcPr>
          <w:p w14:paraId="5AA1367A"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5A6B7A87" w14:textId="22447EA2"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29</w:t>
            </w:r>
            <w:r w:rsidR="0053199E">
              <w:rPr>
                <w:rFonts w:eastAsia="Times New Roman" w:cs="Arial"/>
                <w:color w:val="000000"/>
                <w:sz w:val="20"/>
                <w:szCs w:val="20"/>
              </w:rPr>
              <w:t xml:space="preserve"> (16,5)</w:t>
            </w:r>
          </w:p>
        </w:tc>
        <w:tc>
          <w:tcPr>
            <w:tcW w:w="1134" w:type="dxa"/>
            <w:vAlign w:val="center"/>
          </w:tcPr>
          <w:p w14:paraId="3B756182" w14:textId="1B36A598"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10</w:t>
            </w:r>
            <w:r w:rsidR="0053199E">
              <w:rPr>
                <w:rFonts w:eastAsia="Times New Roman" w:cs="Arial"/>
                <w:color w:val="000000"/>
                <w:sz w:val="20"/>
                <w:szCs w:val="20"/>
              </w:rPr>
              <w:t xml:space="preserve"> (19,2)</w:t>
            </w:r>
          </w:p>
        </w:tc>
        <w:tc>
          <w:tcPr>
            <w:tcW w:w="236" w:type="dxa"/>
          </w:tcPr>
          <w:p w14:paraId="064E2497"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10B29468" w14:textId="11D1B607"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46</w:t>
            </w:r>
            <w:r w:rsidR="0053199E">
              <w:rPr>
                <w:rFonts w:eastAsia="Times New Roman" w:cs="Arial"/>
                <w:color w:val="000000"/>
                <w:sz w:val="20"/>
                <w:szCs w:val="20"/>
              </w:rPr>
              <w:t xml:space="preserve"> (35,7)</w:t>
            </w:r>
          </w:p>
        </w:tc>
        <w:tc>
          <w:tcPr>
            <w:tcW w:w="1134" w:type="dxa"/>
            <w:vAlign w:val="center"/>
          </w:tcPr>
          <w:p w14:paraId="212A8B66" w14:textId="418FCE8A"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12</w:t>
            </w:r>
            <w:r w:rsidR="00560C2B">
              <w:rPr>
                <w:rFonts w:eastAsia="Times New Roman" w:cs="Arial"/>
                <w:color w:val="000000"/>
                <w:sz w:val="20"/>
                <w:szCs w:val="20"/>
              </w:rPr>
              <w:t xml:space="preserve"> (18,5)</w:t>
            </w:r>
          </w:p>
        </w:tc>
      </w:tr>
      <w:tr w:rsidR="00063715" w:rsidRPr="00542E7E" w14:paraId="24474E29" w14:textId="77777777" w:rsidTr="00560C2B">
        <w:trPr>
          <w:trHeight w:val="454"/>
          <w:jc w:val="center"/>
        </w:trPr>
        <w:tc>
          <w:tcPr>
            <w:tcW w:w="3395" w:type="dxa"/>
            <w:vAlign w:val="center"/>
          </w:tcPr>
          <w:p w14:paraId="474BF8F4" w14:textId="77777777" w:rsidR="00D90B2C" w:rsidRPr="00542E7E" w:rsidRDefault="00D90B2C" w:rsidP="009340B0">
            <w:pPr>
              <w:spacing w:line="240" w:lineRule="auto"/>
              <w:jc w:val="left"/>
              <w:rPr>
                <w:rFonts w:eastAsia="Times New Roman" w:cs="Arial"/>
                <w:color w:val="000000"/>
                <w:sz w:val="20"/>
                <w:szCs w:val="20"/>
              </w:rPr>
            </w:pPr>
            <w:r w:rsidRPr="00542E7E">
              <w:rPr>
                <w:rFonts w:eastAsia="Times New Roman" w:cs="Arial"/>
                <w:color w:val="000000"/>
                <w:sz w:val="20"/>
                <w:szCs w:val="20"/>
              </w:rPr>
              <w:t>Cirúrgicos/anestésicos</w:t>
            </w:r>
          </w:p>
        </w:tc>
        <w:tc>
          <w:tcPr>
            <w:tcW w:w="236" w:type="dxa"/>
          </w:tcPr>
          <w:p w14:paraId="395DB9D9" w14:textId="77777777" w:rsidR="00D90B2C" w:rsidRPr="00542E7E" w:rsidRDefault="00D90B2C" w:rsidP="009340B0">
            <w:pPr>
              <w:spacing w:line="240" w:lineRule="auto"/>
              <w:jc w:val="center"/>
              <w:rPr>
                <w:rFonts w:eastAsia="Times New Roman" w:cs="Arial"/>
                <w:color w:val="000000"/>
                <w:sz w:val="20"/>
                <w:szCs w:val="20"/>
              </w:rPr>
            </w:pPr>
          </w:p>
        </w:tc>
        <w:tc>
          <w:tcPr>
            <w:tcW w:w="1047" w:type="dxa"/>
            <w:vAlign w:val="center"/>
          </w:tcPr>
          <w:p w14:paraId="7CCE6E0E" w14:textId="22D3C544"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30</w:t>
            </w:r>
            <w:r w:rsidR="00B138B4">
              <w:rPr>
                <w:rFonts w:eastAsia="Times New Roman" w:cs="Arial"/>
                <w:color w:val="000000"/>
                <w:sz w:val="20"/>
                <w:szCs w:val="20"/>
              </w:rPr>
              <w:t xml:space="preserve"> (12,9)</w:t>
            </w:r>
          </w:p>
        </w:tc>
        <w:tc>
          <w:tcPr>
            <w:tcW w:w="1134" w:type="dxa"/>
            <w:vAlign w:val="center"/>
          </w:tcPr>
          <w:p w14:paraId="489A7BE3" w14:textId="6F7FFA1E"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21</w:t>
            </w:r>
            <w:r w:rsidR="00B138B4">
              <w:rPr>
                <w:rFonts w:eastAsia="Times New Roman" w:cs="Arial"/>
                <w:color w:val="000000"/>
                <w:sz w:val="20"/>
                <w:szCs w:val="20"/>
              </w:rPr>
              <w:t xml:space="preserve"> (28,8)</w:t>
            </w:r>
          </w:p>
        </w:tc>
        <w:tc>
          <w:tcPr>
            <w:tcW w:w="236" w:type="dxa"/>
          </w:tcPr>
          <w:p w14:paraId="0D4CC625"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3E6BA915" w14:textId="3CA2D6B3"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19</w:t>
            </w:r>
            <w:r w:rsidR="0053199E">
              <w:rPr>
                <w:rFonts w:eastAsia="Times New Roman" w:cs="Arial"/>
                <w:color w:val="000000"/>
                <w:sz w:val="20"/>
                <w:szCs w:val="20"/>
              </w:rPr>
              <w:t xml:space="preserve"> (10,8)</w:t>
            </w:r>
          </w:p>
        </w:tc>
        <w:tc>
          <w:tcPr>
            <w:tcW w:w="1134" w:type="dxa"/>
            <w:vAlign w:val="center"/>
          </w:tcPr>
          <w:p w14:paraId="698F85BC" w14:textId="01A9FF52"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13</w:t>
            </w:r>
            <w:r w:rsidR="0053199E">
              <w:rPr>
                <w:rFonts w:eastAsia="Times New Roman" w:cs="Arial"/>
                <w:color w:val="000000"/>
                <w:sz w:val="20"/>
                <w:szCs w:val="20"/>
              </w:rPr>
              <w:t xml:space="preserve"> (25,0)</w:t>
            </w:r>
          </w:p>
        </w:tc>
        <w:tc>
          <w:tcPr>
            <w:tcW w:w="236" w:type="dxa"/>
          </w:tcPr>
          <w:p w14:paraId="37A29C0A"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09C9AAD4" w14:textId="22F89CB9"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27</w:t>
            </w:r>
            <w:r w:rsidR="0053199E">
              <w:rPr>
                <w:rFonts w:eastAsia="Times New Roman" w:cs="Arial"/>
                <w:color w:val="000000"/>
                <w:sz w:val="20"/>
                <w:szCs w:val="20"/>
              </w:rPr>
              <w:t xml:space="preserve"> (20,9)</w:t>
            </w:r>
          </w:p>
        </w:tc>
        <w:tc>
          <w:tcPr>
            <w:tcW w:w="1134" w:type="dxa"/>
            <w:vAlign w:val="center"/>
          </w:tcPr>
          <w:p w14:paraId="420A6812" w14:textId="4E51DA14"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21</w:t>
            </w:r>
            <w:r w:rsidR="00560C2B">
              <w:rPr>
                <w:rFonts w:eastAsia="Times New Roman" w:cs="Arial"/>
                <w:color w:val="000000"/>
                <w:sz w:val="20"/>
                <w:szCs w:val="20"/>
              </w:rPr>
              <w:t xml:space="preserve"> (32,3)</w:t>
            </w:r>
          </w:p>
        </w:tc>
      </w:tr>
      <w:tr w:rsidR="00063715" w:rsidRPr="00542E7E" w14:paraId="57229D92" w14:textId="77777777" w:rsidTr="00560C2B">
        <w:trPr>
          <w:trHeight w:val="454"/>
          <w:jc w:val="center"/>
        </w:trPr>
        <w:tc>
          <w:tcPr>
            <w:tcW w:w="3395" w:type="dxa"/>
            <w:vAlign w:val="center"/>
          </w:tcPr>
          <w:p w14:paraId="5E8E49A5" w14:textId="77777777" w:rsidR="00D90B2C" w:rsidRPr="00542E7E" w:rsidRDefault="00D90B2C" w:rsidP="009340B0">
            <w:pPr>
              <w:spacing w:line="240" w:lineRule="auto"/>
              <w:jc w:val="left"/>
              <w:rPr>
                <w:rFonts w:eastAsia="Times New Roman" w:cs="Arial"/>
                <w:color w:val="000000"/>
                <w:sz w:val="20"/>
                <w:szCs w:val="20"/>
              </w:rPr>
            </w:pPr>
            <w:r w:rsidRPr="00542E7E">
              <w:rPr>
                <w:rFonts w:eastAsia="Times New Roman" w:cs="Arial"/>
                <w:color w:val="000000"/>
                <w:sz w:val="20"/>
                <w:szCs w:val="20"/>
              </w:rPr>
              <w:t>Infecções</w:t>
            </w:r>
          </w:p>
        </w:tc>
        <w:tc>
          <w:tcPr>
            <w:tcW w:w="236" w:type="dxa"/>
          </w:tcPr>
          <w:p w14:paraId="7853EF94" w14:textId="77777777" w:rsidR="00D90B2C" w:rsidRPr="00542E7E" w:rsidRDefault="00D90B2C" w:rsidP="009340B0">
            <w:pPr>
              <w:spacing w:line="240" w:lineRule="auto"/>
              <w:jc w:val="center"/>
              <w:rPr>
                <w:rFonts w:eastAsia="Times New Roman" w:cs="Arial"/>
                <w:color w:val="000000"/>
                <w:sz w:val="20"/>
                <w:szCs w:val="20"/>
              </w:rPr>
            </w:pPr>
          </w:p>
        </w:tc>
        <w:tc>
          <w:tcPr>
            <w:tcW w:w="1047" w:type="dxa"/>
            <w:vAlign w:val="center"/>
          </w:tcPr>
          <w:p w14:paraId="21AEBCFF" w14:textId="6FB1F29A"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23</w:t>
            </w:r>
            <w:r w:rsidR="00B138B4">
              <w:rPr>
                <w:rFonts w:eastAsia="Times New Roman" w:cs="Arial"/>
                <w:color w:val="000000"/>
                <w:sz w:val="20"/>
                <w:szCs w:val="20"/>
              </w:rPr>
              <w:t xml:space="preserve"> (9,9)</w:t>
            </w:r>
          </w:p>
        </w:tc>
        <w:tc>
          <w:tcPr>
            <w:tcW w:w="1134" w:type="dxa"/>
            <w:vAlign w:val="center"/>
          </w:tcPr>
          <w:p w14:paraId="13AC151D" w14:textId="3676CF5E"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14</w:t>
            </w:r>
            <w:r w:rsidR="00B138B4">
              <w:rPr>
                <w:rFonts w:eastAsia="Times New Roman" w:cs="Arial"/>
                <w:color w:val="000000"/>
                <w:sz w:val="20"/>
                <w:szCs w:val="20"/>
              </w:rPr>
              <w:t xml:space="preserve"> (19,2)</w:t>
            </w:r>
          </w:p>
        </w:tc>
        <w:tc>
          <w:tcPr>
            <w:tcW w:w="236" w:type="dxa"/>
          </w:tcPr>
          <w:p w14:paraId="0179AE07"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63EFEE74" w14:textId="767B3638"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19</w:t>
            </w:r>
            <w:r w:rsidR="0053199E">
              <w:rPr>
                <w:rFonts w:eastAsia="Times New Roman" w:cs="Arial"/>
                <w:color w:val="000000"/>
                <w:sz w:val="20"/>
                <w:szCs w:val="20"/>
              </w:rPr>
              <w:t xml:space="preserve"> (10,8)</w:t>
            </w:r>
          </w:p>
        </w:tc>
        <w:tc>
          <w:tcPr>
            <w:tcW w:w="1134" w:type="dxa"/>
            <w:vAlign w:val="center"/>
          </w:tcPr>
          <w:p w14:paraId="4BB2A8AA" w14:textId="2239896B"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13</w:t>
            </w:r>
            <w:r w:rsidR="0053199E">
              <w:rPr>
                <w:rFonts w:eastAsia="Times New Roman" w:cs="Arial"/>
                <w:color w:val="000000"/>
                <w:sz w:val="20"/>
                <w:szCs w:val="20"/>
              </w:rPr>
              <w:t xml:space="preserve"> (25,0)</w:t>
            </w:r>
          </w:p>
        </w:tc>
        <w:tc>
          <w:tcPr>
            <w:tcW w:w="236" w:type="dxa"/>
          </w:tcPr>
          <w:p w14:paraId="3035C6B3"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7D45D60D" w14:textId="446DFF50"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22</w:t>
            </w:r>
            <w:r w:rsidR="0053199E">
              <w:rPr>
                <w:rFonts w:eastAsia="Times New Roman" w:cs="Arial"/>
                <w:color w:val="000000"/>
                <w:sz w:val="20"/>
                <w:szCs w:val="20"/>
              </w:rPr>
              <w:t xml:space="preserve"> (17,1)</w:t>
            </w:r>
          </w:p>
        </w:tc>
        <w:tc>
          <w:tcPr>
            <w:tcW w:w="1134" w:type="dxa"/>
            <w:vAlign w:val="center"/>
          </w:tcPr>
          <w:p w14:paraId="1FFD6544" w14:textId="17F00FC5"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13</w:t>
            </w:r>
            <w:r w:rsidR="00560C2B">
              <w:rPr>
                <w:rFonts w:eastAsia="Times New Roman" w:cs="Arial"/>
                <w:color w:val="000000"/>
                <w:sz w:val="20"/>
                <w:szCs w:val="20"/>
              </w:rPr>
              <w:t xml:space="preserve"> (20,0)</w:t>
            </w:r>
          </w:p>
        </w:tc>
      </w:tr>
      <w:tr w:rsidR="00063715" w:rsidRPr="00542E7E" w14:paraId="2DEF1E1D" w14:textId="77777777" w:rsidTr="00560C2B">
        <w:trPr>
          <w:trHeight w:val="454"/>
          <w:jc w:val="center"/>
        </w:trPr>
        <w:tc>
          <w:tcPr>
            <w:tcW w:w="3395" w:type="dxa"/>
            <w:vAlign w:val="center"/>
          </w:tcPr>
          <w:p w14:paraId="6603C8E5" w14:textId="77777777" w:rsidR="00D90B2C" w:rsidRPr="00542E7E" w:rsidRDefault="00D90B2C" w:rsidP="009340B0">
            <w:pPr>
              <w:spacing w:line="240" w:lineRule="auto"/>
              <w:jc w:val="left"/>
              <w:rPr>
                <w:rFonts w:eastAsia="Times New Roman" w:cs="Arial"/>
                <w:color w:val="000000"/>
                <w:sz w:val="20"/>
                <w:szCs w:val="20"/>
              </w:rPr>
            </w:pPr>
            <w:r w:rsidRPr="00542E7E">
              <w:rPr>
                <w:rFonts w:eastAsia="Times New Roman" w:cs="Arial"/>
                <w:color w:val="000000"/>
                <w:sz w:val="20"/>
                <w:szCs w:val="20"/>
              </w:rPr>
              <w:t xml:space="preserve">Atraso na assistência </w:t>
            </w:r>
          </w:p>
        </w:tc>
        <w:tc>
          <w:tcPr>
            <w:tcW w:w="236" w:type="dxa"/>
          </w:tcPr>
          <w:p w14:paraId="6FE1B45B" w14:textId="77777777" w:rsidR="00D90B2C" w:rsidRPr="00542E7E" w:rsidRDefault="00D90B2C" w:rsidP="009340B0">
            <w:pPr>
              <w:spacing w:line="240" w:lineRule="auto"/>
              <w:jc w:val="center"/>
              <w:rPr>
                <w:rFonts w:eastAsia="Times New Roman" w:cs="Arial"/>
                <w:color w:val="000000"/>
                <w:sz w:val="20"/>
                <w:szCs w:val="20"/>
              </w:rPr>
            </w:pPr>
          </w:p>
        </w:tc>
        <w:tc>
          <w:tcPr>
            <w:tcW w:w="1047" w:type="dxa"/>
            <w:vAlign w:val="center"/>
          </w:tcPr>
          <w:p w14:paraId="475FED9F" w14:textId="749B78AC"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16</w:t>
            </w:r>
            <w:r w:rsidR="00B138B4">
              <w:rPr>
                <w:rFonts w:eastAsia="Times New Roman" w:cs="Arial"/>
                <w:color w:val="000000"/>
                <w:sz w:val="20"/>
                <w:szCs w:val="20"/>
              </w:rPr>
              <w:t xml:space="preserve"> (6,9)</w:t>
            </w:r>
          </w:p>
        </w:tc>
        <w:tc>
          <w:tcPr>
            <w:tcW w:w="1134" w:type="dxa"/>
            <w:vAlign w:val="center"/>
          </w:tcPr>
          <w:p w14:paraId="3A3EF7BF" w14:textId="4E7F89BA"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16</w:t>
            </w:r>
            <w:r w:rsidR="00B138B4">
              <w:rPr>
                <w:rFonts w:eastAsia="Times New Roman" w:cs="Arial"/>
                <w:color w:val="000000"/>
                <w:sz w:val="20"/>
                <w:szCs w:val="20"/>
              </w:rPr>
              <w:t xml:space="preserve"> (</w:t>
            </w:r>
            <w:r w:rsidR="0053199E">
              <w:rPr>
                <w:rFonts w:eastAsia="Times New Roman" w:cs="Arial"/>
                <w:color w:val="000000"/>
                <w:sz w:val="20"/>
                <w:szCs w:val="20"/>
              </w:rPr>
              <w:t>21,9)</w:t>
            </w:r>
          </w:p>
        </w:tc>
        <w:tc>
          <w:tcPr>
            <w:tcW w:w="236" w:type="dxa"/>
          </w:tcPr>
          <w:p w14:paraId="48C87849"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2376FD44" w14:textId="1FF9FC63"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12</w:t>
            </w:r>
            <w:r w:rsidR="0053199E">
              <w:rPr>
                <w:rFonts w:eastAsia="Times New Roman" w:cs="Arial"/>
                <w:color w:val="000000"/>
                <w:sz w:val="20"/>
                <w:szCs w:val="20"/>
              </w:rPr>
              <w:t xml:space="preserve"> (6,8)</w:t>
            </w:r>
          </w:p>
        </w:tc>
        <w:tc>
          <w:tcPr>
            <w:tcW w:w="1134" w:type="dxa"/>
            <w:vAlign w:val="center"/>
          </w:tcPr>
          <w:p w14:paraId="1CB32C36" w14:textId="6248C85E"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12</w:t>
            </w:r>
            <w:r w:rsidR="0053199E">
              <w:rPr>
                <w:rFonts w:eastAsia="Times New Roman" w:cs="Arial"/>
                <w:color w:val="000000"/>
                <w:sz w:val="20"/>
                <w:szCs w:val="20"/>
              </w:rPr>
              <w:t xml:space="preserve"> (23,1)</w:t>
            </w:r>
          </w:p>
        </w:tc>
        <w:tc>
          <w:tcPr>
            <w:tcW w:w="236" w:type="dxa"/>
          </w:tcPr>
          <w:p w14:paraId="21DC9B76"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3D8B1831" w14:textId="25D0387D"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12</w:t>
            </w:r>
            <w:r w:rsidR="0053199E">
              <w:rPr>
                <w:rFonts w:eastAsia="Times New Roman" w:cs="Arial"/>
                <w:color w:val="000000"/>
                <w:sz w:val="20"/>
                <w:szCs w:val="20"/>
              </w:rPr>
              <w:t xml:space="preserve"> </w:t>
            </w:r>
            <w:r w:rsidR="00560C2B">
              <w:rPr>
                <w:rFonts w:eastAsia="Times New Roman" w:cs="Arial"/>
                <w:color w:val="000000"/>
                <w:sz w:val="20"/>
                <w:szCs w:val="20"/>
              </w:rPr>
              <w:t>(</w:t>
            </w:r>
            <w:r w:rsidR="0053199E">
              <w:rPr>
                <w:rFonts w:eastAsia="Times New Roman" w:cs="Arial"/>
                <w:color w:val="000000"/>
                <w:sz w:val="20"/>
                <w:szCs w:val="20"/>
              </w:rPr>
              <w:t>9,3)</w:t>
            </w:r>
          </w:p>
        </w:tc>
        <w:tc>
          <w:tcPr>
            <w:tcW w:w="1134" w:type="dxa"/>
            <w:vAlign w:val="center"/>
          </w:tcPr>
          <w:p w14:paraId="20B3D495" w14:textId="0A2B00D8"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12</w:t>
            </w:r>
            <w:r w:rsidR="00560C2B">
              <w:rPr>
                <w:rFonts w:eastAsia="Times New Roman" w:cs="Arial"/>
                <w:color w:val="000000"/>
                <w:sz w:val="20"/>
                <w:szCs w:val="20"/>
              </w:rPr>
              <w:t xml:space="preserve"> (18,5)</w:t>
            </w:r>
          </w:p>
        </w:tc>
      </w:tr>
      <w:tr w:rsidR="00063715" w:rsidRPr="00542E7E" w14:paraId="0936F544" w14:textId="77777777" w:rsidTr="00560C2B">
        <w:trPr>
          <w:trHeight w:val="454"/>
          <w:jc w:val="center"/>
        </w:trPr>
        <w:tc>
          <w:tcPr>
            <w:tcW w:w="3395" w:type="dxa"/>
            <w:vAlign w:val="center"/>
          </w:tcPr>
          <w:p w14:paraId="49630B09" w14:textId="77777777" w:rsidR="00D90B2C" w:rsidRPr="00542E7E" w:rsidRDefault="00D90B2C" w:rsidP="009340B0">
            <w:pPr>
              <w:spacing w:line="240" w:lineRule="auto"/>
              <w:jc w:val="left"/>
              <w:rPr>
                <w:rFonts w:eastAsia="Times New Roman" w:cs="Arial"/>
                <w:color w:val="000000"/>
                <w:sz w:val="20"/>
                <w:szCs w:val="20"/>
              </w:rPr>
            </w:pPr>
            <w:r w:rsidRPr="00542E7E">
              <w:rPr>
                <w:rFonts w:eastAsia="Times New Roman" w:cs="Arial"/>
                <w:color w:val="000000"/>
                <w:sz w:val="20"/>
                <w:szCs w:val="20"/>
              </w:rPr>
              <w:t>Cateteres gástricos/ent</w:t>
            </w:r>
            <w:r>
              <w:rPr>
                <w:rFonts w:eastAsia="Times New Roman" w:cs="Arial"/>
                <w:color w:val="000000"/>
                <w:sz w:val="20"/>
                <w:szCs w:val="20"/>
              </w:rPr>
              <w:t>éricos</w:t>
            </w:r>
          </w:p>
        </w:tc>
        <w:tc>
          <w:tcPr>
            <w:tcW w:w="236" w:type="dxa"/>
          </w:tcPr>
          <w:p w14:paraId="2C139E0E" w14:textId="77777777" w:rsidR="00D90B2C" w:rsidRPr="00542E7E" w:rsidRDefault="00D90B2C" w:rsidP="009340B0">
            <w:pPr>
              <w:spacing w:line="240" w:lineRule="auto"/>
              <w:jc w:val="center"/>
              <w:rPr>
                <w:rFonts w:eastAsia="Times New Roman" w:cs="Arial"/>
                <w:color w:val="000000"/>
                <w:sz w:val="20"/>
                <w:szCs w:val="20"/>
              </w:rPr>
            </w:pPr>
          </w:p>
        </w:tc>
        <w:tc>
          <w:tcPr>
            <w:tcW w:w="1047" w:type="dxa"/>
            <w:vAlign w:val="center"/>
          </w:tcPr>
          <w:p w14:paraId="1A4EDE06" w14:textId="47DA6789"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16</w:t>
            </w:r>
            <w:r w:rsidR="00B138B4">
              <w:rPr>
                <w:rFonts w:eastAsia="Times New Roman" w:cs="Arial"/>
                <w:color w:val="000000"/>
                <w:sz w:val="20"/>
                <w:szCs w:val="20"/>
              </w:rPr>
              <w:t xml:space="preserve"> (6,9)</w:t>
            </w:r>
          </w:p>
        </w:tc>
        <w:tc>
          <w:tcPr>
            <w:tcW w:w="1134" w:type="dxa"/>
            <w:vAlign w:val="center"/>
          </w:tcPr>
          <w:p w14:paraId="77AB4390" w14:textId="213D1DBD"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0</w:t>
            </w:r>
            <w:r w:rsidR="0053199E">
              <w:rPr>
                <w:rFonts w:eastAsia="Times New Roman" w:cs="Arial"/>
                <w:color w:val="000000"/>
                <w:sz w:val="20"/>
                <w:szCs w:val="20"/>
              </w:rPr>
              <w:t xml:space="preserve"> (0)</w:t>
            </w:r>
          </w:p>
        </w:tc>
        <w:tc>
          <w:tcPr>
            <w:tcW w:w="236" w:type="dxa"/>
          </w:tcPr>
          <w:p w14:paraId="2661E019"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4C6C6FA4" w14:textId="38AD0D4E"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16</w:t>
            </w:r>
            <w:r w:rsidR="0053199E">
              <w:rPr>
                <w:rFonts w:eastAsia="Times New Roman" w:cs="Arial"/>
                <w:color w:val="000000"/>
                <w:sz w:val="20"/>
                <w:szCs w:val="20"/>
              </w:rPr>
              <w:t xml:space="preserve"> (9,1)</w:t>
            </w:r>
          </w:p>
        </w:tc>
        <w:tc>
          <w:tcPr>
            <w:tcW w:w="1134" w:type="dxa"/>
            <w:vAlign w:val="center"/>
          </w:tcPr>
          <w:p w14:paraId="004BEFB7" w14:textId="18B54D73" w:rsidR="00D90B2C" w:rsidRPr="00542E7E" w:rsidRDefault="0053199E" w:rsidP="009340B0">
            <w:pPr>
              <w:spacing w:line="240" w:lineRule="auto"/>
              <w:jc w:val="center"/>
              <w:rPr>
                <w:rFonts w:eastAsia="Times New Roman" w:cs="Arial"/>
                <w:color w:val="000000"/>
                <w:sz w:val="20"/>
                <w:szCs w:val="20"/>
              </w:rPr>
            </w:pPr>
            <w:r>
              <w:rPr>
                <w:rFonts w:eastAsia="Times New Roman" w:cs="Arial"/>
                <w:color w:val="000000"/>
                <w:sz w:val="20"/>
                <w:szCs w:val="20"/>
              </w:rPr>
              <w:t>0 (0)</w:t>
            </w:r>
          </w:p>
        </w:tc>
        <w:tc>
          <w:tcPr>
            <w:tcW w:w="236" w:type="dxa"/>
          </w:tcPr>
          <w:p w14:paraId="166D53EE"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5A059D64" w14:textId="58255C56"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0</w:t>
            </w:r>
            <w:r w:rsidR="0053199E">
              <w:rPr>
                <w:rFonts w:eastAsia="Times New Roman" w:cs="Arial"/>
                <w:color w:val="000000"/>
                <w:sz w:val="20"/>
                <w:szCs w:val="20"/>
              </w:rPr>
              <w:t xml:space="preserve"> (0)</w:t>
            </w:r>
          </w:p>
        </w:tc>
        <w:tc>
          <w:tcPr>
            <w:tcW w:w="1134" w:type="dxa"/>
            <w:vAlign w:val="center"/>
          </w:tcPr>
          <w:p w14:paraId="7C37F174" w14:textId="7FF2A1CD" w:rsidR="00D90B2C" w:rsidRPr="00542E7E" w:rsidRDefault="00560C2B" w:rsidP="009340B0">
            <w:pPr>
              <w:spacing w:line="240" w:lineRule="auto"/>
              <w:jc w:val="center"/>
              <w:rPr>
                <w:rFonts w:eastAsia="Times New Roman" w:cs="Arial"/>
                <w:color w:val="000000"/>
                <w:sz w:val="20"/>
                <w:szCs w:val="20"/>
              </w:rPr>
            </w:pPr>
            <w:r>
              <w:rPr>
                <w:rFonts w:eastAsia="Times New Roman" w:cs="Arial"/>
                <w:color w:val="000000"/>
                <w:sz w:val="20"/>
                <w:szCs w:val="20"/>
              </w:rPr>
              <w:t>0 (0)</w:t>
            </w:r>
          </w:p>
        </w:tc>
      </w:tr>
      <w:tr w:rsidR="00063715" w:rsidRPr="00542E7E" w14:paraId="12FF35CE" w14:textId="77777777" w:rsidTr="00560C2B">
        <w:trPr>
          <w:trHeight w:val="454"/>
          <w:jc w:val="center"/>
        </w:trPr>
        <w:tc>
          <w:tcPr>
            <w:tcW w:w="3395" w:type="dxa"/>
            <w:vAlign w:val="center"/>
          </w:tcPr>
          <w:p w14:paraId="1C6BF8D0" w14:textId="77777777" w:rsidR="00D90B2C" w:rsidRPr="00542E7E" w:rsidRDefault="00D90B2C" w:rsidP="009340B0">
            <w:pPr>
              <w:spacing w:line="240" w:lineRule="auto"/>
              <w:jc w:val="left"/>
              <w:rPr>
                <w:rFonts w:eastAsia="Times New Roman" w:cs="Arial"/>
                <w:color w:val="000000"/>
                <w:sz w:val="20"/>
                <w:szCs w:val="20"/>
              </w:rPr>
            </w:pPr>
            <w:r>
              <w:rPr>
                <w:rFonts w:eastAsia="Times New Roman" w:cs="Arial"/>
                <w:color w:val="000000"/>
                <w:sz w:val="20"/>
                <w:szCs w:val="20"/>
              </w:rPr>
              <w:t>T</w:t>
            </w:r>
            <w:r w:rsidRPr="00542E7E">
              <w:rPr>
                <w:rFonts w:eastAsia="Times New Roman" w:cs="Arial"/>
                <w:color w:val="000000"/>
                <w:sz w:val="20"/>
                <w:szCs w:val="20"/>
              </w:rPr>
              <w:t>ransfusão de hemoderivados</w:t>
            </w:r>
          </w:p>
        </w:tc>
        <w:tc>
          <w:tcPr>
            <w:tcW w:w="236" w:type="dxa"/>
          </w:tcPr>
          <w:p w14:paraId="1CF117CE" w14:textId="77777777" w:rsidR="00D90B2C" w:rsidRPr="00542E7E" w:rsidRDefault="00D90B2C" w:rsidP="009340B0">
            <w:pPr>
              <w:spacing w:line="240" w:lineRule="auto"/>
              <w:jc w:val="center"/>
              <w:rPr>
                <w:rFonts w:eastAsia="Times New Roman" w:cs="Arial"/>
                <w:color w:val="000000"/>
                <w:sz w:val="20"/>
                <w:szCs w:val="20"/>
              </w:rPr>
            </w:pPr>
          </w:p>
        </w:tc>
        <w:tc>
          <w:tcPr>
            <w:tcW w:w="1047" w:type="dxa"/>
            <w:vAlign w:val="center"/>
          </w:tcPr>
          <w:p w14:paraId="77E6BE78" w14:textId="5254F40A"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6</w:t>
            </w:r>
            <w:r w:rsidR="00B138B4">
              <w:rPr>
                <w:rFonts w:eastAsia="Times New Roman" w:cs="Arial"/>
                <w:color w:val="000000"/>
                <w:sz w:val="20"/>
                <w:szCs w:val="20"/>
              </w:rPr>
              <w:t xml:space="preserve"> (2,6)</w:t>
            </w:r>
          </w:p>
        </w:tc>
        <w:tc>
          <w:tcPr>
            <w:tcW w:w="1134" w:type="dxa"/>
            <w:vAlign w:val="center"/>
          </w:tcPr>
          <w:p w14:paraId="7535057F" w14:textId="38C98F3E"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1</w:t>
            </w:r>
            <w:r w:rsidR="0053199E">
              <w:rPr>
                <w:rFonts w:eastAsia="Times New Roman" w:cs="Arial"/>
                <w:color w:val="000000"/>
                <w:sz w:val="20"/>
                <w:szCs w:val="20"/>
              </w:rPr>
              <w:t xml:space="preserve"> (1,4)</w:t>
            </w:r>
          </w:p>
        </w:tc>
        <w:tc>
          <w:tcPr>
            <w:tcW w:w="236" w:type="dxa"/>
          </w:tcPr>
          <w:p w14:paraId="68FDEA10"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67248D17" w14:textId="3242A1B9"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2</w:t>
            </w:r>
            <w:r w:rsidR="0053199E">
              <w:rPr>
                <w:rFonts w:eastAsia="Times New Roman" w:cs="Arial"/>
                <w:color w:val="000000"/>
                <w:sz w:val="20"/>
                <w:szCs w:val="20"/>
              </w:rPr>
              <w:t xml:space="preserve"> (1,1)</w:t>
            </w:r>
          </w:p>
        </w:tc>
        <w:tc>
          <w:tcPr>
            <w:tcW w:w="1134" w:type="dxa"/>
            <w:vAlign w:val="center"/>
          </w:tcPr>
          <w:p w14:paraId="0E20D359" w14:textId="1C37F98B" w:rsidR="00D90B2C" w:rsidRPr="00542E7E" w:rsidRDefault="0053199E" w:rsidP="009340B0">
            <w:pPr>
              <w:spacing w:line="240" w:lineRule="auto"/>
              <w:jc w:val="center"/>
              <w:rPr>
                <w:rFonts w:eastAsia="Times New Roman" w:cs="Arial"/>
                <w:color w:val="000000"/>
                <w:sz w:val="20"/>
                <w:szCs w:val="20"/>
              </w:rPr>
            </w:pPr>
            <w:r>
              <w:rPr>
                <w:rFonts w:eastAsia="Times New Roman" w:cs="Arial"/>
                <w:color w:val="000000"/>
                <w:sz w:val="20"/>
                <w:szCs w:val="20"/>
              </w:rPr>
              <w:t>0 (0)</w:t>
            </w:r>
          </w:p>
        </w:tc>
        <w:tc>
          <w:tcPr>
            <w:tcW w:w="236" w:type="dxa"/>
          </w:tcPr>
          <w:p w14:paraId="69EFAE5F"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0B9E8DCC" w14:textId="42B374A3"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6</w:t>
            </w:r>
            <w:r w:rsidR="0053199E">
              <w:rPr>
                <w:rFonts w:eastAsia="Times New Roman" w:cs="Arial"/>
                <w:color w:val="000000"/>
                <w:sz w:val="20"/>
                <w:szCs w:val="20"/>
              </w:rPr>
              <w:t xml:space="preserve"> (4,7)</w:t>
            </w:r>
          </w:p>
        </w:tc>
        <w:tc>
          <w:tcPr>
            <w:tcW w:w="1134" w:type="dxa"/>
            <w:vAlign w:val="center"/>
          </w:tcPr>
          <w:p w14:paraId="1C58BAB3" w14:textId="4322DB08"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1</w:t>
            </w:r>
            <w:r w:rsidR="00560C2B">
              <w:rPr>
                <w:rFonts w:eastAsia="Times New Roman" w:cs="Arial"/>
                <w:color w:val="000000"/>
                <w:sz w:val="20"/>
                <w:szCs w:val="20"/>
              </w:rPr>
              <w:t xml:space="preserve"> (1,5)</w:t>
            </w:r>
          </w:p>
        </w:tc>
      </w:tr>
      <w:tr w:rsidR="00063715" w:rsidRPr="00542E7E" w14:paraId="466290D9" w14:textId="77777777" w:rsidTr="00560C2B">
        <w:trPr>
          <w:trHeight w:val="454"/>
          <w:jc w:val="center"/>
        </w:trPr>
        <w:tc>
          <w:tcPr>
            <w:tcW w:w="3395" w:type="dxa"/>
            <w:vAlign w:val="center"/>
          </w:tcPr>
          <w:p w14:paraId="63BFCBF8" w14:textId="77777777" w:rsidR="00D90B2C" w:rsidRPr="00542E7E" w:rsidRDefault="00D90B2C" w:rsidP="009340B0">
            <w:pPr>
              <w:spacing w:line="240" w:lineRule="auto"/>
              <w:jc w:val="left"/>
              <w:rPr>
                <w:rFonts w:eastAsia="Times New Roman" w:cs="Arial"/>
                <w:color w:val="000000"/>
                <w:sz w:val="20"/>
                <w:szCs w:val="20"/>
              </w:rPr>
            </w:pPr>
            <w:r w:rsidRPr="00542E7E">
              <w:rPr>
                <w:rFonts w:eastAsia="Times New Roman" w:cs="Arial"/>
                <w:color w:val="000000"/>
                <w:sz w:val="20"/>
                <w:szCs w:val="20"/>
              </w:rPr>
              <w:t xml:space="preserve">Flebite </w:t>
            </w:r>
          </w:p>
        </w:tc>
        <w:tc>
          <w:tcPr>
            <w:tcW w:w="236" w:type="dxa"/>
          </w:tcPr>
          <w:p w14:paraId="514C4E54" w14:textId="77777777" w:rsidR="00D90B2C" w:rsidRPr="00542E7E" w:rsidRDefault="00D90B2C" w:rsidP="009340B0">
            <w:pPr>
              <w:spacing w:line="240" w:lineRule="auto"/>
              <w:jc w:val="center"/>
              <w:rPr>
                <w:rFonts w:eastAsia="Times New Roman" w:cs="Arial"/>
                <w:color w:val="000000"/>
                <w:sz w:val="20"/>
                <w:szCs w:val="20"/>
              </w:rPr>
            </w:pPr>
          </w:p>
        </w:tc>
        <w:tc>
          <w:tcPr>
            <w:tcW w:w="1047" w:type="dxa"/>
            <w:vAlign w:val="center"/>
          </w:tcPr>
          <w:p w14:paraId="4B1D8F1A" w14:textId="1121EFC5"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4</w:t>
            </w:r>
            <w:r w:rsidR="00B138B4">
              <w:rPr>
                <w:rFonts w:eastAsia="Times New Roman" w:cs="Arial"/>
                <w:color w:val="000000"/>
                <w:sz w:val="20"/>
                <w:szCs w:val="20"/>
              </w:rPr>
              <w:t xml:space="preserve"> (1,7)</w:t>
            </w:r>
          </w:p>
        </w:tc>
        <w:tc>
          <w:tcPr>
            <w:tcW w:w="1134" w:type="dxa"/>
            <w:vAlign w:val="center"/>
          </w:tcPr>
          <w:p w14:paraId="5000C268" w14:textId="29827DB1"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0</w:t>
            </w:r>
            <w:r w:rsidR="0053199E">
              <w:rPr>
                <w:rFonts w:eastAsia="Times New Roman" w:cs="Arial"/>
                <w:color w:val="000000"/>
                <w:sz w:val="20"/>
                <w:szCs w:val="20"/>
              </w:rPr>
              <w:t xml:space="preserve"> (0)</w:t>
            </w:r>
          </w:p>
        </w:tc>
        <w:tc>
          <w:tcPr>
            <w:tcW w:w="236" w:type="dxa"/>
          </w:tcPr>
          <w:p w14:paraId="32A081DF"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0ACAEA86" w14:textId="5AF5F26D"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3</w:t>
            </w:r>
            <w:r w:rsidR="0053199E">
              <w:rPr>
                <w:rFonts w:eastAsia="Times New Roman" w:cs="Arial"/>
                <w:color w:val="000000"/>
                <w:sz w:val="20"/>
                <w:szCs w:val="20"/>
              </w:rPr>
              <w:t xml:space="preserve"> (1,7)</w:t>
            </w:r>
          </w:p>
        </w:tc>
        <w:tc>
          <w:tcPr>
            <w:tcW w:w="1134" w:type="dxa"/>
            <w:vAlign w:val="center"/>
          </w:tcPr>
          <w:p w14:paraId="482EFD67" w14:textId="33CF9B82" w:rsidR="00D90B2C" w:rsidRPr="00542E7E" w:rsidRDefault="0053199E" w:rsidP="009340B0">
            <w:pPr>
              <w:spacing w:line="240" w:lineRule="auto"/>
              <w:jc w:val="center"/>
              <w:rPr>
                <w:rFonts w:eastAsia="Times New Roman" w:cs="Arial"/>
                <w:color w:val="000000"/>
                <w:sz w:val="20"/>
                <w:szCs w:val="20"/>
              </w:rPr>
            </w:pPr>
            <w:r>
              <w:rPr>
                <w:rFonts w:eastAsia="Times New Roman" w:cs="Arial"/>
                <w:color w:val="000000"/>
                <w:sz w:val="20"/>
                <w:szCs w:val="20"/>
              </w:rPr>
              <w:t>0 (0)</w:t>
            </w:r>
          </w:p>
        </w:tc>
        <w:tc>
          <w:tcPr>
            <w:tcW w:w="236" w:type="dxa"/>
          </w:tcPr>
          <w:p w14:paraId="71612ABC"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47F103AE" w14:textId="240B28C0"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2</w:t>
            </w:r>
            <w:r w:rsidR="0053199E">
              <w:rPr>
                <w:rFonts w:eastAsia="Times New Roman" w:cs="Arial"/>
                <w:color w:val="000000"/>
                <w:sz w:val="20"/>
                <w:szCs w:val="20"/>
              </w:rPr>
              <w:t xml:space="preserve"> (1,6)</w:t>
            </w:r>
          </w:p>
        </w:tc>
        <w:tc>
          <w:tcPr>
            <w:tcW w:w="1134" w:type="dxa"/>
            <w:vAlign w:val="center"/>
          </w:tcPr>
          <w:p w14:paraId="4DBC284B" w14:textId="4A1C8D24" w:rsidR="00D90B2C" w:rsidRPr="00542E7E" w:rsidRDefault="00560C2B" w:rsidP="009340B0">
            <w:pPr>
              <w:spacing w:line="240" w:lineRule="auto"/>
              <w:jc w:val="center"/>
              <w:rPr>
                <w:rFonts w:eastAsia="Times New Roman" w:cs="Arial"/>
                <w:color w:val="000000"/>
                <w:sz w:val="20"/>
                <w:szCs w:val="20"/>
              </w:rPr>
            </w:pPr>
            <w:r>
              <w:rPr>
                <w:rFonts w:eastAsia="Times New Roman" w:cs="Arial"/>
                <w:color w:val="000000"/>
                <w:sz w:val="20"/>
                <w:szCs w:val="20"/>
              </w:rPr>
              <w:t>0 (0)</w:t>
            </w:r>
          </w:p>
        </w:tc>
      </w:tr>
      <w:tr w:rsidR="00063715" w:rsidRPr="00542E7E" w14:paraId="6E8BBC38" w14:textId="77777777" w:rsidTr="00560C2B">
        <w:trPr>
          <w:trHeight w:val="454"/>
          <w:jc w:val="center"/>
        </w:trPr>
        <w:tc>
          <w:tcPr>
            <w:tcW w:w="3395" w:type="dxa"/>
            <w:vAlign w:val="center"/>
          </w:tcPr>
          <w:p w14:paraId="4E5BB93C" w14:textId="77777777" w:rsidR="00D90B2C" w:rsidRPr="00542E7E" w:rsidRDefault="00D90B2C" w:rsidP="009340B0">
            <w:pPr>
              <w:spacing w:line="240" w:lineRule="auto"/>
              <w:jc w:val="left"/>
              <w:rPr>
                <w:rFonts w:eastAsia="Times New Roman" w:cs="Arial"/>
                <w:color w:val="000000"/>
                <w:sz w:val="20"/>
                <w:szCs w:val="20"/>
              </w:rPr>
            </w:pPr>
            <w:r w:rsidRPr="00542E7E">
              <w:rPr>
                <w:rFonts w:eastAsia="Times New Roman" w:cs="Arial"/>
                <w:color w:val="000000"/>
                <w:sz w:val="20"/>
                <w:szCs w:val="20"/>
              </w:rPr>
              <w:t xml:space="preserve">Lesão </w:t>
            </w:r>
            <w:r>
              <w:rPr>
                <w:rFonts w:eastAsia="Times New Roman" w:cs="Arial"/>
                <w:color w:val="000000"/>
                <w:sz w:val="20"/>
                <w:szCs w:val="20"/>
              </w:rPr>
              <w:t>por</w:t>
            </w:r>
            <w:r w:rsidRPr="00542E7E">
              <w:rPr>
                <w:rFonts w:eastAsia="Times New Roman" w:cs="Arial"/>
                <w:color w:val="000000"/>
                <w:sz w:val="20"/>
                <w:szCs w:val="20"/>
              </w:rPr>
              <w:t xml:space="preserve"> pressão</w:t>
            </w:r>
          </w:p>
        </w:tc>
        <w:tc>
          <w:tcPr>
            <w:tcW w:w="236" w:type="dxa"/>
          </w:tcPr>
          <w:p w14:paraId="192663D3" w14:textId="77777777" w:rsidR="00D90B2C" w:rsidRPr="00542E7E" w:rsidRDefault="00D90B2C" w:rsidP="009340B0">
            <w:pPr>
              <w:spacing w:line="240" w:lineRule="auto"/>
              <w:jc w:val="center"/>
              <w:rPr>
                <w:rFonts w:eastAsia="Times New Roman" w:cs="Arial"/>
                <w:color w:val="000000"/>
                <w:sz w:val="20"/>
                <w:szCs w:val="20"/>
              </w:rPr>
            </w:pPr>
          </w:p>
        </w:tc>
        <w:tc>
          <w:tcPr>
            <w:tcW w:w="1047" w:type="dxa"/>
            <w:vAlign w:val="center"/>
          </w:tcPr>
          <w:p w14:paraId="68979FFA" w14:textId="79DAAE7B"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3</w:t>
            </w:r>
            <w:r w:rsidR="00B138B4">
              <w:rPr>
                <w:rFonts w:eastAsia="Times New Roman" w:cs="Arial"/>
                <w:color w:val="000000"/>
                <w:sz w:val="20"/>
                <w:szCs w:val="20"/>
              </w:rPr>
              <w:t xml:space="preserve"> (1,3)</w:t>
            </w:r>
          </w:p>
        </w:tc>
        <w:tc>
          <w:tcPr>
            <w:tcW w:w="1134" w:type="dxa"/>
            <w:vAlign w:val="center"/>
          </w:tcPr>
          <w:p w14:paraId="2FDE1BEC" w14:textId="197C5B1D"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0</w:t>
            </w:r>
            <w:r w:rsidR="0053199E">
              <w:rPr>
                <w:rFonts w:eastAsia="Times New Roman" w:cs="Arial"/>
                <w:color w:val="000000"/>
                <w:sz w:val="20"/>
                <w:szCs w:val="20"/>
              </w:rPr>
              <w:t xml:space="preserve"> (0)</w:t>
            </w:r>
          </w:p>
        </w:tc>
        <w:tc>
          <w:tcPr>
            <w:tcW w:w="236" w:type="dxa"/>
          </w:tcPr>
          <w:p w14:paraId="52EFAC90"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3101891E" w14:textId="2139774B"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1</w:t>
            </w:r>
            <w:r w:rsidR="0053199E">
              <w:rPr>
                <w:rFonts w:eastAsia="Times New Roman" w:cs="Arial"/>
                <w:color w:val="000000"/>
                <w:sz w:val="20"/>
                <w:szCs w:val="20"/>
              </w:rPr>
              <w:t xml:space="preserve"> (0,6)</w:t>
            </w:r>
          </w:p>
        </w:tc>
        <w:tc>
          <w:tcPr>
            <w:tcW w:w="1134" w:type="dxa"/>
            <w:vAlign w:val="center"/>
          </w:tcPr>
          <w:p w14:paraId="76E20080" w14:textId="5818D1A9" w:rsidR="00D90B2C" w:rsidRPr="00542E7E" w:rsidRDefault="0053199E" w:rsidP="009340B0">
            <w:pPr>
              <w:spacing w:line="240" w:lineRule="auto"/>
              <w:jc w:val="center"/>
              <w:rPr>
                <w:rFonts w:eastAsia="Times New Roman" w:cs="Arial"/>
                <w:color w:val="000000"/>
                <w:sz w:val="20"/>
                <w:szCs w:val="20"/>
              </w:rPr>
            </w:pPr>
            <w:r>
              <w:rPr>
                <w:rFonts w:eastAsia="Times New Roman" w:cs="Arial"/>
                <w:color w:val="000000"/>
                <w:sz w:val="20"/>
                <w:szCs w:val="20"/>
              </w:rPr>
              <w:t>0 (0)</w:t>
            </w:r>
          </w:p>
        </w:tc>
        <w:tc>
          <w:tcPr>
            <w:tcW w:w="236" w:type="dxa"/>
          </w:tcPr>
          <w:p w14:paraId="2DB22D32"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6793FB3D" w14:textId="4C317E68"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3</w:t>
            </w:r>
            <w:r w:rsidR="0053199E">
              <w:rPr>
                <w:rFonts w:eastAsia="Times New Roman" w:cs="Arial"/>
                <w:color w:val="000000"/>
                <w:sz w:val="20"/>
                <w:szCs w:val="20"/>
              </w:rPr>
              <w:t xml:space="preserve"> (2,3)</w:t>
            </w:r>
          </w:p>
        </w:tc>
        <w:tc>
          <w:tcPr>
            <w:tcW w:w="1134" w:type="dxa"/>
            <w:vAlign w:val="center"/>
          </w:tcPr>
          <w:p w14:paraId="573A318C" w14:textId="1B23FF98" w:rsidR="00D90B2C" w:rsidRPr="00542E7E" w:rsidRDefault="00560C2B" w:rsidP="009340B0">
            <w:pPr>
              <w:spacing w:line="240" w:lineRule="auto"/>
              <w:jc w:val="center"/>
              <w:rPr>
                <w:rFonts w:eastAsia="Times New Roman" w:cs="Arial"/>
                <w:color w:val="000000"/>
                <w:sz w:val="20"/>
                <w:szCs w:val="20"/>
              </w:rPr>
            </w:pPr>
            <w:r>
              <w:rPr>
                <w:rFonts w:eastAsia="Times New Roman" w:cs="Arial"/>
                <w:color w:val="000000"/>
                <w:sz w:val="20"/>
                <w:szCs w:val="20"/>
              </w:rPr>
              <w:t>0 (0)</w:t>
            </w:r>
          </w:p>
        </w:tc>
      </w:tr>
      <w:tr w:rsidR="00063715" w:rsidRPr="00542E7E" w14:paraId="3AE518E6" w14:textId="77777777" w:rsidTr="00560C2B">
        <w:trPr>
          <w:trHeight w:val="454"/>
          <w:jc w:val="center"/>
        </w:trPr>
        <w:tc>
          <w:tcPr>
            <w:tcW w:w="3395" w:type="dxa"/>
            <w:vAlign w:val="center"/>
          </w:tcPr>
          <w:p w14:paraId="01C0B3EC" w14:textId="77777777" w:rsidR="00D90B2C" w:rsidRPr="00542E7E" w:rsidRDefault="00D90B2C" w:rsidP="009340B0">
            <w:pPr>
              <w:spacing w:line="240" w:lineRule="auto"/>
              <w:jc w:val="left"/>
              <w:rPr>
                <w:rFonts w:eastAsia="Times New Roman" w:cs="Arial"/>
                <w:color w:val="000000"/>
                <w:sz w:val="20"/>
                <w:szCs w:val="20"/>
              </w:rPr>
            </w:pPr>
            <w:r w:rsidRPr="00542E7E">
              <w:rPr>
                <w:rFonts w:eastAsia="Times New Roman" w:cs="Arial"/>
                <w:color w:val="000000"/>
                <w:sz w:val="20"/>
                <w:szCs w:val="20"/>
              </w:rPr>
              <w:t>Radioterapia</w:t>
            </w:r>
          </w:p>
        </w:tc>
        <w:tc>
          <w:tcPr>
            <w:tcW w:w="236" w:type="dxa"/>
          </w:tcPr>
          <w:p w14:paraId="0363F3B7" w14:textId="77777777" w:rsidR="00D90B2C" w:rsidRPr="00542E7E" w:rsidRDefault="00D90B2C" w:rsidP="009340B0">
            <w:pPr>
              <w:spacing w:line="240" w:lineRule="auto"/>
              <w:jc w:val="center"/>
              <w:rPr>
                <w:rFonts w:eastAsia="Times New Roman" w:cs="Arial"/>
                <w:color w:val="000000"/>
                <w:sz w:val="20"/>
                <w:szCs w:val="20"/>
              </w:rPr>
            </w:pPr>
          </w:p>
        </w:tc>
        <w:tc>
          <w:tcPr>
            <w:tcW w:w="1047" w:type="dxa"/>
            <w:vAlign w:val="center"/>
          </w:tcPr>
          <w:p w14:paraId="272BD001" w14:textId="06DDB1CE"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3</w:t>
            </w:r>
            <w:r w:rsidR="00B138B4">
              <w:rPr>
                <w:rFonts w:eastAsia="Times New Roman" w:cs="Arial"/>
                <w:color w:val="000000"/>
                <w:sz w:val="20"/>
                <w:szCs w:val="20"/>
              </w:rPr>
              <w:t xml:space="preserve"> (1,3)</w:t>
            </w:r>
          </w:p>
        </w:tc>
        <w:tc>
          <w:tcPr>
            <w:tcW w:w="1134" w:type="dxa"/>
            <w:vAlign w:val="center"/>
          </w:tcPr>
          <w:p w14:paraId="58C316B6" w14:textId="16D05BE7"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3</w:t>
            </w:r>
            <w:r w:rsidR="0053199E">
              <w:rPr>
                <w:rFonts w:eastAsia="Times New Roman" w:cs="Arial"/>
                <w:color w:val="000000"/>
                <w:sz w:val="20"/>
                <w:szCs w:val="20"/>
              </w:rPr>
              <w:t xml:space="preserve"> (4,1)</w:t>
            </w:r>
          </w:p>
        </w:tc>
        <w:tc>
          <w:tcPr>
            <w:tcW w:w="236" w:type="dxa"/>
          </w:tcPr>
          <w:p w14:paraId="77A2655F"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5451BAC1" w14:textId="3DD6FF20"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1</w:t>
            </w:r>
            <w:r w:rsidR="0053199E">
              <w:rPr>
                <w:rFonts w:eastAsia="Times New Roman" w:cs="Arial"/>
                <w:color w:val="000000"/>
                <w:sz w:val="20"/>
                <w:szCs w:val="20"/>
              </w:rPr>
              <w:t xml:space="preserve"> (0,6)</w:t>
            </w:r>
          </w:p>
        </w:tc>
        <w:tc>
          <w:tcPr>
            <w:tcW w:w="1134" w:type="dxa"/>
            <w:vAlign w:val="center"/>
          </w:tcPr>
          <w:p w14:paraId="4F4B23E1" w14:textId="414FA1E2"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1</w:t>
            </w:r>
            <w:r w:rsidR="0053199E">
              <w:rPr>
                <w:rFonts w:eastAsia="Times New Roman" w:cs="Arial"/>
                <w:color w:val="000000"/>
                <w:sz w:val="20"/>
                <w:szCs w:val="20"/>
              </w:rPr>
              <w:t xml:space="preserve"> (1,9)</w:t>
            </w:r>
          </w:p>
        </w:tc>
        <w:tc>
          <w:tcPr>
            <w:tcW w:w="236" w:type="dxa"/>
          </w:tcPr>
          <w:p w14:paraId="739CBC2E"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10429365" w14:textId="17BA8015"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3</w:t>
            </w:r>
            <w:r w:rsidR="0053199E">
              <w:rPr>
                <w:rFonts w:eastAsia="Times New Roman" w:cs="Arial"/>
                <w:color w:val="000000"/>
                <w:sz w:val="20"/>
                <w:szCs w:val="20"/>
              </w:rPr>
              <w:t xml:space="preserve"> (2,3)</w:t>
            </w:r>
          </w:p>
        </w:tc>
        <w:tc>
          <w:tcPr>
            <w:tcW w:w="1134" w:type="dxa"/>
            <w:vAlign w:val="center"/>
          </w:tcPr>
          <w:p w14:paraId="10AC3E77" w14:textId="54058E52"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3</w:t>
            </w:r>
            <w:r w:rsidR="00560C2B">
              <w:rPr>
                <w:rFonts w:eastAsia="Times New Roman" w:cs="Arial"/>
                <w:color w:val="000000"/>
                <w:sz w:val="20"/>
                <w:szCs w:val="20"/>
              </w:rPr>
              <w:t xml:space="preserve"> (4,6)</w:t>
            </w:r>
          </w:p>
        </w:tc>
      </w:tr>
      <w:tr w:rsidR="00063715" w:rsidRPr="00542E7E" w14:paraId="08038226" w14:textId="77777777" w:rsidTr="00560C2B">
        <w:trPr>
          <w:trHeight w:val="454"/>
          <w:jc w:val="center"/>
        </w:trPr>
        <w:tc>
          <w:tcPr>
            <w:tcW w:w="3395" w:type="dxa"/>
            <w:vAlign w:val="center"/>
          </w:tcPr>
          <w:p w14:paraId="01F8F5D7" w14:textId="77777777" w:rsidR="00D90B2C" w:rsidRPr="00542E7E" w:rsidRDefault="00D90B2C" w:rsidP="009340B0">
            <w:pPr>
              <w:spacing w:line="240" w:lineRule="auto"/>
              <w:jc w:val="left"/>
              <w:rPr>
                <w:rFonts w:eastAsia="Times New Roman" w:cs="Arial"/>
                <w:color w:val="000000"/>
                <w:sz w:val="20"/>
                <w:szCs w:val="20"/>
              </w:rPr>
            </w:pPr>
            <w:r w:rsidRPr="00542E7E">
              <w:rPr>
                <w:rFonts w:eastAsia="Times New Roman" w:cs="Arial"/>
                <w:color w:val="000000"/>
                <w:sz w:val="20"/>
                <w:szCs w:val="20"/>
              </w:rPr>
              <w:lastRenderedPageBreak/>
              <w:t>Via área</w:t>
            </w:r>
          </w:p>
        </w:tc>
        <w:tc>
          <w:tcPr>
            <w:tcW w:w="236" w:type="dxa"/>
          </w:tcPr>
          <w:p w14:paraId="2BDE3218" w14:textId="77777777" w:rsidR="00D90B2C" w:rsidRPr="00542E7E" w:rsidRDefault="00D90B2C" w:rsidP="009340B0">
            <w:pPr>
              <w:spacing w:line="240" w:lineRule="auto"/>
              <w:jc w:val="center"/>
              <w:rPr>
                <w:rFonts w:eastAsia="Times New Roman" w:cs="Arial"/>
                <w:color w:val="000000"/>
                <w:sz w:val="20"/>
                <w:szCs w:val="20"/>
              </w:rPr>
            </w:pPr>
          </w:p>
        </w:tc>
        <w:tc>
          <w:tcPr>
            <w:tcW w:w="1047" w:type="dxa"/>
            <w:vAlign w:val="center"/>
          </w:tcPr>
          <w:p w14:paraId="24E9A1E7" w14:textId="5824D9BF"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2</w:t>
            </w:r>
            <w:r w:rsidR="00B138B4">
              <w:rPr>
                <w:rFonts w:eastAsia="Times New Roman" w:cs="Arial"/>
                <w:color w:val="000000"/>
                <w:sz w:val="20"/>
                <w:szCs w:val="20"/>
              </w:rPr>
              <w:t xml:space="preserve"> (0,9)</w:t>
            </w:r>
          </w:p>
        </w:tc>
        <w:tc>
          <w:tcPr>
            <w:tcW w:w="1134" w:type="dxa"/>
            <w:vAlign w:val="center"/>
          </w:tcPr>
          <w:p w14:paraId="46FBFB1E" w14:textId="09F71DFD"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2</w:t>
            </w:r>
            <w:r w:rsidR="0053199E">
              <w:rPr>
                <w:rFonts w:eastAsia="Times New Roman" w:cs="Arial"/>
                <w:color w:val="000000"/>
                <w:sz w:val="20"/>
                <w:szCs w:val="20"/>
              </w:rPr>
              <w:t xml:space="preserve"> (2,7)</w:t>
            </w:r>
          </w:p>
        </w:tc>
        <w:tc>
          <w:tcPr>
            <w:tcW w:w="236" w:type="dxa"/>
          </w:tcPr>
          <w:p w14:paraId="2AD3F094"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7CAD321F" w14:textId="0496CFCA"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2</w:t>
            </w:r>
            <w:r w:rsidR="0053199E">
              <w:rPr>
                <w:rFonts w:eastAsia="Times New Roman" w:cs="Arial"/>
                <w:color w:val="000000"/>
                <w:sz w:val="20"/>
                <w:szCs w:val="20"/>
              </w:rPr>
              <w:t xml:space="preserve"> (1,1)</w:t>
            </w:r>
          </w:p>
        </w:tc>
        <w:tc>
          <w:tcPr>
            <w:tcW w:w="1134" w:type="dxa"/>
            <w:vAlign w:val="center"/>
          </w:tcPr>
          <w:p w14:paraId="4BDD88B7" w14:textId="33A54B32"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2</w:t>
            </w:r>
            <w:r w:rsidR="0053199E">
              <w:rPr>
                <w:rFonts w:eastAsia="Times New Roman" w:cs="Arial"/>
                <w:color w:val="000000"/>
                <w:sz w:val="20"/>
                <w:szCs w:val="20"/>
              </w:rPr>
              <w:t xml:space="preserve"> (3,9)</w:t>
            </w:r>
          </w:p>
        </w:tc>
        <w:tc>
          <w:tcPr>
            <w:tcW w:w="236" w:type="dxa"/>
          </w:tcPr>
          <w:p w14:paraId="275C647A"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31808119" w14:textId="72B2621F"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0</w:t>
            </w:r>
            <w:r w:rsidR="0053199E">
              <w:rPr>
                <w:rFonts w:eastAsia="Times New Roman" w:cs="Arial"/>
                <w:color w:val="000000"/>
                <w:sz w:val="20"/>
                <w:szCs w:val="20"/>
              </w:rPr>
              <w:t xml:space="preserve"> (0) </w:t>
            </w:r>
          </w:p>
        </w:tc>
        <w:tc>
          <w:tcPr>
            <w:tcW w:w="1134" w:type="dxa"/>
            <w:vAlign w:val="center"/>
          </w:tcPr>
          <w:p w14:paraId="0CD2A4A8" w14:textId="5DEC7000" w:rsidR="00D90B2C" w:rsidRPr="00542E7E" w:rsidRDefault="00560C2B" w:rsidP="009340B0">
            <w:pPr>
              <w:spacing w:line="240" w:lineRule="auto"/>
              <w:jc w:val="center"/>
              <w:rPr>
                <w:rFonts w:eastAsia="Times New Roman" w:cs="Arial"/>
                <w:color w:val="000000"/>
                <w:sz w:val="20"/>
                <w:szCs w:val="20"/>
              </w:rPr>
            </w:pPr>
            <w:r>
              <w:rPr>
                <w:rFonts w:eastAsia="Times New Roman" w:cs="Arial"/>
                <w:color w:val="000000"/>
                <w:sz w:val="20"/>
                <w:szCs w:val="20"/>
              </w:rPr>
              <w:t>0 (0)</w:t>
            </w:r>
          </w:p>
        </w:tc>
      </w:tr>
      <w:tr w:rsidR="00063715" w:rsidRPr="00542E7E" w14:paraId="7D2DDA53" w14:textId="77777777" w:rsidTr="00560C2B">
        <w:trPr>
          <w:trHeight w:val="454"/>
          <w:jc w:val="center"/>
        </w:trPr>
        <w:tc>
          <w:tcPr>
            <w:tcW w:w="3395" w:type="dxa"/>
            <w:vAlign w:val="center"/>
          </w:tcPr>
          <w:p w14:paraId="09A4995D" w14:textId="77777777" w:rsidR="00D90B2C" w:rsidRPr="00542E7E" w:rsidRDefault="00D90B2C" w:rsidP="009340B0">
            <w:pPr>
              <w:spacing w:line="240" w:lineRule="auto"/>
              <w:jc w:val="left"/>
              <w:rPr>
                <w:rFonts w:eastAsia="Times New Roman" w:cs="Arial"/>
                <w:color w:val="000000"/>
                <w:sz w:val="20"/>
                <w:szCs w:val="20"/>
              </w:rPr>
            </w:pPr>
            <w:r w:rsidRPr="00542E7E">
              <w:rPr>
                <w:rFonts w:eastAsia="Times New Roman" w:cs="Arial"/>
                <w:color w:val="000000"/>
                <w:sz w:val="20"/>
                <w:szCs w:val="20"/>
              </w:rPr>
              <w:t>Acessos vasculares centrais</w:t>
            </w:r>
          </w:p>
        </w:tc>
        <w:tc>
          <w:tcPr>
            <w:tcW w:w="236" w:type="dxa"/>
          </w:tcPr>
          <w:p w14:paraId="2A083B67" w14:textId="77777777" w:rsidR="00D90B2C" w:rsidRPr="00542E7E" w:rsidRDefault="00D90B2C" w:rsidP="009340B0">
            <w:pPr>
              <w:spacing w:line="240" w:lineRule="auto"/>
              <w:jc w:val="center"/>
              <w:rPr>
                <w:rFonts w:eastAsia="Times New Roman" w:cs="Arial"/>
                <w:color w:val="000000"/>
                <w:sz w:val="20"/>
                <w:szCs w:val="20"/>
              </w:rPr>
            </w:pPr>
          </w:p>
        </w:tc>
        <w:tc>
          <w:tcPr>
            <w:tcW w:w="1047" w:type="dxa"/>
            <w:vAlign w:val="center"/>
          </w:tcPr>
          <w:p w14:paraId="1BB7FB29" w14:textId="57E6593F"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2</w:t>
            </w:r>
            <w:r w:rsidR="00B138B4">
              <w:rPr>
                <w:rFonts w:eastAsia="Times New Roman" w:cs="Arial"/>
                <w:color w:val="000000"/>
                <w:sz w:val="20"/>
                <w:szCs w:val="20"/>
              </w:rPr>
              <w:t xml:space="preserve"> (0,9)</w:t>
            </w:r>
          </w:p>
        </w:tc>
        <w:tc>
          <w:tcPr>
            <w:tcW w:w="1134" w:type="dxa"/>
            <w:vAlign w:val="center"/>
          </w:tcPr>
          <w:p w14:paraId="0A9C490C" w14:textId="7A7A841F"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0</w:t>
            </w:r>
            <w:r w:rsidR="0053199E">
              <w:rPr>
                <w:rFonts w:eastAsia="Times New Roman" w:cs="Arial"/>
                <w:color w:val="000000"/>
                <w:sz w:val="20"/>
                <w:szCs w:val="20"/>
              </w:rPr>
              <w:t xml:space="preserve"> (0)</w:t>
            </w:r>
          </w:p>
        </w:tc>
        <w:tc>
          <w:tcPr>
            <w:tcW w:w="236" w:type="dxa"/>
          </w:tcPr>
          <w:p w14:paraId="4E09DA53"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1E7E9EE5" w14:textId="440C26AE"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2</w:t>
            </w:r>
            <w:r w:rsidR="0053199E">
              <w:rPr>
                <w:rFonts w:eastAsia="Times New Roman" w:cs="Arial"/>
                <w:color w:val="000000"/>
                <w:sz w:val="20"/>
                <w:szCs w:val="20"/>
              </w:rPr>
              <w:t xml:space="preserve"> (1,1)</w:t>
            </w:r>
          </w:p>
        </w:tc>
        <w:tc>
          <w:tcPr>
            <w:tcW w:w="1134" w:type="dxa"/>
            <w:vAlign w:val="center"/>
          </w:tcPr>
          <w:p w14:paraId="28AB170B" w14:textId="11CCA60E" w:rsidR="00D90B2C" w:rsidRPr="00542E7E" w:rsidRDefault="0053199E" w:rsidP="009340B0">
            <w:pPr>
              <w:spacing w:line="240" w:lineRule="auto"/>
              <w:jc w:val="center"/>
              <w:rPr>
                <w:rFonts w:eastAsia="Times New Roman" w:cs="Arial"/>
                <w:color w:val="000000"/>
                <w:sz w:val="20"/>
                <w:szCs w:val="20"/>
              </w:rPr>
            </w:pPr>
            <w:r>
              <w:rPr>
                <w:rFonts w:eastAsia="Times New Roman" w:cs="Arial"/>
                <w:color w:val="000000"/>
                <w:sz w:val="20"/>
                <w:szCs w:val="20"/>
              </w:rPr>
              <w:t>0 (0)</w:t>
            </w:r>
          </w:p>
        </w:tc>
        <w:tc>
          <w:tcPr>
            <w:tcW w:w="236" w:type="dxa"/>
          </w:tcPr>
          <w:p w14:paraId="4A829A75"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638AA92A" w14:textId="5430FCD7"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0</w:t>
            </w:r>
            <w:r w:rsidR="0053199E">
              <w:rPr>
                <w:rFonts w:eastAsia="Times New Roman" w:cs="Arial"/>
                <w:color w:val="000000"/>
                <w:sz w:val="20"/>
                <w:szCs w:val="20"/>
              </w:rPr>
              <w:t xml:space="preserve"> (0)</w:t>
            </w:r>
          </w:p>
        </w:tc>
        <w:tc>
          <w:tcPr>
            <w:tcW w:w="1134" w:type="dxa"/>
            <w:vAlign w:val="center"/>
          </w:tcPr>
          <w:p w14:paraId="469FD7FD" w14:textId="3572E27E" w:rsidR="00D90B2C" w:rsidRPr="00542E7E" w:rsidRDefault="00560C2B" w:rsidP="009340B0">
            <w:pPr>
              <w:spacing w:line="240" w:lineRule="auto"/>
              <w:jc w:val="center"/>
              <w:rPr>
                <w:rFonts w:eastAsia="Times New Roman" w:cs="Arial"/>
                <w:color w:val="000000"/>
                <w:sz w:val="20"/>
                <w:szCs w:val="20"/>
              </w:rPr>
            </w:pPr>
            <w:r>
              <w:rPr>
                <w:rFonts w:eastAsia="Times New Roman" w:cs="Arial"/>
                <w:color w:val="000000"/>
                <w:sz w:val="20"/>
                <w:szCs w:val="20"/>
              </w:rPr>
              <w:t>0 (0)</w:t>
            </w:r>
          </w:p>
        </w:tc>
      </w:tr>
      <w:tr w:rsidR="00063715" w:rsidRPr="00542E7E" w14:paraId="6AA3287A" w14:textId="77777777" w:rsidTr="00560C2B">
        <w:trPr>
          <w:trHeight w:val="454"/>
          <w:jc w:val="center"/>
        </w:trPr>
        <w:tc>
          <w:tcPr>
            <w:tcW w:w="3395" w:type="dxa"/>
            <w:vAlign w:val="center"/>
          </w:tcPr>
          <w:p w14:paraId="631DA50D" w14:textId="77777777" w:rsidR="00D90B2C" w:rsidRPr="00542E7E" w:rsidRDefault="00D90B2C" w:rsidP="009340B0">
            <w:pPr>
              <w:spacing w:line="240" w:lineRule="auto"/>
              <w:jc w:val="left"/>
              <w:rPr>
                <w:rFonts w:eastAsia="Times New Roman" w:cs="Arial"/>
                <w:color w:val="000000"/>
                <w:sz w:val="20"/>
                <w:szCs w:val="20"/>
              </w:rPr>
            </w:pPr>
            <w:r w:rsidRPr="00542E7E">
              <w:rPr>
                <w:rFonts w:eastAsia="Times New Roman" w:cs="Arial"/>
                <w:color w:val="000000"/>
                <w:sz w:val="20"/>
                <w:szCs w:val="20"/>
              </w:rPr>
              <w:t>Sondagem vesical</w:t>
            </w:r>
          </w:p>
        </w:tc>
        <w:tc>
          <w:tcPr>
            <w:tcW w:w="236" w:type="dxa"/>
          </w:tcPr>
          <w:p w14:paraId="3B02C9A8" w14:textId="77777777" w:rsidR="00D90B2C" w:rsidRPr="00542E7E" w:rsidRDefault="00D90B2C" w:rsidP="009340B0">
            <w:pPr>
              <w:spacing w:line="240" w:lineRule="auto"/>
              <w:jc w:val="center"/>
              <w:rPr>
                <w:rFonts w:eastAsia="Times New Roman" w:cs="Arial"/>
                <w:color w:val="000000"/>
                <w:sz w:val="20"/>
                <w:szCs w:val="20"/>
              </w:rPr>
            </w:pPr>
          </w:p>
        </w:tc>
        <w:tc>
          <w:tcPr>
            <w:tcW w:w="1047" w:type="dxa"/>
            <w:vAlign w:val="center"/>
          </w:tcPr>
          <w:p w14:paraId="1E418596" w14:textId="5501ED80"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2</w:t>
            </w:r>
            <w:r w:rsidR="00B138B4">
              <w:rPr>
                <w:rFonts w:eastAsia="Times New Roman" w:cs="Arial"/>
                <w:color w:val="000000"/>
                <w:sz w:val="20"/>
                <w:szCs w:val="20"/>
              </w:rPr>
              <w:t xml:space="preserve"> (0,9)</w:t>
            </w:r>
          </w:p>
        </w:tc>
        <w:tc>
          <w:tcPr>
            <w:tcW w:w="1134" w:type="dxa"/>
            <w:vAlign w:val="center"/>
          </w:tcPr>
          <w:p w14:paraId="0351CA27" w14:textId="703524B3"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2</w:t>
            </w:r>
            <w:r w:rsidR="0053199E">
              <w:rPr>
                <w:rFonts w:eastAsia="Times New Roman" w:cs="Arial"/>
                <w:color w:val="000000"/>
                <w:sz w:val="20"/>
                <w:szCs w:val="20"/>
              </w:rPr>
              <w:t xml:space="preserve"> (2,7)</w:t>
            </w:r>
          </w:p>
        </w:tc>
        <w:tc>
          <w:tcPr>
            <w:tcW w:w="236" w:type="dxa"/>
          </w:tcPr>
          <w:p w14:paraId="63CD0921"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4555C31C" w14:textId="626F6260"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0</w:t>
            </w:r>
            <w:r w:rsidR="0053199E">
              <w:rPr>
                <w:rFonts w:eastAsia="Times New Roman" w:cs="Arial"/>
                <w:color w:val="000000"/>
                <w:sz w:val="20"/>
                <w:szCs w:val="20"/>
              </w:rPr>
              <w:t xml:space="preserve"> (0)</w:t>
            </w:r>
          </w:p>
        </w:tc>
        <w:tc>
          <w:tcPr>
            <w:tcW w:w="1134" w:type="dxa"/>
            <w:vAlign w:val="center"/>
          </w:tcPr>
          <w:p w14:paraId="73C4F941" w14:textId="0D4309C3" w:rsidR="00D90B2C" w:rsidRPr="00542E7E" w:rsidRDefault="0053199E" w:rsidP="009340B0">
            <w:pPr>
              <w:spacing w:line="240" w:lineRule="auto"/>
              <w:jc w:val="center"/>
              <w:rPr>
                <w:rFonts w:eastAsia="Times New Roman" w:cs="Arial"/>
                <w:color w:val="000000"/>
                <w:sz w:val="20"/>
                <w:szCs w:val="20"/>
              </w:rPr>
            </w:pPr>
            <w:r>
              <w:rPr>
                <w:rFonts w:eastAsia="Times New Roman" w:cs="Arial"/>
                <w:color w:val="000000"/>
                <w:sz w:val="20"/>
                <w:szCs w:val="20"/>
              </w:rPr>
              <w:t>0 (0)</w:t>
            </w:r>
          </w:p>
        </w:tc>
        <w:tc>
          <w:tcPr>
            <w:tcW w:w="236" w:type="dxa"/>
          </w:tcPr>
          <w:p w14:paraId="4C95C6FD"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65FE7490" w14:textId="13107660"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2</w:t>
            </w:r>
            <w:r w:rsidR="0053199E">
              <w:rPr>
                <w:rFonts w:eastAsia="Times New Roman" w:cs="Arial"/>
                <w:color w:val="000000"/>
                <w:sz w:val="20"/>
                <w:szCs w:val="20"/>
              </w:rPr>
              <w:t xml:space="preserve"> (1,6)</w:t>
            </w:r>
          </w:p>
        </w:tc>
        <w:tc>
          <w:tcPr>
            <w:tcW w:w="1134" w:type="dxa"/>
            <w:vAlign w:val="center"/>
          </w:tcPr>
          <w:p w14:paraId="669B3091" w14:textId="7230B52E"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2</w:t>
            </w:r>
            <w:r w:rsidR="00560C2B">
              <w:rPr>
                <w:rFonts w:eastAsia="Times New Roman" w:cs="Arial"/>
                <w:color w:val="000000"/>
                <w:sz w:val="20"/>
                <w:szCs w:val="20"/>
              </w:rPr>
              <w:t xml:space="preserve"> (3,1)</w:t>
            </w:r>
          </w:p>
        </w:tc>
      </w:tr>
      <w:tr w:rsidR="00063715" w:rsidRPr="00542E7E" w14:paraId="230D864D" w14:textId="77777777" w:rsidTr="00560C2B">
        <w:trPr>
          <w:trHeight w:val="454"/>
          <w:jc w:val="center"/>
        </w:trPr>
        <w:tc>
          <w:tcPr>
            <w:tcW w:w="3395" w:type="dxa"/>
            <w:vAlign w:val="center"/>
          </w:tcPr>
          <w:p w14:paraId="1054CF8D" w14:textId="77777777" w:rsidR="00D90B2C" w:rsidRPr="00542E7E" w:rsidRDefault="00D90B2C" w:rsidP="009340B0">
            <w:pPr>
              <w:spacing w:line="240" w:lineRule="auto"/>
              <w:jc w:val="left"/>
              <w:rPr>
                <w:rFonts w:eastAsia="Times New Roman" w:cs="Arial"/>
                <w:color w:val="000000"/>
                <w:sz w:val="20"/>
                <w:szCs w:val="20"/>
              </w:rPr>
            </w:pPr>
            <w:r w:rsidRPr="00542E7E">
              <w:rPr>
                <w:rFonts w:eastAsia="Times New Roman" w:cs="Arial"/>
                <w:color w:val="000000"/>
                <w:sz w:val="20"/>
                <w:szCs w:val="20"/>
              </w:rPr>
              <w:t>Assistência obstétrica</w:t>
            </w:r>
          </w:p>
        </w:tc>
        <w:tc>
          <w:tcPr>
            <w:tcW w:w="236" w:type="dxa"/>
          </w:tcPr>
          <w:p w14:paraId="768006CD" w14:textId="77777777" w:rsidR="00D90B2C" w:rsidRPr="00542E7E" w:rsidRDefault="00D90B2C" w:rsidP="009340B0">
            <w:pPr>
              <w:spacing w:line="240" w:lineRule="auto"/>
              <w:jc w:val="center"/>
              <w:rPr>
                <w:rFonts w:eastAsia="Times New Roman" w:cs="Arial"/>
                <w:color w:val="000000"/>
                <w:sz w:val="20"/>
                <w:szCs w:val="20"/>
              </w:rPr>
            </w:pPr>
          </w:p>
        </w:tc>
        <w:tc>
          <w:tcPr>
            <w:tcW w:w="1047" w:type="dxa"/>
            <w:vAlign w:val="center"/>
          </w:tcPr>
          <w:p w14:paraId="0C07793C" w14:textId="72830775"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1</w:t>
            </w:r>
            <w:r w:rsidR="00B138B4">
              <w:rPr>
                <w:rFonts w:eastAsia="Times New Roman" w:cs="Arial"/>
                <w:color w:val="000000"/>
                <w:sz w:val="20"/>
                <w:szCs w:val="20"/>
              </w:rPr>
              <w:t xml:space="preserve"> (0,4)</w:t>
            </w:r>
          </w:p>
        </w:tc>
        <w:tc>
          <w:tcPr>
            <w:tcW w:w="1134" w:type="dxa"/>
            <w:vAlign w:val="center"/>
          </w:tcPr>
          <w:p w14:paraId="20AB1809" w14:textId="7D0C09E2"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1</w:t>
            </w:r>
            <w:r w:rsidR="0053199E">
              <w:rPr>
                <w:rFonts w:eastAsia="Times New Roman" w:cs="Arial"/>
                <w:color w:val="000000"/>
                <w:sz w:val="20"/>
                <w:szCs w:val="20"/>
              </w:rPr>
              <w:t xml:space="preserve"> (1,4)</w:t>
            </w:r>
          </w:p>
        </w:tc>
        <w:tc>
          <w:tcPr>
            <w:tcW w:w="236" w:type="dxa"/>
          </w:tcPr>
          <w:p w14:paraId="07D96185"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371732F8" w14:textId="2BFFA601"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1</w:t>
            </w:r>
            <w:r w:rsidR="0053199E">
              <w:rPr>
                <w:rFonts w:eastAsia="Times New Roman" w:cs="Arial"/>
                <w:color w:val="000000"/>
                <w:sz w:val="20"/>
                <w:szCs w:val="20"/>
              </w:rPr>
              <w:t xml:space="preserve"> (0,6)</w:t>
            </w:r>
          </w:p>
        </w:tc>
        <w:tc>
          <w:tcPr>
            <w:tcW w:w="1134" w:type="dxa"/>
            <w:vAlign w:val="center"/>
          </w:tcPr>
          <w:p w14:paraId="5EC5D381" w14:textId="4552986C"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1</w:t>
            </w:r>
            <w:r w:rsidR="0053199E">
              <w:rPr>
                <w:rFonts w:eastAsia="Times New Roman" w:cs="Arial"/>
                <w:color w:val="000000"/>
                <w:sz w:val="20"/>
                <w:szCs w:val="20"/>
              </w:rPr>
              <w:t xml:space="preserve"> (1,9)</w:t>
            </w:r>
          </w:p>
        </w:tc>
        <w:tc>
          <w:tcPr>
            <w:tcW w:w="236" w:type="dxa"/>
          </w:tcPr>
          <w:p w14:paraId="775DE15F"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122A1341" w14:textId="16528597"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1</w:t>
            </w:r>
            <w:r w:rsidR="0053199E">
              <w:rPr>
                <w:rFonts w:eastAsia="Times New Roman" w:cs="Arial"/>
                <w:color w:val="000000"/>
                <w:sz w:val="20"/>
                <w:szCs w:val="20"/>
              </w:rPr>
              <w:t xml:space="preserve"> (0,8)</w:t>
            </w:r>
          </w:p>
        </w:tc>
        <w:tc>
          <w:tcPr>
            <w:tcW w:w="1134" w:type="dxa"/>
            <w:vAlign w:val="center"/>
          </w:tcPr>
          <w:p w14:paraId="664FEB94" w14:textId="723A3E3D"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1</w:t>
            </w:r>
            <w:r w:rsidR="00560C2B">
              <w:rPr>
                <w:rFonts w:eastAsia="Times New Roman" w:cs="Arial"/>
                <w:color w:val="000000"/>
                <w:sz w:val="20"/>
                <w:szCs w:val="20"/>
              </w:rPr>
              <w:t xml:space="preserve"> (1,5)</w:t>
            </w:r>
          </w:p>
        </w:tc>
      </w:tr>
      <w:tr w:rsidR="00063715" w:rsidRPr="00542E7E" w14:paraId="617053EC" w14:textId="77777777" w:rsidTr="00560C2B">
        <w:trPr>
          <w:trHeight w:val="454"/>
          <w:jc w:val="center"/>
        </w:trPr>
        <w:tc>
          <w:tcPr>
            <w:tcW w:w="3395" w:type="dxa"/>
            <w:vAlign w:val="center"/>
          </w:tcPr>
          <w:p w14:paraId="58E60346" w14:textId="77777777" w:rsidR="00D90B2C" w:rsidRPr="00542E7E" w:rsidRDefault="00D90B2C" w:rsidP="009340B0">
            <w:pPr>
              <w:spacing w:line="240" w:lineRule="auto"/>
              <w:jc w:val="left"/>
              <w:rPr>
                <w:rFonts w:eastAsia="Times New Roman" w:cs="Arial"/>
                <w:color w:val="000000"/>
                <w:sz w:val="20"/>
                <w:szCs w:val="20"/>
              </w:rPr>
            </w:pPr>
            <w:r w:rsidRPr="00542E7E">
              <w:rPr>
                <w:rFonts w:eastAsia="Times New Roman" w:cs="Arial"/>
                <w:color w:val="000000"/>
                <w:sz w:val="20"/>
                <w:szCs w:val="20"/>
              </w:rPr>
              <w:t>Queda</w:t>
            </w:r>
          </w:p>
        </w:tc>
        <w:tc>
          <w:tcPr>
            <w:tcW w:w="236" w:type="dxa"/>
          </w:tcPr>
          <w:p w14:paraId="0198BD99" w14:textId="77777777" w:rsidR="00D90B2C" w:rsidRPr="00542E7E" w:rsidRDefault="00D90B2C" w:rsidP="009340B0">
            <w:pPr>
              <w:spacing w:line="240" w:lineRule="auto"/>
              <w:jc w:val="center"/>
              <w:rPr>
                <w:rFonts w:eastAsia="Times New Roman" w:cs="Arial"/>
                <w:color w:val="000000"/>
                <w:sz w:val="20"/>
                <w:szCs w:val="20"/>
              </w:rPr>
            </w:pPr>
          </w:p>
        </w:tc>
        <w:tc>
          <w:tcPr>
            <w:tcW w:w="1047" w:type="dxa"/>
            <w:vAlign w:val="center"/>
          </w:tcPr>
          <w:p w14:paraId="66DC23D3" w14:textId="290C3193" w:rsidR="00D90B2C" w:rsidRPr="00542E7E" w:rsidRDefault="00B138B4"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1</w:t>
            </w:r>
            <w:r>
              <w:rPr>
                <w:rFonts w:eastAsia="Times New Roman" w:cs="Arial"/>
                <w:color w:val="000000"/>
                <w:sz w:val="20"/>
                <w:szCs w:val="20"/>
              </w:rPr>
              <w:t xml:space="preserve"> (0,4)</w:t>
            </w:r>
          </w:p>
        </w:tc>
        <w:tc>
          <w:tcPr>
            <w:tcW w:w="1134" w:type="dxa"/>
            <w:vAlign w:val="center"/>
          </w:tcPr>
          <w:p w14:paraId="0B188354" w14:textId="61304309"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0</w:t>
            </w:r>
            <w:r w:rsidR="0053199E">
              <w:rPr>
                <w:rFonts w:eastAsia="Times New Roman" w:cs="Arial"/>
                <w:color w:val="000000"/>
                <w:sz w:val="20"/>
                <w:szCs w:val="20"/>
              </w:rPr>
              <w:t xml:space="preserve"> (0)</w:t>
            </w:r>
          </w:p>
        </w:tc>
        <w:tc>
          <w:tcPr>
            <w:tcW w:w="236" w:type="dxa"/>
          </w:tcPr>
          <w:p w14:paraId="516FB7DA"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161C5073" w14:textId="64B8813E"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1</w:t>
            </w:r>
            <w:r w:rsidR="0053199E">
              <w:rPr>
                <w:rFonts w:eastAsia="Times New Roman" w:cs="Arial"/>
                <w:color w:val="000000"/>
                <w:sz w:val="20"/>
                <w:szCs w:val="20"/>
              </w:rPr>
              <w:t xml:space="preserve"> (0,6)</w:t>
            </w:r>
          </w:p>
        </w:tc>
        <w:tc>
          <w:tcPr>
            <w:tcW w:w="1134" w:type="dxa"/>
            <w:vAlign w:val="center"/>
          </w:tcPr>
          <w:p w14:paraId="4672DA66" w14:textId="519FB6B7" w:rsidR="00D90B2C" w:rsidRPr="00542E7E" w:rsidRDefault="0053199E" w:rsidP="009340B0">
            <w:pPr>
              <w:spacing w:line="240" w:lineRule="auto"/>
              <w:jc w:val="center"/>
              <w:rPr>
                <w:rFonts w:eastAsia="Times New Roman" w:cs="Arial"/>
                <w:color w:val="000000"/>
                <w:sz w:val="20"/>
                <w:szCs w:val="20"/>
              </w:rPr>
            </w:pPr>
            <w:r>
              <w:rPr>
                <w:rFonts w:eastAsia="Times New Roman" w:cs="Arial"/>
                <w:color w:val="000000"/>
                <w:sz w:val="20"/>
                <w:szCs w:val="20"/>
              </w:rPr>
              <w:t>0 (0)</w:t>
            </w:r>
          </w:p>
        </w:tc>
        <w:tc>
          <w:tcPr>
            <w:tcW w:w="236" w:type="dxa"/>
          </w:tcPr>
          <w:p w14:paraId="65129B4C"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469A4133" w14:textId="5A963396"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1</w:t>
            </w:r>
            <w:r w:rsidR="0053199E">
              <w:rPr>
                <w:rFonts w:eastAsia="Times New Roman" w:cs="Arial"/>
                <w:color w:val="000000"/>
                <w:sz w:val="20"/>
                <w:szCs w:val="20"/>
              </w:rPr>
              <w:t xml:space="preserve"> (0,8)</w:t>
            </w:r>
          </w:p>
        </w:tc>
        <w:tc>
          <w:tcPr>
            <w:tcW w:w="1134" w:type="dxa"/>
            <w:vAlign w:val="center"/>
          </w:tcPr>
          <w:p w14:paraId="3F314D54" w14:textId="103BA811" w:rsidR="00D90B2C" w:rsidRPr="00542E7E" w:rsidRDefault="00560C2B" w:rsidP="009340B0">
            <w:pPr>
              <w:spacing w:line="240" w:lineRule="auto"/>
              <w:jc w:val="center"/>
              <w:rPr>
                <w:rFonts w:eastAsia="Times New Roman" w:cs="Arial"/>
                <w:color w:val="000000"/>
                <w:sz w:val="20"/>
                <w:szCs w:val="20"/>
              </w:rPr>
            </w:pPr>
            <w:r>
              <w:rPr>
                <w:rFonts w:eastAsia="Times New Roman" w:cs="Arial"/>
                <w:color w:val="000000"/>
                <w:sz w:val="20"/>
                <w:szCs w:val="20"/>
              </w:rPr>
              <w:t>0 (0)</w:t>
            </w:r>
          </w:p>
        </w:tc>
      </w:tr>
      <w:tr w:rsidR="00063715" w:rsidRPr="00542E7E" w14:paraId="74679315" w14:textId="77777777" w:rsidTr="00560C2B">
        <w:trPr>
          <w:trHeight w:val="454"/>
          <w:jc w:val="center"/>
        </w:trPr>
        <w:tc>
          <w:tcPr>
            <w:tcW w:w="3395" w:type="dxa"/>
            <w:vAlign w:val="center"/>
          </w:tcPr>
          <w:p w14:paraId="2D507EB8" w14:textId="77777777" w:rsidR="00D90B2C" w:rsidRPr="00542E7E" w:rsidRDefault="00D90B2C" w:rsidP="009340B0">
            <w:pPr>
              <w:spacing w:line="240" w:lineRule="auto"/>
              <w:jc w:val="left"/>
              <w:rPr>
                <w:rFonts w:eastAsia="Times New Roman" w:cs="Arial"/>
                <w:color w:val="000000"/>
                <w:sz w:val="20"/>
                <w:szCs w:val="20"/>
              </w:rPr>
            </w:pPr>
            <w:r w:rsidRPr="00542E7E">
              <w:rPr>
                <w:rFonts w:eastAsia="Times New Roman" w:cs="Arial"/>
                <w:color w:val="000000"/>
                <w:sz w:val="20"/>
                <w:szCs w:val="20"/>
              </w:rPr>
              <w:t>Transplante de células</w:t>
            </w:r>
          </w:p>
        </w:tc>
        <w:tc>
          <w:tcPr>
            <w:tcW w:w="236" w:type="dxa"/>
          </w:tcPr>
          <w:p w14:paraId="46AFA664" w14:textId="77777777" w:rsidR="00D90B2C" w:rsidRPr="00542E7E" w:rsidRDefault="00D90B2C" w:rsidP="009340B0">
            <w:pPr>
              <w:spacing w:line="240" w:lineRule="auto"/>
              <w:jc w:val="center"/>
              <w:rPr>
                <w:rFonts w:eastAsia="Times New Roman" w:cs="Arial"/>
                <w:color w:val="000000"/>
                <w:sz w:val="20"/>
                <w:szCs w:val="20"/>
              </w:rPr>
            </w:pPr>
          </w:p>
        </w:tc>
        <w:tc>
          <w:tcPr>
            <w:tcW w:w="1047" w:type="dxa"/>
            <w:vAlign w:val="center"/>
          </w:tcPr>
          <w:p w14:paraId="7D12E06C" w14:textId="6CFB9CCC" w:rsidR="00D90B2C" w:rsidRPr="00542E7E" w:rsidRDefault="00B138B4"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1</w:t>
            </w:r>
            <w:r>
              <w:rPr>
                <w:rFonts w:eastAsia="Times New Roman" w:cs="Arial"/>
                <w:color w:val="000000"/>
                <w:sz w:val="20"/>
                <w:szCs w:val="20"/>
              </w:rPr>
              <w:t xml:space="preserve"> (0,4)</w:t>
            </w:r>
          </w:p>
        </w:tc>
        <w:tc>
          <w:tcPr>
            <w:tcW w:w="1134" w:type="dxa"/>
            <w:vAlign w:val="center"/>
          </w:tcPr>
          <w:p w14:paraId="041A2799" w14:textId="3F777944"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0</w:t>
            </w:r>
            <w:r w:rsidR="0053199E">
              <w:rPr>
                <w:rFonts w:eastAsia="Times New Roman" w:cs="Arial"/>
                <w:color w:val="000000"/>
                <w:sz w:val="20"/>
                <w:szCs w:val="20"/>
              </w:rPr>
              <w:t xml:space="preserve"> (0)</w:t>
            </w:r>
          </w:p>
        </w:tc>
        <w:tc>
          <w:tcPr>
            <w:tcW w:w="236" w:type="dxa"/>
          </w:tcPr>
          <w:p w14:paraId="2FEDAD87"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5BFA186B" w14:textId="67D30622"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1</w:t>
            </w:r>
            <w:r w:rsidR="0053199E">
              <w:rPr>
                <w:rFonts w:eastAsia="Times New Roman" w:cs="Arial"/>
                <w:color w:val="000000"/>
                <w:sz w:val="20"/>
                <w:szCs w:val="20"/>
              </w:rPr>
              <w:t xml:space="preserve"> (0,6)</w:t>
            </w:r>
          </w:p>
        </w:tc>
        <w:tc>
          <w:tcPr>
            <w:tcW w:w="1134" w:type="dxa"/>
            <w:vAlign w:val="center"/>
          </w:tcPr>
          <w:p w14:paraId="7A6DC862" w14:textId="3FF60C07" w:rsidR="00D90B2C" w:rsidRPr="00542E7E" w:rsidRDefault="0053199E" w:rsidP="009340B0">
            <w:pPr>
              <w:spacing w:line="240" w:lineRule="auto"/>
              <w:jc w:val="center"/>
              <w:rPr>
                <w:rFonts w:eastAsia="Times New Roman" w:cs="Arial"/>
                <w:color w:val="000000"/>
                <w:sz w:val="20"/>
                <w:szCs w:val="20"/>
              </w:rPr>
            </w:pPr>
            <w:r>
              <w:rPr>
                <w:rFonts w:eastAsia="Times New Roman" w:cs="Arial"/>
                <w:color w:val="000000"/>
                <w:sz w:val="20"/>
                <w:szCs w:val="20"/>
              </w:rPr>
              <w:t>0 (0)</w:t>
            </w:r>
          </w:p>
        </w:tc>
        <w:tc>
          <w:tcPr>
            <w:tcW w:w="236" w:type="dxa"/>
          </w:tcPr>
          <w:p w14:paraId="4D5D5766"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4E0423AE" w14:textId="08C6C864"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1</w:t>
            </w:r>
            <w:r w:rsidR="0053199E">
              <w:rPr>
                <w:rFonts w:eastAsia="Times New Roman" w:cs="Arial"/>
                <w:color w:val="000000"/>
                <w:sz w:val="20"/>
                <w:szCs w:val="20"/>
              </w:rPr>
              <w:t xml:space="preserve"> (0,8)</w:t>
            </w:r>
          </w:p>
        </w:tc>
        <w:tc>
          <w:tcPr>
            <w:tcW w:w="1134" w:type="dxa"/>
            <w:vAlign w:val="center"/>
          </w:tcPr>
          <w:p w14:paraId="60AD5375" w14:textId="54674929" w:rsidR="00D90B2C" w:rsidRPr="00542E7E" w:rsidRDefault="00560C2B" w:rsidP="009340B0">
            <w:pPr>
              <w:spacing w:line="240" w:lineRule="auto"/>
              <w:jc w:val="center"/>
              <w:rPr>
                <w:rFonts w:eastAsia="Times New Roman" w:cs="Arial"/>
                <w:color w:val="000000"/>
                <w:sz w:val="20"/>
                <w:szCs w:val="20"/>
              </w:rPr>
            </w:pPr>
            <w:r>
              <w:rPr>
                <w:rFonts w:eastAsia="Times New Roman" w:cs="Arial"/>
                <w:color w:val="000000"/>
                <w:sz w:val="20"/>
                <w:szCs w:val="20"/>
              </w:rPr>
              <w:t>0 (0)</w:t>
            </w:r>
          </w:p>
        </w:tc>
      </w:tr>
      <w:tr w:rsidR="00063715" w:rsidRPr="00542E7E" w14:paraId="1FD0B563" w14:textId="77777777" w:rsidTr="00560C2B">
        <w:trPr>
          <w:trHeight w:val="454"/>
          <w:jc w:val="center"/>
        </w:trPr>
        <w:tc>
          <w:tcPr>
            <w:tcW w:w="3395" w:type="dxa"/>
            <w:vAlign w:val="center"/>
          </w:tcPr>
          <w:p w14:paraId="448275D4" w14:textId="77777777" w:rsidR="00D90B2C" w:rsidRPr="00542E7E" w:rsidRDefault="00D90B2C" w:rsidP="009340B0">
            <w:pPr>
              <w:spacing w:line="240" w:lineRule="auto"/>
              <w:jc w:val="left"/>
              <w:rPr>
                <w:rFonts w:eastAsia="Times New Roman" w:cs="Arial"/>
                <w:color w:val="000000"/>
                <w:sz w:val="20"/>
                <w:szCs w:val="20"/>
              </w:rPr>
            </w:pPr>
            <w:r w:rsidRPr="00542E7E">
              <w:rPr>
                <w:rFonts w:eastAsia="Times New Roman" w:cs="Arial"/>
                <w:color w:val="000000"/>
                <w:sz w:val="20"/>
                <w:szCs w:val="20"/>
              </w:rPr>
              <w:t>Terapia dialítica</w:t>
            </w:r>
          </w:p>
        </w:tc>
        <w:tc>
          <w:tcPr>
            <w:tcW w:w="236" w:type="dxa"/>
          </w:tcPr>
          <w:p w14:paraId="1F1A83E5" w14:textId="77777777" w:rsidR="00D90B2C" w:rsidRPr="00542E7E" w:rsidRDefault="00D90B2C" w:rsidP="009340B0">
            <w:pPr>
              <w:spacing w:line="240" w:lineRule="auto"/>
              <w:jc w:val="center"/>
              <w:rPr>
                <w:rFonts w:eastAsia="Times New Roman" w:cs="Arial"/>
                <w:color w:val="000000"/>
                <w:sz w:val="20"/>
                <w:szCs w:val="20"/>
              </w:rPr>
            </w:pPr>
          </w:p>
        </w:tc>
        <w:tc>
          <w:tcPr>
            <w:tcW w:w="1047" w:type="dxa"/>
            <w:vAlign w:val="center"/>
          </w:tcPr>
          <w:p w14:paraId="0979B4C1" w14:textId="28276243" w:rsidR="00D90B2C" w:rsidRPr="00542E7E" w:rsidRDefault="00B138B4"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1</w:t>
            </w:r>
            <w:r>
              <w:rPr>
                <w:rFonts w:eastAsia="Times New Roman" w:cs="Arial"/>
                <w:color w:val="000000"/>
                <w:sz w:val="20"/>
                <w:szCs w:val="20"/>
              </w:rPr>
              <w:t xml:space="preserve"> (0,4)</w:t>
            </w:r>
          </w:p>
        </w:tc>
        <w:tc>
          <w:tcPr>
            <w:tcW w:w="1134" w:type="dxa"/>
            <w:vAlign w:val="center"/>
          </w:tcPr>
          <w:p w14:paraId="5BEF20C1" w14:textId="2D28AB37"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0</w:t>
            </w:r>
            <w:r w:rsidR="0053199E">
              <w:rPr>
                <w:rFonts w:eastAsia="Times New Roman" w:cs="Arial"/>
                <w:color w:val="000000"/>
                <w:sz w:val="20"/>
                <w:szCs w:val="20"/>
              </w:rPr>
              <w:t xml:space="preserve"> (0)</w:t>
            </w:r>
          </w:p>
        </w:tc>
        <w:tc>
          <w:tcPr>
            <w:tcW w:w="236" w:type="dxa"/>
          </w:tcPr>
          <w:p w14:paraId="0D49FFB9"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042CA86D" w14:textId="7F959871"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0</w:t>
            </w:r>
            <w:r w:rsidR="0053199E">
              <w:rPr>
                <w:rFonts w:eastAsia="Times New Roman" w:cs="Arial"/>
                <w:color w:val="000000"/>
                <w:sz w:val="20"/>
                <w:szCs w:val="20"/>
              </w:rPr>
              <w:t xml:space="preserve"> (0)</w:t>
            </w:r>
          </w:p>
        </w:tc>
        <w:tc>
          <w:tcPr>
            <w:tcW w:w="1134" w:type="dxa"/>
            <w:vAlign w:val="center"/>
          </w:tcPr>
          <w:p w14:paraId="7FC864AD" w14:textId="4FC818C2" w:rsidR="00D90B2C" w:rsidRPr="00542E7E" w:rsidRDefault="0053199E" w:rsidP="009340B0">
            <w:pPr>
              <w:spacing w:line="240" w:lineRule="auto"/>
              <w:jc w:val="center"/>
              <w:rPr>
                <w:rFonts w:eastAsia="Times New Roman" w:cs="Arial"/>
                <w:color w:val="000000"/>
                <w:sz w:val="20"/>
                <w:szCs w:val="20"/>
              </w:rPr>
            </w:pPr>
            <w:r>
              <w:rPr>
                <w:rFonts w:eastAsia="Times New Roman" w:cs="Arial"/>
                <w:color w:val="000000"/>
                <w:sz w:val="20"/>
                <w:szCs w:val="20"/>
              </w:rPr>
              <w:t>0 (0)</w:t>
            </w:r>
          </w:p>
        </w:tc>
        <w:tc>
          <w:tcPr>
            <w:tcW w:w="236" w:type="dxa"/>
          </w:tcPr>
          <w:p w14:paraId="345C1051" w14:textId="77777777" w:rsidR="00D90B2C" w:rsidRPr="00542E7E" w:rsidRDefault="00D90B2C" w:rsidP="009340B0">
            <w:pPr>
              <w:spacing w:line="240" w:lineRule="auto"/>
              <w:jc w:val="center"/>
              <w:rPr>
                <w:rFonts w:eastAsia="Times New Roman" w:cs="Arial"/>
                <w:color w:val="000000"/>
                <w:sz w:val="20"/>
                <w:szCs w:val="20"/>
              </w:rPr>
            </w:pPr>
          </w:p>
        </w:tc>
        <w:tc>
          <w:tcPr>
            <w:tcW w:w="1040" w:type="dxa"/>
            <w:vAlign w:val="center"/>
          </w:tcPr>
          <w:p w14:paraId="2BFB9272" w14:textId="415D8955"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1</w:t>
            </w:r>
            <w:r w:rsidR="0053199E">
              <w:rPr>
                <w:rFonts w:eastAsia="Times New Roman" w:cs="Arial"/>
                <w:color w:val="000000"/>
                <w:sz w:val="20"/>
                <w:szCs w:val="20"/>
              </w:rPr>
              <w:t xml:space="preserve"> (0,8)</w:t>
            </w:r>
          </w:p>
        </w:tc>
        <w:tc>
          <w:tcPr>
            <w:tcW w:w="1134" w:type="dxa"/>
            <w:vAlign w:val="center"/>
          </w:tcPr>
          <w:p w14:paraId="45CB3583" w14:textId="3EBB00BD" w:rsidR="00D90B2C" w:rsidRPr="00542E7E" w:rsidRDefault="00560C2B" w:rsidP="009340B0">
            <w:pPr>
              <w:spacing w:line="240" w:lineRule="auto"/>
              <w:jc w:val="center"/>
              <w:rPr>
                <w:rFonts w:eastAsia="Times New Roman" w:cs="Arial"/>
                <w:color w:val="000000"/>
                <w:sz w:val="20"/>
                <w:szCs w:val="20"/>
              </w:rPr>
            </w:pPr>
            <w:r>
              <w:rPr>
                <w:rFonts w:eastAsia="Times New Roman" w:cs="Arial"/>
                <w:color w:val="000000"/>
                <w:sz w:val="20"/>
                <w:szCs w:val="20"/>
              </w:rPr>
              <w:t>0 (0)</w:t>
            </w:r>
          </w:p>
        </w:tc>
      </w:tr>
      <w:tr w:rsidR="00063715" w:rsidRPr="00542E7E" w14:paraId="07329DA4" w14:textId="77777777" w:rsidTr="00560C2B">
        <w:trPr>
          <w:trHeight w:val="454"/>
          <w:jc w:val="center"/>
        </w:trPr>
        <w:tc>
          <w:tcPr>
            <w:tcW w:w="3395" w:type="dxa"/>
            <w:tcBorders>
              <w:bottom w:val="single" w:sz="4" w:space="0" w:color="auto"/>
            </w:tcBorders>
            <w:vAlign w:val="center"/>
          </w:tcPr>
          <w:p w14:paraId="24CB65CB" w14:textId="77777777" w:rsidR="00D90B2C" w:rsidRPr="00542E7E" w:rsidRDefault="00D90B2C" w:rsidP="009340B0">
            <w:pPr>
              <w:spacing w:line="240" w:lineRule="auto"/>
              <w:jc w:val="left"/>
              <w:rPr>
                <w:rFonts w:eastAsia="Times New Roman" w:cs="Arial"/>
                <w:color w:val="000000"/>
                <w:sz w:val="20"/>
                <w:szCs w:val="20"/>
              </w:rPr>
            </w:pPr>
            <w:r w:rsidRPr="00542E7E">
              <w:rPr>
                <w:rFonts w:eastAsia="Times New Roman" w:cs="Arial"/>
                <w:color w:val="000000"/>
                <w:sz w:val="20"/>
                <w:szCs w:val="20"/>
              </w:rPr>
              <w:t>Lesão de pele por lesão mecânica</w:t>
            </w:r>
          </w:p>
        </w:tc>
        <w:tc>
          <w:tcPr>
            <w:tcW w:w="236" w:type="dxa"/>
            <w:tcBorders>
              <w:bottom w:val="single" w:sz="4" w:space="0" w:color="auto"/>
            </w:tcBorders>
          </w:tcPr>
          <w:p w14:paraId="366286DB" w14:textId="77777777" w:rsidR="00D90B2C" w:rsidRPr="00542E7E" w:rsidRDefault="00D90B2C" w:rsidP="009340B0">
            <w:pPr>
              <w:spacing w:line="240" w:lineRule="auto"/>
              <w:jc w:val="center"/>
              <w:rPr>
                <w:rFonts w:eastAsia="Times New Roman" w:cs="Arial"/>
                <w:color w:val="000000"/>
                <w:sz w:val="20"/>
                <w:szCs w:val="20"/>
              </w:rPr>
            </w:pPr>
          </w:p>
        </w:tc>
        <w:tc>
          <w:tcPr>
            <w:tcW w:w="1047" w:type="dxa"/>
            <w:tcBorders>
              <w:bottom w:val="single" w:sz="4" w:space="0" w:color="auto"/>
            </w:tcBorders>
            <w:vAlign w:val="center"/>
          </w:tcPr>
          <w:p w14:paraId="3C4EB50A" w14:textId="0CB9C7F8" w:rsidR="00D90B2C" w:rsidRPr="00542E7E" w:rsidRDefault="00B138B4"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1</w:t>
            </w:r>
            <w:r>
              <w:rPr>
                <w:rFonts w:eastAsia="Times New Roman" w:cs="Arial"/>
                <w:color w:val="000000"/>
                <w:sz w:val="20"/>
                <w:szCs w:val="20"/>
              </w:rPr>
              <w:t xml:space="preserve"> (0,4)</w:t>
            </w:r>
          </w:p>
        </w:tc>
        <w:tc>
          <w:tcPr>
            <w:tcW w:w="1134" w:type="dxa"/>
            <w:tcBorders>
              <w:bottom w:val="single" w:sz="4" w:space="0" w:color="auto"/>
            </w:tcBorders>
            <w:vAlign w:val="center"/>
          </w:tcPr>
          <w:p w14:paraId="2A0CD385" w14:textId="0B236832"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0</w:t>
            </w:r>
            <w:r w:rsidR="0053199E">
              <w:rPr>
                <w:rFonts w:eastAsia="Times New Roman" w:cs="Arial"/>
                <w:color w:val="000000"/>
                <w:sz w:val="20"/>
                <w:szCs w:val="20"/>
              </w:rPr>
              <w:t xml:space="preserve"> (0)</w:t>
            </w:r>
          </w:p>
        </w:tc>
        <w:tc>
          <w:tcPr>
            <w:tcW w:w="236" w:type="dxa"/>
            <w:tcBorders>
              <w:bottom w:val="single" w:sz="4" w:space="0" w:color="auto"/>
            </w:tcBorders>
          </w:tcPr>
          <w:p w14:paraId="4CEC5F35" w14:textId="77777777" w:rsidR="00D90B2C" w:rsidRPr="00542E7E" w:rsidRDefault="00D90B2C" w:rsidP="009340B0">
            <w:pPr>
              <w:spacing w:line="240" w:lineRule="auto"/>
              <w:jc w:val="center"/>
              <w:rPr>
                <w:rFonts w:eastAsia="Times New Roman" w:cs="Arial"/>
                <w:color w:val="000000"/>
                <w:sz w:val="20"/>
                <w:szCs w:val="20"/>
              </w:rPr>
            </w:pPr>
          </w:p>
        </w:tc>
        <w:tc>
          <w:tcPr>
            <w:tcW w:w="1040" w:type="dxa"/>
            <w:tcBorders>
              <w:bottom w:val="single" w:sz="4" w:space="0" w:color="auto"/>
            </w:tcBorders>
            <w:vAlign w:val="center"/>
          </w:tcPr>
          <w:p w14:paraId="5C9C4578" w14:textId="3D311B88"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1</w:t>
            </w:r>
            <w:r w:rsidR="0053199E">
              <w:rPr>
                <w:rFonts w:eastAsia="Times New Roman" w:cs="Arial"/>
                <w:color w:val="000000"/>
                <w:sz w:val="20"/>
                <w:szCs w:val="20"/>
              </w:rPr>
              <w:t xml:space="preserve"> (0,6)</w:t>
            </w:r>
          </w:p>
        </w:tc>
        <w:tc>
          <w:tcPr>
            <w:tcW w:w="1134" w:type="dxa"/>
            <w:tcBorders>
              <w:bottom w:val="single" w:sz="4" w:space="0" w:color="auto"/>
            </w:tcBorders>
            <w:vAlign w:val="center"/>
          </w:tcPr>
          <w:p w14:paraId="491B66B0" w14:textId="7AF1A948" w:rsidR="00D90B2C" w:rsidRPr="00542E7E" w:rsidRDefault="0053199E" w:rsidP="009340B0">
            <w:pPr>
              <w:spacing w:line="240" w:lineRule="auto"/>
              <w:jc w:val="center"/>
              <w:rPr>
                <w:rFonts w:eastAsia="Times New Roman" w:cs="Arial"/>
                <w:color w:val="000000"/>
                <w:sz w:val="20"/>
                <w:szCs w:val="20"/>
              </w:rPr>
            </w:pPr>
            <w:r>
              <w:rPr>
                <w:rFonts w:eastAsia="Times New Roman" w:cs="Arial"/>
                <w:color w:val="000000"/>
                <w:sz w:val="20"/>
                <w:szCs w:val="20"/>
              </w:rPr>
              <w:t>0 (0)</w:t>
            </w:r>
          </w:p>
        </w:tc>
        <w:tc>
          <w:tcPr>
            <w:tcW w:w="236" w:type="dxa"/>
            <w:tcBorders>
              <w:bottom w:val="single" w:sz="4" w:space="0" w:color="auto"/>
            </w:tcBorders>
          </w:tcPr>
          <w:p w14:paraId="2D6F9443" w14:textId="77777777" w:rsidR="00D90B2C" w:rsidRPr="00542E7E" w:rsidRDefault="00D90B2C" w:rsidP="009340B0">
            <w:pPr>
              <w:spacing w:line="240" w:lineRule="auto"/>
              <w:jc w:val="center"/>
              <w:rPr>
                <w:rFonts w:eastAsia="Times New Roman" w:cs="Arial"/>
                <w:color w:val="000000"/>
                <w:sz w:val="20"/>
                <w:szCs w:val="20"/>
              </w:rPr>
            </w:pPr>
          </w:p>
        </w:tc>
        <w:tc>
          <w:tcPr>
            <w:tcW w:w="1040" w:type="dxa"/>
            <w:tcBorders>
              <w:bottom w:val="single" w:sz="4" w:space="0" w:color="auto"/>
            </w:tcBorders>
            <w:vAlign w:val="center"/>
          </w:tcPr>
          <w:p w14:paraId="1805012F" w14:textId="0347A7CD"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0</w:t>
            </w:r>
            <w:r w:rsidR="0053199E">
              <w:rPr>
                <w:rFonts w:eastAsia="Times New Roman" w:cs="Arial"/>
                <w:color w:val="000000"/>
                <w:sz w:val="20"/>
                <w:szCs w:val="20"/>
              </w:rPr>
              <w:t xml:space="preserve"> (0)</w:t>
            </w:r>
          </w:p>
        </w:tc>
        <w:tc>
          <w:tcPr>
            <w:tcW w:w="1134" w:type="dxa"/>
            <w:tcBorders>
              <w:bottom w:val="single" w:sz="4" w:space="0" w:color="auto"/>
            </w:tcBorders>
            <w:vAlign w:val="center"/>
          </w:tcPr>
          <w:p w14:paraId="3B3F51D1" w14:textId="64142BD2" w:rsidR="00D90B2C" w:rsidRPr="00542E7E" w:rsidRDefault="00560C2B" w:rsidP="009340B0">
            <w:pPr>
              <w:spacing w:line="240" w:lineRule="auto"/>
              <w:jc w:val="center"/>
              <w:rPr>
                <w:rFonts w:eastAsia="Times New Roman" w:cs="Arial"/>
                <w:color w:val="000000"/>
                <w:sz w:val="20"/>
                <w:szCs w:val="20"/>
              </w:rPr>
            </w:pPr>
            <w:r>
              <w:rPr>
                <w:rFonts w:eastAsia="Times New Roman" w:cs="Arial"/>
                <w:color w:val="000000"/>
                <w:sz w:val="20"/>
                <w:szCs w:val="20"/>
              </w:rPr>
              <w:t>0 (0)</w:t>
            </w:r>
          </w:p>
        </w:tc>
      </w:tr>
      <w:tr w:rsidR="00063715" w:rsidRPr="00542E7E" w14:paraId="2A924F61" w14:textId="77777777" w:rsidTr="00560C2B">
        <w:trPr>
          <w:trHeight w:val="454"/>
          <w:jc w:val="center"/>
        </w:trPr>
        <w:tc>
          <w:tcPr>
            <w:tcW w:w="3395" w:type="dxa"/>
            <w:tcBorders>
              <w:top w:val="single" w:sz="4" w:space="0" w:color="auto"/>
              <w:bottom w:val="single" w:sz="4" w:space="0" w:color="auto"/>
            </w:tcBorders>
            <w:vAlign w:val="center"/>
          </w:tcPr>
          <w:p w14:paraId="3BD64078" w14:textId="77777777" w:rsidR="00D90B2C" w:rsidRPr="00542E7E" w:rsidRDefault="00D90B2C" w:rsidP="009340B0">
            <w:pPr>
              <w:spacing w:line="240" w:lineRule="auto"/>
              <w:jc w:val="left"/>
              <w:rPr>
                <w:rFonts w:eastAsia="Times New Roman" w:cs="Arial"/>
                <w:b/>
                <w:bCs/>
                <w:color w:val="000000"/>
                <w:sz w:val="20"/>
                <w:szCs w:val="20"/>
              </w:rPr>
            </w:pPr>
            <w:r>
              <w:rPr>
                <w:rFonts w:eastAsia="Times New Roman" w:cs="Arial"/>
                <w:b/>
                <w:bCs/>
                <w:color w:val="000000"/>
                <w:sz w:val="20"/>
                <w:szCs w:val="20"/>
              </w:rPr>
              <w:t>Total</w:t>
            </w:r>
          </w:p>
        </w:tc>
        <w:tc>
          <w:tcPr>
            <w:tcW w:w="236" w:type="dxa"/>
            <w:tcBorders>
              <w:top w:val="single" w:sz="4" w:space="0" w:color="auto"/>
              <w:bottom w:val="single" w:sz="4" w:space="0" w:color="auto"/>
            </w:tcBorders>
          </w:tcPr>
          <w:p w14:paraId="2B9538C8" w14:textId="77777777" w:rsidR="00D90B2C" w:rsidRPr="00542E7E" w:rsidRDefault="00D90B2C" w:rsidP="009340B0">
            <w:pPr>
              <w:spacing w:line="240" w:lineRule="auto"/>
              <w:jc w:val="center"/>
              <w:rPr>
                <w:rFonts w:eastAsia="Times New Roman" w:cs="Arial"/>
                <w:color w:val="000000"/>
                <w:sz w:val="20"/>
                <w:szCs w:val="20"/>
              </w:rPr>
            </w:pPr>
          </w:p>
        </w:tc>
        <w:tc>
          <w:tcPr>
            <w:tcW w:w="1047" w:type="dxa"/>
            <w:tcBorders>
              <w:top w:val="single" w:sz="4" w:space="0" w:color="auto"/>
              <w:bottom w:val="single" w:sz="4" w:space="0" w:color="auto"/>
            </w:tcBorders>
            <w:vAlign w:val="center"/>
          </w:tcPr>
          <w:p w14:paraId="0E606382" w14:textId="459DC6EA"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233</w:t>
            </w:r>
          </w:p>
        </w:tc>
        <w:tc>
          <w:tcPr>
            <w:tcW w:w="1134" w:type="dxa"/>
            <w:tcBorders>
              <w:top w:val="single" w:sz="4" w:space="0" w:color="auto"/>
              <w:bottom w:val="single" w:sz="4" w:space="0" w:color="auto"/>
            </w:tcBorders>
            <w:vAlign w:val="center"/>
          </w:tcPr>
          <w:p w14:paraId="257415A9" w14:textId="53A5B1CD"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73</w:t>
            </w:r>
          </w:p>
        </w:tc>
        <w:tc>
          <w:tcPr>
            <w:tcW w:w="236" w:type="dxa"/>
            <w:tcBorders>
              <w:top w:val="single" w:sz="4" w:space="0" w:color="auto"/>
              <w:bottom w:val="single" w:sz="4" w:space="0" w:color="auto"/>
            </w:tcBorders>
          </w:tcPr>
          <w:p w14:paraId="51B0326C" w14:textId="77777777" w:rsidR="00D90B2C" w:rsidRPr="00542E7E" w:rsidRDefault="00D90B2C" w:rsidP="009340B0">
            <w:pPr>
              <w:spacing w:line="240" w:lineRule="auto"/>
              <w:jc w:val="center"/>
              <w:rPr>
                <w:rFonts w:eastAsia="Times New Roman" w:cs="Arial"/>
                <w:color w:val="000000"/>
                <w:sz w:val="20"/>
                <w:szCs w:val="20"/>
              </w:rPr>
            </w:pPr>
          </w:p>
        </w:tc>
        <w:tc>
          <w:tcPr>
            <w:tcW w:w="1040" w:type="dxa"/>
            <w:tcBorders>
              <w:top w:val="single" w:sz="4" w:space="0" w:color="auto"/>
              <w:bottom w:val="single" w:sz="4" w:space="0" w:color="auto"/>
            </w:tcBorders>
            <w:vAlign w:val="center"/>
          </w:tcPr>
          <w:p w14:paraId="1947455C" w14:textId="112D907A"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176</w:t>
            </w:r>
          </w:p>
        </w:tc>
        <w:tc>
          <w:tcPr>
            <w:tcW w:w="1134" w:type="dxa"/>
            <w:tcBorders>
              <w:top w:val="single" w:sz="4" w:space="0" w:color="auto"/>
              <w:bottom w:val="single" w:sz="4" w:space="0" w:color="auto"/>
            </w:tcBorders>
            <w:vAlign w:val="center"/>
          </w:tcPr>
          <w:p w14:paraId="716FB49B" w14:textId="0077DC16"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52</w:t>
            </w:r>
          </w:p>
        </w:tc>
        <w:tc>
          <w:tcPr>
            <w:tcW w:w="236" w:type="dxa"/>
            <w:tcBorders>
              <w:top w:val="single" w:sz="4" w:space="0" w:color="auto"/>
              <w:bottom w:val="single" w:sz="4" w:space="0" w:color="auto"/>
            </w:tcBorders>
          </w:tcPr>
          <w:p w14:paraId="51919914" w14:textId="77777777" w:rsidR="00D90B2C" w:rsidRPr="00542E7E" w:rsidRDefault="00D90B2C" w:rsidP="009340B0">
            <w:pPr>
              <w:spacing w:line="240" w:lineRule="auto"/>
              <w:jc w:val="center"/>
              <w:rPr>
                <w:rFonts w:eastAsia="Times New Roman" w:cs="Arial"/>
                <w:color w:val="000000"/>
                <w:sz w:val="20"/>
                <w:szCs w:val="20"/>
              </w:rPr>
            </w:pPr>
          </w:p>
        </w:tc>
        <w:tc>
          <w:tcPr>
            <w:tcW w:w="1040" w:type="dxa"/>
            <w:tcBorders>
              <w:top w:val="single" w:sz="4" w:space="0" w:color="auto"/>
              <w:bottom w:val="single" w:sz="4" w:space="0" w:color="auto"/>
            </w:tcBorders>
            <w:vAlign w:val="center"/>
          </w:tcPr>
          <w:p w14:paraId="2E8E267B" w14:textId="4C2309D2" w:rsidR="00D90B2C" w:rsidRPr="00542E7E" w:rsidRDefault="00D90B2C" w:rsidP="009340B0">
            <w:pPr>
              <w:spacing w:line="240" w:lineRule="auto"/>
              <w:jc w:val="center"/>
              <w:rPr>
                <w:rFonts w:eastAsia="Times New Roman" w:cs="Arial"/>
                <w:color w:val="000000"/>
                <w:sz w:val="20"/>
                <w:szCs w:val="20"/>
              </w:rPr>
            </w:pPr>
            <w:r w:rsidRPr="00542E7E">
              <w:rPr>
                <w:rFonts w:eastAsia="Times New Roman" w:cs="Arial"/>
                <w:color w:val="000000"/>
                <w:sz w:val="20"/>
                <w:szCs w:val="20"/>
              </w:rPr>
              <w:t>129</w:t>
            </w:r>
          </w:p>
        </w:tc>
        <w:tc>
          <w:tcPr>
            <w:tcW w:w="1134" w:type="dxa"/>
            <w:tcBorders>
              <w:top w:val="single" w:sz="4" w:space="0" w:color="auto"/>
              <w:bottom w:val="single" w:sz="4" w:space="0" w:color="auto"/>
            </w:tcBorders>
            <w:vAlign w:val="center"/>
          </w:tcPr>
          <w:p w14:paraId="657091B2" w14:textId="4CE907F1" w:rsidR="00D90B2C" w:rsidRPr="00542E7E" w:rsidRDefault="00D90B2C" w:rsidP="009340B0">
            <w:pPr>
              <w:spacing w:line="240" w:lineRule="auto"/>
              <w:jc w:val="center"/>
              <w:rPr>
                <w:rFonts w:eastAsia="Times New Roman" w:cs="Arial"/>
                <w:color w:val="000000"/>
                <w:sz w:val="20"/>
                <w:szCs w:val="20"/>
              </w:rPr>
            </w:pPr>
            <w:r>
              <w:rPr>
                <w:rFonts w:eastAsia="Times New Roman" w:cs="Arial"/>
                <w:color w:val="000000"/>
                <w:sz w:val="20"/>
                <w:szCs w:val="20"/>
              </w:rPr>
              <w:t>65</w:t>
            </w:r>
          </w:p>
        </w:tc>
      </w:tr>
      <w:bookmarkEnd w:id="17"/>
    </w:tbl>
    <w:p w14:paraId="35603605" w14:textId="49FBFD6D" w:rsidR="000039B2" w:rsidRDefault="000039B2" w:rsidP="00AA6DC8"/>
    <w:p w14:paraId="71A085B1" w14:textId="77777777" w:rsidR="00A64FA4" w:rsidRDefault="00A64FA4" w:rsidP="00F33A4A"/>
    <w:p w14:paraId="34D3ED6D" w14:textId="66EA92C9" w:rsidR="00983966" w:rsidRPr="00F33A4A" w:rsidRDefault="00A64FA4" w:rsidP="00F33A4A">
      <w:r>
        <w:t xml:space="preserve">Considerando-se o total de eventos adversos identificados no estudo, o </w:t>
      </w:r>
      <w:r>
        <w:rPr>
          <w:i/>
          <w:iCs/>
        </w:rPr>
        <w:t>GTT</w:t>
      </w:r>
      <w:r>
        <w:t xml:space="preserve"> foi capaz de encontrar 55,4% de todos os eventos adversos e 89,0% dos eventos classificados como F-I quanto a gravidade do </w:t>
      </w:r>
      <w:r w:rsidRPr="00A64FA4">
        <w:t xml:space="preserve">dano. </w:t>
      </w:r>
      <w:r w:rsidR="00F33A4A" w:rsidRPr="00A64FA4">
        <w:t>Os dados</w:t>
      </w:r>
      <w:r w:rsidR="00F33A4A">
        <w:t xml:space="preserve"> sobre a validade do </w:t>
      </w:r>
      <w:r w:rsidR="00F33A4A">
        <w:rPr>
          <w:i/>
          <w:iCs/>
        </w:rPr>
        <w:t xml:space="preserve">GTT </w:t>
      </w:r>
      <w:r w:rsidR="009B7251">
        <w:t>estão</w:t>
      </w:r>
      <w:r w:rsidR="00F33A4A">
        <w:t xml:space="preserve"> na tabela </w:t>
      </w:r>
      <w:r w:rsidR="009B7251">
        <w:t>4</w:t>
      </w:r>
      <w:r w:rsidR="00AE542F">
        <w:t xml:space="preserve"> (ou figura 2).</w:t>
      </w:r>
    </w:p>
    <w:p w14:paraId="4E2A490D" w14:textId="77777777" w:rsidR="00F33A4A" w:rsidRPr="005276BB" w:rsidRDefault="00F33A4A" w:rsidP="00F33A4A"/>
    <w:p w14:paraId="47415516" w14:textId="55E9FB11" w:rsidR="00F33A4A" w:rsidRDefault="00F33A4A" w:rsidP="00E67D1F">
      <w:pPr>
        <w:pStyle w:val="Legenda"/>
        <w:keepNext/>
        <w:ind w:left="-142"/>
        <w:jc w:val="left"/>
      </w:pPr>
      <w:bookmarkStart w:id="18" w:name="_Toc512438960"/>
      <w:r>
        <w:t xml:space="preserve">Tabela </w:t>
      </w:r>
      <w:r w:rsidR="009B7251">
        <w:t>4</w:t>
      </w:r>
      <w:r>
        <w:t xml:space="preserve"> – </w:t>
      </w:r>
      <w:r w:rsidRPr="00D908A7">
        <w:rPr>
          <w:highlight w:val="yellow"/>
        </w:rPr>
        <w:t>Sensibilidade, especificidade e acurácia</w:t>
      </w:r>
      <w:r>
        <w:t xml:space="preserve"> do </w:t>
      </w:r>
      <w:r w:rsidRPr="00DF5F86">
        <w:rPr>
          <w:i/>
        </w:rPr>
        <w:t>GTT-IHI</w:t>
      </w:r>
      <w:r>
        <w:t xml:space="preserve"> </w:t>
      </w:r>
      <w:r w:rsidR="00E67D1F">
        <w:t>para identificação de todos os</w:t>
      </w:r>
      <w:r>
        <w:t xml:space="preserve"> eventos</w:t>
      </w:r>
      <w:r w:rsidR="00E67D1F">
        <w:t xml:space="preserve"> adversos</w:t>
      </w:r>
      <w:r>
        <w:t xml:space="preserve"> </w:t>
      </w:r>
      <w:r w:rsidR="00E67D1F">
        <w:t>e para identificação de</w:t>
      </w:r>
      <w:r>
        <w:t xml:space="preserve"> eventos </w:t>
      </w:r>
      <w:bookmarkEnd w:id="18"/>
      <w:r w:rsidR="00E67D1F">
        <w:t xml:space="preserve">adversos classificados como “F” a “I” quanto a gravidade do </w:t>
      </w:r>
      <w:commentRangeStart w:id="19"/>
      <w:r w:rsidR="00E67D1F">
        <w:t>dano</w:t>
      </w:r>
      <w:commentRangeEnd w:id="19"/>
      <w:r w:rsidR="00D908A7">
        <w:rPr>
          <w:rStyle w:val="Refdecomentrio"/>
          <w:b w:val="0"/>
          <w:bCs w:val="0"/>
          <w:lang w:val="x-none" w:eastAsia="x-none"/>
        </w:rPr>
        <w:commentReference w:id="19"/>
      </w:r>
      <w:r w:rsidR="00E67D1F">
        <w:t xml:space="preserve"> </w:t>
      </w:r>
    </w:p>
    <w:tbl>
      <w:tblPr>
        <w:tblW w:w="9214" w:type="dxa"/>
        <w:jc w:val="center"/>
        <w:tblCellMar>
          <w:left w:w="70" w:type="dxa"/>
          <w:right w:w="70" w:type="dxa"/>
        </w:tblCellMar>
        <w:tblLook w:val="04A0" w:firstRow="1" w:lastRow="0" w:firstColumn="1" w:lastColumn="0" w:noHBand="0" w:noVBand="1"/>
      </w:tblPr>
      <w:tblGrid>
        <w:gridCol w:w="1619"/>
        <w:gridCol w:w="162"/>
        <w:gridCol w:w="1750"/>
        <w:gridCol w:w="201"/>
        <w:gridCol w:w="1655"/>
        <w:gridCol w:w="160"/>
        <w:gridCol w:w="1824"/>
        <w:gridCol w:w="160"/>
        <w:gridCol w:w="1683"/>
      </w:tblGrid>
      <w:tr w:rsidR="00F33A4A" w:rsidRPr="00373B60" w14:paraId="1AD31D6E" w14:textId="77777777" w:rsidTr="00E67D1F">
        <w:trPr>
          <w:trHeight w:val="527"/>
          <w:jc w:val="center"/>
        </w:trPr>
        <w:tc>
          <w:tcPr>
            <w:tcW w:w="1619" w:type="dxa"/>
            <w:tcBorders>
              <w:top w:val="single" w:sz="4" w:space="0" w:color="auto"/>
              <w:left w:val="nil"/>
              <w:right w:val="nil"/>
            </w:tcBorders>
            <w:shd w:val="clear" w:color="auto" w:fill="auto"/>
            <w:noWrap/>
            <w:vAlign w:val="center"/>
          </w:tcPr>
          <w:p w14:paraId="306A03E9" w14:textId="77777777" w:rsidR="00F33A4A" w:rsidRPr="00373B60" w:rsidRDefault="00F33A4A" w:rsidP="00A533DF">
            <w:pPr>
              <w:spacing w:line="240" w:lineRule="auto"/>
              <w:jc w:val="center"/>
              <w:rPr>
                <w:rFonts w:eastAsia="Times New Roman" w:cs="Arial"/>
                <w:color w:val="000000"/>
                <w:sz w:val="20"/>
                <w:szCs w:val="20"/>
              </w:rPr>
            </w:pPr>
          </w:p>
        </w:tc>
        <w:tc>
          <w:tcPr>
            <w:tcW w:w="162" w:type="dxa"/>
            <w:tcBorders>
              <w:top w:val="single" w:sz="4" w:space="0" w:color="auto"/>
              <w:left w:val="nil"/>
              <w:right w:val="nil"/>
            </w:tcBorders>
            <w:shd w:val="clear" w:color="auto" w:fill="auto"/>
          </w:tcPr>
          <w:p w14:paraId="6E24D018" w14:textId="77777777" w:rsidR="00F33A4A" w:rsidRDefault="00F33A4A" w:rsidP="00A533DF">
            <w:pPr>
              <w:spacing w:line="240" w:lineRule="auto"/>
              <w:jc w:val="center"/>
              <w:rPr>
                <w:rFonts w:eastAsia="Times New Roman" w:cs="Arial"/>
                <w:b/>
                <w:bCs/>
                <w:color w:val="000000"/>
                <w:sz w:val="20"/>
                <w:szCs w:val="20"/>
              </w:rPr>
            </w:pPr>
          </w:p>
        </w:tc>
        <w:tc>
          <w:tcPr>
            <w:tcW w:w="3606" w:type="dxa"/>
            <w:gridSpan w:val="3"/>
            <w:tcBorders>
              <w:top w:val="single" w:sz="4" w:space="0" w:color="auto"/>
              <w:left w:val="nil"/>
              <w:right w:val="nil"/>
            </w:tcBorders>
            <w:shd w:val="clear" w:color="auto" w:fill="auto"/>
            <w:vAlign w:val="center"/>
          </w:tcPr>
          <w:p w14:paraId="15500961" w14:textId="2F3EA836" w:rsidR="00F33A4A" w:rsidRDefault="00F33A4A" w:rsidP="00A533DF">
            <w:pPr>
              <w:spacing w:line="240" w:lineRule="auto"/>
              <w:jc w:val="center"/>
              <w:rPr>
                <w:rFonts w:eastAsia="Times New Roman" w:cs="Arial"/>
                <w:b/>
                <w:bCs/>
                <w:color w:val="000000"/>
                <w:sz w:val="20"/>
                <w:szCs w:val="20"/>
              </w:rPr>
            </w:pPr>
            <w:r>
              <w:rPr>
                <w:rFonts w:eastAsia="Times New Roman" w:cs="Arial"/>
                <w:b/>
                <w:bCs/>
                <w:color w:val="000000"/>
                <w:sz w:val="20"/>
                <w:szCs w:val="20"/>
              </w:rPr>
              <w:t xml:space="preserve">Internação com </w:t>
            </w:r>
            <w:r w:rsidR="00E67D1F">
              <w:rPr>
                <w:rFonts w:eastAsia="Times New Roman" w:cs="Arial"/>
                <w:b/>
                <w:bCs/>
                <w:color w:val="000000"/>
                <w:sz w:val="20"/>
                <w:szCs w:val="20"/>
              </w:rPr>
              <w:t>eventos adversos</w:t>
            </w:r>
          </w:p>
        </w:tc>
        <w:tc>
          <w:tcPr>
            <w:tcW w:w="160" w:type="dxa"/>
            <w:tcBorders>
              <w:top w:val="single" w:sz="4" w:space="0" w:color="auto"/>
              <w:left w:val="nil"/>
              <w:right w:val="nil"/>
            </w:tcBorders>
            <w:shd w:val="clear" w:color="auto" w:fill="auto"/>
          </w:tcPr>
          <w:p w14:paraId="3A848E01" w14:textId="77777777" w:rsidR="00F33A4A" w:rsidRDefault="00F33A4A" w:rsidP="00A533DF">
            <w:pPr>
              <w:spacing w:line="240" w:lineRule="auto"/>
              <w:jc w:val="center"/>
              <w:rPr>
                <w:rFonts w:eastAsia="Times New Roman" w:cs="Arial"/>
                <w:b/>
                <w:bCs/>
                <w:color w:val="000000"/>
                <w:sz w:val="20"/>
                <w:szCs w:val="20"/>
              </w:rPr>
            </w:pPr>
          </w:p>
        </w:tc>
        <w:tc>
          <w:tcPr>
            <w:tcW w:w="3667" w:type="dxa"/>
            <w:gridSpan w:val="3"/>
            <w:tcBorders>
              <w:top w:val="single" w:sz="4" w:space="0" w:color="auto"/>
              <w:left w:val="nil"/>
              <w:bottom w:val="single" w:sz="4" w:space="0" w:color="auto"/>
              <w:right w:val="nil"/>
            </w:tcBorders>
            <w:shd w:val="clear" w:color="auto" w:fill="auto"/>
            <w:vAlign w:val="center"/>
          </w:tcPr>
          <w:p w14:paraId="1B4756A1" w14:textId="24B121C8" w:rsidR="00F33A4A" w:rsidRDefault="00E67D1F" w:rsidP="00A533DF">
            <w:pPr>
              <w:spacing w:line="240" w:lineRule="auto"/>
              <w:jc w:val="center"/>
              <w:rPr>
                <w:rFonts w:eastAsia="Times New Roman" w:cs="Arial"/>
                <w:b/>
                <w:bCs/>
                <w:color w:val="000000"/>
                <w:sz w:val="20"/>
                <w:szCs w:val="20"/>
              </w:rPr>
            </w:pPr>
            <w:r>
              <w:rPr>
                <w:rFonts w:eastAsia="Times New Roman" w:cs="Arial"/>
                <w:b/>
                <w:bCs/>
                <w:color w:val="000000"/>
                <w:sz w:val="20"/>
                <w:szCs w:val="20"/>
              </w:rPr>
              <w:t>Eventos adversos individualmente</w:t>
            </w:r>
          </w:p>
        </w:tc>
      </w:tr>
      <w:tr w:rsidR="00F33A4A" w:rsidRPr="00373B60" w14:paraId="640DC861" w14:textId="77777777" w:rsidTr="00E67D1F">
        <w:trPr>
          <w:trHeight w:val="613"/>
          <w:jc w:val="center"/>
        </w:trPr>
        <w:tc>
          <w:tcPr>
            <w:tcW w:w="1619" w:type="dxa"/>
            <w:tcBorders>
              <w:left w:val="nil"/>
              <w:bottom w:val="single" w:sz="4" w:space="0" w:color="auto"/>
              <w:right w:val="nil"/>
            </w:tcBorders>
            <w:shd w:val="clear" w:color="auto" w:fill="auto"/>
            <w:noWrap/>
            <w:vAlign w:val="center"/>
            <w:hideMark/>
          </w:tcPr>
          <w:p w14:paraId="301CCE9E" w14:textId="77777777" w:rsidR="00F33A4A" w:rsidRPr="00CB684A" w:rsidRDefault="00F33A4A" w:rsidP="00A533DF">
            <w:pPr>
              <w:spacing w:line="240" w:lineRule="auto"/>
              <w:jc w:val="center"/>
              <w:rPr>
                <w:rFonts w:eastAsia="Times New Roman" w:cs="Arial"/>
                <w:b/>
                <w:color w:val="000000"/>
                <w:sz w:val="20"/>
                <w:szCs w:val="20"/>
              </w:rPr>
            </w:pPr>
          </w:p>
        </w:tc>
        <w:tc>
          <w:tcPr>
            <w:tcW w:w="162" w:type="dxa"/>
            <w:tcBorders>
              <w:left w:val="nil"/>
              <w:right w:val="nil"/>
            </w:tcBorders>
            <w:shd w:val="clear" w:color="auto" w:fill="auto"/>
          </w:tcPr>
          <w:p w14:paraId="5C2F4C14" w14:textId="77777777" w:rsidR="00F33A4A" w:rsidRDefault="00F33A4A" w:rsidP="00A533DF">
            <w:pPr>
              <w:spacing w:line="240" w:lineRule="auto"/>
              <w:jc w:val="center"/>
              <w:rPr>
                <w:rFonts w:eastAsia="Times New Roman" w:cs="Arial"/>
                <w:b/>
                <w:bCs/>
                <w:color w:val="000000"/>
                <w:sz w:val="20"/>
                <w:szCs w:val="20"/>
              </w:rPr>
            </w:pPr>
          </w:p>
        </w:tc>
        <w:tc>
          <w:tcPr>
            <w:tcW w:w="1750" w:type="dxa"/>
            <w:tcBorders>
              <w:left w:val="nil"/>
              <w:bottom w:val="single" w:sz="4" w:space="0" w:color="auto"/>
              <w:right w:val="nil"/>
            </w:tcBorders>
            <w:shd w:val="clear" w:color="auto" w:fill="auto"/>
            <w:vAlign w:val="center"/>
            <w:hideMark/>
          </w:tcPr>
          <w:p w14:paraId="1D867C73" w14:textId="69CE6312" w:rsidR="00F33A4A" w:rsidRPr="00373B60" w:rsidRDefault="00F33A4A" w:rsidP="00A533DF">
            <w:pPr>
              <w:spacing w:line="240" w:lineRule="auto"/>
              <w:jc w:val="center"/>
              <w:rPr>
                <w:rFonts w:eastAsia="Times New Roman" w:cs="Arial"/>
                <w:b/>
                <w:bCs/>
                <w:color w:val="000000"/>
                <w:sz w:val="20"/>
                <w:szCs w:val="20"/>
              </w:rPr>
            </w:pPr>
            <w:r>
              <w:rPr>
                <w:rFonts w:eastAsia="Times New Roman" w:cs="Arial"/>
                <w:b/>
                <w:bCs/>
                <w:color w:val="000000"/>
                <w:sz w:val="20"/>
                <w:szCs w:val="20"/>
              </w:rPr>
              <w:t>Total de e</w:t>
            </w:r>
            <w:r w:rsidRPr="008D670E">
              <w:rPr>
                <w:rFonts w:eastAsia="Times New Roman" w:cs="Arial"/>
                <w:b/>
                <w:bCs/>
                <w:color w:val="000000"/>
                <w:sz w:val="20"/>
                <w:szCs w:val="20"/>
              </w:rPr>
              <w:t xml:space="preserve">ventos adversos </w:t>
            </w:r>
          </w:p>
        </w:tc>
        <w:tc>
          <w:tcPr>
            <w:tcW w:w="201" w:type="dxa"/>
            <w:tcBorders>
              <w:left w:val="nil"/>
              <w:right w:val="nil"/>
            </w:tcBorders>
            <w:shd w:val="clear" w:color="auto" w:fill="auto"/>
          </w:tcPr>
          <w:p w14:paraId="4B6111CE" w14:textId="77777777" w:rsidR="00F33A4A" w:rsidRDefault="00F33A4A" w:rsidP="00A533DF">
            <w:pPr>
              <w:spacing w:line="240" w:lineRule="auto"/>
              <w:jc w:val="center"/>
              <w:rPr>
                <w:rFonts w:eastAsia="Times New Roman" w:cs="Arial"/>
                <w:b/>
                <w:bCs/>
                <w:color w:val="000000"/>
                <w:sz w:val="20"/>
                <w:szCs w:val="20"/>
              </w:rPr>
            </w:pPr>
          </w:p>
        </w:tc>
        <w:tc>
          <w:tcPr>
            <w:tcW w:w="1655" w:type="dxa"/>
            <w:tcBorders>
              <w:left w:val="nil"/>
              <w:bottom w:val="single" w:sz="4" w:space="0" w:color="auto"/>
              <w:right w:val="nil"/>
            </w:tcBorders>
            <w:shd w:val="clear" w:color="auto" w:fill="auto"/>
            <w:vAlign w:val="center"/>
          </w:tcPr>
          <w:p w14:paraId="65F4F75B" w14:textId="77777777" w:rsidR="00F33A4A" w:rsidRPr="00373B60" w:rsidRDefault="00F33A4A" w:rsidP="00A533DF">
            <w:pPr>
              <w:spacing w:line="240" w:lineRule="auto"/>
              <w:jc w:val="center"/>
              <w:rPr>
                <w:rFonts w:eastAsia="Times New Roman" w:cs="Arial"/>
                <w:b/>
                <w:bCs/>
                <w:color w:val="000000"/>
                <w:sz w:val="20"/>
                <w:szCs w:val="20"/>
              </w:rPr>
            </w:pPr>
            <w:r w:rsidRPr="008D670E">
              <w:rPr>
                <w:rFonts w:eastAsia="Times New Roman" w:cs="Arial"/>
                <w:b/>
                <w:bCs/>
                <w:color w:val="000000"/>
                <w:sz w:val="20"/>
                <w:szCs w:val="20"/>
              </w:rPr>
              <w:t xml:space="preserve">Eventos adversos </w:t>
            </w:r>
            <w:r>
              <w:rPr>
                <w:rFonts w:eastAsia="Times New Roman" w:cs="Arial"/>
                <w:b/>
                <w:bCs/>
                <w:color w:val="000000"/>
                <w:sz w:val="20"/>
                <w:szCs w:val="20"/>
              </w:rPr>
              <w:t>F-I</w:t>
            </w:r>
          </w:p>
        </w:tc>
        <w:tc>
          <w:tcPr>
            <w:tcW w:w="160" w:type="dxa"/>
            <w:tcBorders>
              <w:left w:val="nil"/>
              <w:right w:val="nil"/>
            </w:tcBorders>
            <w:shd w:val="clear" w:color="auto" w:fill="auto"/>
          </w:tcPr>
          <w:p w14:paraId="01C25101" w14:textId="77777777" w:rsidR="00F33A4A" w:rsidRDefault="00F33A4A" w:rsidP="00A533DF">
            <w:pPr>
              <w:spacing w:line="240" w:lineRule="auto"/>
              <w:jc w:val="center"/>
              <w:rPr>
                <w:rFonts w:eastAsia="Times New Roman" w:cs="Arial"/>
                <w:b/>
                <w:bCs/>
                <w:color w:val="000000"/>
                <w:sz w:val="20"/>
                <w:szCs w:val="20"/>
              </w:rPr>
            </w:pPr>
          </w:p>
        </w:tc>
        <w:tc>
          <w:tcPr>
            <w:tcW w:w="1824" w:type="dxa"/>
            <w:tcBorders>
              <w:top w:val="single" w:sz="4" w:space="0" w:color="auto"/>
              <w:left w:val="nil"/>
              <w:bottom w:val="single" w:sz="4" w:space="0" w:color="auto"/>
              <w:right w:val="nil"/>
            </w:tcBorders>
            <w:shd w:val="clear" w:color="auto" w:fill="auto"/>
            <w:vAlign w:val="center"/>
          </w:tcPr>
          <w:p w14:paraId="16AA38E8" w14:textId="11FCF634" w:rsidR="00F33A4A" w:rsidRPr="00373B60" w:rsidRDefault="00F33A4A" w:rsidP="00A533DF">
            <w:pPr>
              <w:spacing w:line="240" w:lineRule="auto"/>
              <w:jc w:val="center"/>
              <w:rPr>
                <w:rFonts w:eastAsia="Times New Roman" w:cs="Arial"/>
                <w:b/>
                <w:bCs/>
                <w:color w:val="000000"/>
                <w:sz w:val="20"/>
                <w:szCs w:val="20"/>
              </w:rPr>
            </w:pPr>
            <w:r>
              <w:rPr>
                <w:rFonts w:eastAsia="Times New Roman" w:cs="Arial"/>
                <w:b/>
                <w:bCs/>
                <w:color w:val="000000"/>
                <w:sz w:val="20"/>
                <w:szCs w:val="20"/>
              </w:rPr>
              <w:t>Total de e</w:t>
            </w:r>
            <w:r w:rsidRPr="008D670E">
              <w:rPr>
                <w:rFonts w:eastAsia="Times New Roman" w:cs="Arial"/>
                <w:b/>
                <w:bCs/>
                <w:color w:val="000000"/>
                <w:sz w:val="20"/>
                <w:szCs w:val="20"/>
              </w:rPr>
              <w:t>ventos adversos</w:t>
            </w:r>
          </w:p>
        </w:tc>
        <w:tc>
          <w:tcPr>
            <w:tcW w:w="160" w:type="dxa"/>
            <w:tcBorders>
              <w:top w:val="single" w:sz="4" w:space="0" w:color="auto"/>
              <w:left w:val="nil"/>
              <w:right w:val="nil"/>
            </w:tcBorders>
            <w:shd w:val="clear" w:color="auto" w:fill="auto"/>
          </w:tcPr>
          <w:p w14:paraId="1B55CFD6" w14:textId="77777777" w:rsidR="00F33A4A" w:rsidRDefault="00F33A4A" w:rsidP="00A533DF">
            <w:pPr>
              <w:spacing w:line="240" w:lineRule="auto"/>
              <w:jc w:val="center"/>
              <w:rPr>
                <w:rFonts w:eastAsia="Times New Roman" w:cs="Arial"/>
                <w:b/>
                <w:bCs/>
                <w:color w:val="000000"/>
                <w:sz w:val="20"/>
                <w:szCs w:val="20"/>
              </w:rPr>
            </w:pPr>
          </w:p>
        </w:tc>
        <w:tc>
          <w:tcPr>
            <w:tcW w:w="1683" w:type="dxa"/>
            <w:tcBorders>
              <w:top w:val="single" w:sz="4" w:space="0" w:color="auto"/>
              <w:left w:val="nil"/>
              <w:bottom w:val="single" w:sz="4" w:space="0" w:color="auto"/>
              <w:right w:val="nil"/>
            </w:tcBorders>
            <w:shd w:val="clear" w:color="auto" w:fill="auto"/>
            <w:vAlign w:val="center"/>
          </w:tcPr>
          <w:p w14:paraId="46130E06" w14:textId="77777777" w:rsidR="00F33A4A" w:rsidRPr="00373B60" w:rsidRDefault="00F33A4A" w:rsidP="00A533DF">
            <w:pPr>
              <w:spacing w:line="240" w:lineRule="auto"/>
              <w:jc w:val="center"/>
              <w:rPr>
                <w:rFonts w:eastAsia="Times New Roman" w:cs="Arial"/>
                <w:b/>
                <w:bCs/>
                <w:color w:val="000000"/>
                <w:sz w:val="20"/>
                <w:szCs w:val="20"/>
              </w:rPr>
            </w:pPr>
            <w:r w:rsidRPr="008D670E">
              <w:rPr>
                <w:rFonts w:eastAsia="Times New Roman" w:cs="Arial"/>
                <w:b/>
                <w:bCs/>
                <w:color w:val="000000"/>
                <w:sz w:val="20"/>
                <w:szCs w:val="20"/>
              </w:rPr>
              <w:t xml:space="preserve">Eventos adversos </w:t>
            </w:r>
            <w:r>
              <w:rPr>
                <w:rFonts w:eastAsia="Times New Roman" w:cs="Arial"/>
                <w:b/>
                <w:bCs/>
                <w:color w:val="000000"/>
                <w:sz w:val="20"/>
                <w:szCs w:val="20"/>
              </w:rPr>
              <w:t xml:space="preserve">F-I </w:t>
            </w:r>
          </w:p>
        </w:tc>
      </w:tr>
      <w:tr w:rsidR="00F33A4A" w:rsidRPr="00373B60" w14:paraId="1611F7DA" w14:textId="77777777" w:rsidTr="00E67D1F">
        <w:trPr>
          <w:trHeight w:val="643"/>
          <w:jc w:val="center"/>
        </w:trPr>
        <w:tc>
          <w:tcPr>
            <w:tcW w:w="1619" w:type="dxa"/>
            <w:tcBorders>
              <w:top w:val="nil"/>
              <w:left w:val="nil"/>
              <w:bottom w:val="nil"/>
              <w:right w:val="nil"/>
            </w:tcBorders>
            <w:shd w:val="clear" w:color="auto" w:fill="auto"/>
            <w:noWrap/>
            <w:vAlign w:val="center"/>
            <w:hideMark/>
          </w:tcPr>
          <w:p w14:paraId="7FCD2706" w14:textId="77777777" w:rsidR="00F33A4A" w:rsidRPr="008D670E" w:rsidRDefault="00F33A4A" w:rsidP="00A533DF">
            <w:pPr>
              <w:spacing w:line="240" w:lineRule="auto"/>
              <w:jc w:val="left"/>
              <w:rPr>
                <w:rFonts w:eastAsia="Times New Roman" w:cs="Arial"/>
                <w:b/>
                <w:color w:val="000000"/>
                <w:sz w:val="20"/>
                <w:szCs w:val="20"/>
              </w:rPr>
            </w:pPr>
            <w:r w:rsidRPr="008D670E">
              <w:rPr>
                <w:rFonts w:eastAsia="Times New Roman" w:cs="Arial"/>
                <w:b/>
                <w:color w:val="000000"/>
                <w:sz w:val="20"/>
                <w:szCs w:val="20"/>
              </w:rPr>
              <w:t>Sensibilidade</w:t>
            </w:r>
            <w:r>
              <w:rPr>
                <w:rFonts w:eastAsia="Times New Roman" w:cs="Arial"/>
                <w:b/>
                <w:color w:val="000000"/>
                <w:sz w:val="20"/>
                <w:szCs w:val="20"/>
              </w:rPr>
              <w:t>*</w:t>
            </w:r>
            <w:r w:rsidRPr="008D670E">
              <w:rPr>
                <w:rFonts w:eastAsia="Times New Roman" w:cs="Arial"/>
                <w:b/>
                <w:color w:val="000000"/>
                <w:sz w:val="20"/>
                <w:szCs w:val="20"/>
              </w:rPr>
              <w:t xml:space="preserve"> </w:t>
            </w:r>
          </w:p>
        </w:tc>
        <w:tc>
          <w:tcPr>
            <w:tcW w:w="162" w:type="dxa"/>
            <w:tcBorders>
              <w:left w:val="nil"/>
              <w:bottom w:val="nil"/>
              <w:right w:val="nil"/>
            </w:tcBorders>
            <w:shd w:val="clear" w:color="auto" w:fill="auto"/>
          </w:tcPr>
          <w:p w14:paraId="7C5EFFB2" w14:textId="77777777" w:rsidR="00F33A4A" w:rsidRDefault="00F33A4A" w:rsidP="00A533DF">
            <w:pPr>
              <w:spacing w:line="240" w:lineRule="auto"/>
              <w:jc w:val="center"/>
              <w:rPr>
                <w:rFonts w:eastAsia="Times New Roman" w:cs="Arial"/>
                <w:color w:val="000000"/>
                <w:sz w:val="20"/>
                <w:szCs w:val="20"/>
              </w:rPr>
            </w:pPr>
          </w:p>
        </w:tc>
        <w:tc>
          <w:tcPr>
            <w:tcW w:w="1750" w:type="dxa"/>
            <w:tcBorders>
              <w:top w:val="nil"/>
              <w:left w:val="nil"/>
              <w:bottom w:val="nil"/>
              <w:right w:val="nil"/>
            </w:tcBorders>
            <w:shd w:val="clear" w:color="auto" w:fill="auto"/>
            <w:noWrap/>
            <w:vAlign w:val="center"/>
            <w:hideMark/>
          </w:tcPr>
          <w:p w14:paraId="63844CDE" w14:textId="77777777" w:rsidR="00F33A4A" w:rsidRPr="00373B60" w:rsidRDefault="00F33A4A" w:rsidP="00A533DF">
            <w:pPr>
              <w:spacing w:line="240" w:lineRule="auto"/>
              <w:jc w:val="center"/>
              <w:rPr>
                <w:rFonts w:eastAsia="Times New Roman" w:cs="Arial"/>
                <w:color w:val="000000"/>
                <w:sz w:val="20"/>
                <w:szCs w:val="20"/>
              </w:rPr>
            </w:pPr>
            <w:r w:rsidRPr="008D670E">
              <w:rPr>
                <w:rFonts w:eastAsia="Times New Roman" w:cs="Arial"/>
                <w:color w:val="000000"/>
                <w:sz w:val="20"/>
                <w:szCs w:val="20"/>
              </w:rPr>
              <w:t>0,</w:t>
            </w:r>
            <w:r>
              <w:rPr>
                <w:rFonts w:eastAsia="Times New Roman" w:cs="Arial"/>
                <w:color w:val="000000"/>
                <w:sz w:val="20"/>
                <w:szCs w:val="20"/>
              </w:rPr>
              <w:t>76</w:t>
            </w:r>
            <w:r w:rsidRPr="008D670E">
              <w:rPr>
                <w:rFonts w:eastAsia="Times New Roman" w:cs="Arial"/>
                <w:color w:val="000000"/>
                <w:sz w:val="20"/>
                <w:szCs w:val="20"/>
              </w:rPr>
              <w:t xml:space="preserve"> (</w:t>
            </w:r>
            <w:r>
              <w:rPr>
                <w:rFonts w:eastAsia="Times New Roman" w:cs="Arial"/>
                <w:color w:val="000000"/>
                <w:sz w:val="20"/>
                <w:szCs w:val="20"/>
              </w:rPr>
              <w:t>XX</w:t>
            </w:r>
            <w:r w:rsidRPr="008D670E">
              <w:rPr>
                <w:rFonts w:eastAsia="Times New Roman" w:cs="Arial"/>
                <w:color w:val="000000"/>
                <w:sz w:val="20"/>
                <w:szCs w:val="20"/>
              </w:rPr>
              <w:t xml:space="preserve"> – </w:t>
            </w:r>
            <w:r>
              <w:rPr>
                <w:rFonts w:eastAsia="Times New Roman" w:cs="Arial"/>
                <w:color w:val="000000"/>
                <w:sz w:val="20"/>
                <w:szCs w:val="20"/>
              </w:rPr>
              <w:t>XX</w:t>
            </w:r>
            <w:r w:rsidRPr="008D670E">
              <w:rPr>
                <w:rFonts w:eastAsia="Times New Roman" w:cs="Arial"/>
                <w:color w:val="000000"/>
                <w:sz w:val="20"/>
                <w:szCs w:val="20"/>
              </w:rPr>
              <w:t>)</w:t>
            </w:r>
          </w:p>
        </w:tc>
        <w:tc>
          <w:tcPr>
            <w:tcW w:w="201" w:type="dxa"/>
            <w:tcBorders>
              <w:left w:val="nil"/>
              <w:bottom w:val="nil"/>
              <w:right w:val="nil"/>
            </w:tcBorders>
            <w:shd w:val="clear" w:color="auto" w:fill="auto"/>
          </w:tcPr>
          <w:p w14:paraId="6585CE91" w14:textId="77777777" w:rsidR="00F33A4A" w:rsidRDefault="00F33A4A" w:rsidP="00A533DF">
            <w:pPr>
              <w:spacing w:line="240" w:lineRule="auto"/>
              <w:jc w:val="center"/>
              <w:rPr>
                <w:rFonts w:eastAsia="Times New Roman" w:cs="Arial"/>
                <w:color w:val="000000"/>
                <w:sz w:val="20"/>
                <w:szCs w:val="20"/>
              </w:rPr>
            </w:pPr>
          </w:p>
        </w:tc>
        <w:tc>
          <w:tcPr>
            <w:tcW w:w="1655" w:type="dxa"/>
            <w:tcBorders>
              <w:top w:val="nil"/>
              <w:left w:val="nil"/>
              <w:bottom w:val="nil"/>
              <w:right w:val="nil"/>
            </w:tcBorders>
            <w:shd w:val="clear" w:color="auto" w:fill="auto"/>
            <w:vAlign w:val="center"/>
          </w:tcPr>
          <w:p w14:paraId="59527C6C" w14:textId="77777777" w:rsidR="00F33A4A" w:rsidRPr="00373B60" w:rsidRDefault="00F33A4A" w:rsidP="00A533DF">
            <w:pPr>
              <w:spacing w:line="240" w:lineRule="auto"/>
              <w:jc w:val="center"/>
              <w:rPr>
                <w:rFonts w:eastAsia="Times New Roman" w:cs="Arial"/>
                <w:color w:val="000000"/>
                <w:sz w:val="20"/>
                <w:szCs w:val="20"/>
              </w:rPr>
            </w:pPr>
            <w:r w:rsidRPr="008D670E">
              <w:rPr>
                <w:rFonts w:eastAsia="Times New Roman" w:cs="Arial"/>
                <w:color w:val="000000"/>
                <w:sz w:val="20"/>
                <w:szCs w:val="20"/>
              </w:rPr>
              <w:t>0,</w:t>
            </w:r>
            <w:r>
              <w:rPr>
                <w:rFonts w:eastAsia="Times New Roman" w:cs="Arial"/>
                <w:color w:val="000000"/>
                <w:sz w:val="20"/>
                <w:szCs w:val="20"/>
              </w:rPr>
              <w:t>90</w:t>
            </w:r>
            <w:r w:rsidRPr="008D670E">
              <w:rPr>
                <w:rFonts w:eastAsia="Times New Roman" w:cs="Arial"/>
                <w:color w:val="000000"/>
                <w:sz w:val="20"/>
                <w:szCs w:val="20"/>
              </w:rPr>
              <w:t xml:space="preserve"> (</w:t>
            </w:r>
            <w:r>
              <w:rPr>
                <w:rFonts w:eastAsia="Times New Roman" w:cs="Arial"/>
                <w:color w:val="000000"/>
                <w:sz w:val="20"/>
                <w:szCs w:val="20"/>
              </w:rPr>
              <w:t>XX</w:t>
            </w:r>
            <w:r w:rsidRPr="008D670E">
              <w:rPr>
                <w:rFonts w:eastAsia="Times New Roman" w:cs="Arial"/>
                <w:color w:val="000000"/>
                <w:sz w:val="20"/>
                <w:szCs w:val="20"/>
              </w:rPr>
              <w:t xml:space="preserve"> – </w:t>
            </w:r>
            <w:r>
              <w:rPr>
                <w:rFonts w:eastAsia="Times New Roman" w:cs="Arial"/>
                <w:color w:val="000000"/>
                <w:sz w:val="20"/>
                <w:szCs w:val="20"/>
              </w:rPr>
              <w:t>XX</w:t>
            </w:r>
            <w:r w:rsidRPr="008D670E">
              <w:rPr>
                <w:rFonts w:eastAsia="Times New Roman" w:cs="Arial"/>
                <w:color w:val="000000"/>
                <w:sz w:val="20"/>
                <w:szCs w:val="20"/>
              </w:rPr>
              <w:t>)</w:t>
            </w:r>
          </w:p>
        </w:tc>
        <w:tc>
          <w:tcPr>
            <w:tcW w:w="160" w:type="dxa"/>
            <w:tcBorders>
              <w:left w:val="nil"/>
              <w:bottom w:val="nil"/>
              <w:right w:val="nil"/>
            </w:tcBorders>
            <w:shd w:val="clear" w:color="auto" w:fill="auto"/>
          </w:tcPr>
          <w:p w14:paraId="4C7C1CB7" w14:textId="77777777" w:rsidR="00F33A4A" w:rsidRDefault="00F33A4A" w:rsidP="00A533DF">
            <w:pPr>
              <w:spacing w:line="240" w:lineRule="auto"/>
              <w:jc w:val="center"/>
              <w:rPr>
                <w:rFonts w:eastAsia="Times New Roman" w:cs="Arial"/>
                <w:color w:val="000000"/>
                <w:sz w:val="20"/>
                <w:szCs w:val="20"/>
              </w:rPr>
            </w:pPr>
          </w:p>
        </w:tc>
        <w:tc>
          <w:tcPr>
            <w:tcW w:w="1824" w:type="dxa"/>
            <w:tcBorders>
              <w:top w:val="nil"/>
              <w:left w:val="nil"/>
              <w:bottom w:val="nil"/>
              <w:right w:val="nil"/>
            </w:tcBorders>
            <w:shd w:val="clear" w:color="auto" w:fill="auto"/>
            <w:vAlign w:val="center"/>
          </w:tcPr>
          <w:p w14:paraId="50667E62" w14:textId="77777777" w:rsidR="00F33A4A" w:rsidRPr="00373B60" w:rsidRDefault="00F33A4A" w:rsidP="00A533DF">
            <w:pPr>
              <w:spacing w:line="240" w:lineRule="auto"/>
              <w:jc w:val="center"/>
              <w:rPr>
                <w:rFonts w:eastAsia="Times New Roman" w:cs="Arial"/>
                <w:color w:val="000000"/>
                <w:sz w:val="20"/>
                <w:szCs w:val="20"/>
              </w:rPr>
            </w:pPr>
            <w:r w:rsidRPr="008D670E">
              <w:rPr>
                <w:rFonts w:eastAsia="Times New Roman" w:cs="Arial"/>
                <w:color w:val="000000"/>
                <w:sz w:val="20"/>
                <w:szCs w:val="20"/>
              </w:rPr>
              <w:t>0,</w:t>
            </w:r>
            <w:r>
              <w:rPr>
                <w:rFonts w:eastAsia="Times New Roman" w:cs="Arial"/>
                <w:color w:val="000000"/>
                <w:sz w:val="20"/>
                <w:szCs w:val="20"/>
              </w:rPr>
              <w:t>41</w:t>
            </w:r>
            <w:r w:rsidRPr="008D670E">
              <w:rPr>
                <w:rFonts w:eastAsia="Times New Roman" w:cs="Arial"/>
                <w:color w:val="000000"/>
                <w:sz w:val="20"/>
                <w:szCs w:val="20"/>
              </w:rPr>
              <w:t xml:space="preserve"> (</w:t>
            </w:r>
            <w:r>
              <w:rPr>
                <w:rFonts w:eastAsia="Times New Roman" w:cs="Arial"/>
                <w:color w:val="000000"/>
                <w:sz w:val="20"/>
                <w:szCs w:val="20"/>
              </w:rPr>
              <w:t>XX</w:t>
            </w:r>
            <w:r w:rsidRPr="008D670E">
              <w:rPr>
                <w:rFonts w:eastAsia="Times New Roman" w:cs="Arial"/>
                <w:color w:val="000000"/>
                <w:sz w:val="20"/>
                <w:szCs w:val="20"/>
              </w:rPr>
              <w:t xml:space="preserve"> – </w:t>
            </w:r>
            <w:r>
              <w:rPr>
                <w:rFonts w:eastAsia="Times New Roman" w:cs="Arial"/>
                <w:color w:val="000000"/>
                <w:sz w:val="20"/>
                <w:szCs w:val="20"/>
              </w:rPr>
              <w:t>XX</w:t>
            </w:r>
            <w:r w:rsidRPr="008D670E">
              <w:rPr>
                <w:rFonts w:eastAsia="Times New Roman" w:cs="Arial"/>
                <w:color w:val="000000"/>
                <w:sz w:val="20"/>
                <w:szCs w:val="20"/>
              </w:rPr>
              <w:t>)</w:t>
            </w:r>
          </w:p>
        </w:tc>
        <w:tc>
          <w:tcPr>
            <w:tcW w:w="160" w:type="dxa"/>
            <w:tcBorders>
              <w:left w:val="nil"/>
              <w:bottom w:val="nil"/>
              <w:right w:val="nil"/>
            </w:tcBorders>
            <w:shd w:val="clear" w:color="auto" w:fill="auto"/>
          </w:tcPr>
          <w:p w14:paraId="070B50A5" w14:textId="77777777" w:rsidR="00F33A4A" w:rsidRDefault="00F33A4A" w:rsidP="00A533DF">
            <w:pPr>
              <w:spacing w:line="240" w:lineRule="auto"/>
              <w:jc w:val="center"/>
              <w:rPr>
                <w:rFonts w:eastAsia="Times New Roman" w:cs="Arial"/>
                <w:color w:val="000000"/>
                <w:sz w:val="20"/>
                <w:szCs w:val="20"/>
              </w:rPr>
            </w:pPr>
          </w:p>
        </w:tc>
        <w:tc>
          <w:tcPr>
            <w:tcW w:w="1683" w:type="dxa"/>
            <w:tcBorders>
              <w:top w:val="nil"/>
              <w:left w:val="nil"/>
              <w:bottom w:val="nil"/>
              <w:right w:val="nil"/>
            </w:tcBorders>
            <w:shd w:val="clear" w:color="auto" w:fill="auto"/>
            <w:vAlign w:val="center"/>
          </w:tcPr>
          <w:p w14:paraId="582171A7" w14:textId="77777777" w:rsidR="00F33A4A" w:rsidRPr="00373B60" w:rsidRDefault="00F33A4A" w:rsidP="00A533DF">
            <w:pPr>
              <w:spacing w:line="240" w:lineRule="auto"/>
              <w:jc w:val="center"/>
              <w:rPr>
                <w:rFonts w:eastAsia="Times New Roman" w:cs="Arial"/>
                <w:color w:val="000000"/>
                <w:sz w:val="20"/>
                <w:szCs w:val="20"/>
              </w:rPr>
            </w:pPr>
            <w:r w:rsidRPr="008D670E">
              <w:rPr>
                <w:rFonts w:eastAsia="Times New Roman" w:cs="Arial"/>
                <w:color w:val="000000"/>
                <w:sz w:val="20"/>
                <w:szCs w:val="20"/>
              </w:rPr>
              <w:t>0,</w:t>
            </w:r>
            <w:r>
              <w:rPr>
                <w:rFonts w:eastAsia="Times New Roman" w:cs="Arial"/>
                <w:color w:val="000000"/>
                <w:sz w:val="20"/>
                <w:szCs w:val="20"/>
              </w:rPr>
              <w:t>85</w:t>
            </w:r>
            <w:r w:rsidRPr="008D670E">
              <w:rPr>
                <w:rFonts w:eastAsia="Times New Roman" w:cs="Arial"/>
                <w:color w:val="000000"/>
                <w:sz w:val="20"/>
                <w:szCs w:val="20"/>
              </w:rPr>
              <w:t xml:space="preserve"> (</w:t>
            </w:r>
            <w:r>
              <w:rPr>
                <w:rFonts w:eastAsia="Times New Roman" w:cs="Arial"/>
                <w:color w:val="000000"/>
                <w:sz w:val="20"/>
                <w:szCs w:val="20"/>
              </w:rPr>
              <w:t>XX</w:t>
            </w:r>
            <w:r w:rsidRPr="008D670E">
              <w:rPr>
                <w:rFonts w:eastAsia="Times New Roman" w:cs="Arial"/>
                <w:color w:val="000000"/>
                <w:sz w:val="20"/>
                <w:szCs w:val="20"/>
              </w:rPr>
              <w:t xml:space="preserve"> – </w:t>
            </w:r>
            <w:r>
              <w:rPr>
                <w:rFonts w:eastAsia="Times New Roman" w:cs="Arial"/>
                <w:color w:val="000000"/>
                <w:sz w:val="20"/>
                <w:szCs w:val="20"/>
              </w:rPr>
              <w:t>XX</w:t>
            </w:r>
            <w:r w:rsidRPr="008D670E">
              <w:rPr>
                <w:rFonts w:eastAsia="Times New Roman" w:cs="Arial"/>
                <w:color w:val="000000"/>
                <w:sz w:val="20"/>
                <w:szCs w:val="20"/>
              </w:rPr>
              <w:t>)</w:t>
            </w:r>
          </w:p>
        </w:tc>
      </w:tr>
      <w:tr w:rsidR="00F33A4A" w:rsidRPr="00373B60" w14:paraId="069A6636" w14:textId="77777777" w:rsidTr="00E67D1F">
        <w:trPr>
          <w:trHeight w:val="563"/>
          <w:jc w:val="center"/>
        </w:trPr>
        <w:tc>
          <w:tcPr>
            <w:tcW w:w="1619" w:type="dxa"/>
            <w:tcBorders>
              <w:top w:val="nil"/>
              <w:left w:val="nil"/>
              <w:right w:val="nil"/>
            </w:tcBorders>
            <w:shd w:val="clear" w:color="auto" w:fill="auto"/>
            <w:noWrap/>
            <w:vAlign w:val="center"/>
            <w:hideMark/>
          </w:tcPr>
          <w:p w14:paraId="4A5E140D" w14:textId="77777777" w:rsidR="00F33A4A" w:rsidRPr="008D670E" w:rsidRDefault="00F33A4A" w:rsidP="00A533DF">
            <w:pPr>
              <w:spacing w:line="240" w:lineRule="auto"/>
              <w:jc w:val="left"/>
              <w:rPr>
                <w:rFonts w:eastAsia="Times New Roman" w:cs="Arial"/>
                <w:b/>
                <w:color w:val="000000"/>
                <w:sz w:val="20"/>
                <w:szCs w:val="20"/>
              </w:rPr>
            </w:pPr>
            <w:r w:rsidRPr="008D670E">
              <w:rPr>
                <w:rFonts w:eastAsia="Times New Roman" w:cs="Arial"/>
                <w:b/>
                <w:color w:val="000000"/>
                <w:sz w:val="20"/>
                <w:szCs w:val="20"/>
              </w:rPr>
              <w:t>Especificidade</w:t>
            </w:r>
            <w:r>
              <w:rPr>
                <w:rFonts w:eastAsia="Times New Roman" w:cs="Arial"/>
                <w:b/>
                <w:color w:val="000000"/>
                <w:sz w:val="20"/>
                <w:szCs w:val="20"/>
              </w:rPr>
              <w:t>*</w:t>
            </w:r>
            <w:r w:rsidRPr="008D670E">
              <w:rPr>
                <w:rFonts w:eastAsia="Times New Roman" w:cs="Arial"/>
                <w:b/>
                <w:color w:val="000000"/>
                <w:sz w:val="20"/>
                <w:szCs w:val="20"/>
              </w:rPr>
              <w:t xml:space="preserve"> </w:t>
            </w:r>
          </w:p>
        </w:tc>
        <w:tc>
          <w:tcPr>
            <w:tcW w:w="162" w:type="dxa"/>
            <w:tcBorders>
              <w:top w:val="nil"/>
              <w:left w:val="nil"/>
              <w:right w:val="nil"/>
            </w:tcBorders>
            <w:shd w:val="clear" w:color="auto" w:fill="auto"/>
          </w:tcPr>
          <w:p w14:paraId="163416DC" w14:textId="77777777" w:rsidR="00F33A4A" w:rsidRDefault="00F33A4A" w:rsidP="00A533DF">
            <w:pPr>
              <w:spacing w:line="240" w:lineRule="auto"/>
              <w:jc w:val="center"/>
              <w:rPr>
                <w:rFonts w:eastAsia="Times New Roman" w:cs="Arial"/>
                <w:color w:val="000000"/>
                <w:sz w:val="20"/>
                <w:szCs w:val="20"/>
              </w:rPr>
            </w:pPr>
          </w:p>
        </w:tc>
        <w:tc>
          <w:tcPr>
            <w:tcW w:w="1750" w:type="dxa"/>
            <w:tcBorders>
              <w:top w:val="nil"/>
              <w:left w:val="nil"/>
              <w:right w:val="nil"/>
            </w:tcBorders>
            <w:shd w:val="clear" w:color="auto" w:fill="auto"/>
            <w:noWrap/>
            <w:vAlign w:val="center"/>
            <w:hideMark/>
          </w:tcPr>
          <w:p w14:paraId="675DAB1E" w14:textId="77777777" w:rsidR="00F33A4A" w:rsidRPr="00373B60" w:rsidRDefault="00F33A4A" w:rsidP="00A533DF">
            <w:pPr>
              <w:spacing w:line="240" w:lineRule="auto"/>
              <w:jc w:val="center"/>
              <w:rPr>
                <w:rFonts w:eastAsia="Times New Roman" w:cs="Arial"/>
                <w:color w:val="000000"/>
                <w:sz w:val="20"/>
                <w:szCs w:val="20"/>
              </w:rPr>
            </w:pPr>
            <w:r w:rsidRPr="008D670E">
              <w:rPr>
                <w:rFonts w:eastAsia="Times New Roman" w:cs="Arial"/>
                <w:color w:val="000000"/>
                <w:sz w:val="20"/>
                <w:szCs w:val="20"/>
              </w:rPr>
              <w:t>0,</w:t>
            </w:r>
            <w:r>
              <w:rPr>
                <w:rFonts w:eastAsia="Times New Roman" w:cs="Arial"/>
                <w:color w:val="000000"/>
                <w:sz w:val="20"/>
                <w:szCs w:val="20"/>
              </w:rPr>
              <w:t>83</w:t>
            </w:r>
            <w:r w:rsidRPr="008D670E">
              <w:rPr>
                <w:rFonts w:eastAsia="Times New Roman" w:cs="Arial"/>
                <w:color w:val="000000"/>
                <w:sz w:val="20"/>
                <w:szCs w:val="20"/>
              </w:rPr>
              <w:t xml:space="preserve"> (</w:t>
            </w:r>
            <w:r>
              <w:rPr>
                <w:rFonts w:eastAsia="Times New Roman" w:cs="Arial"/>
                <w:color w:val="000000"/>
                <w:sz w:val="20"/>
                <w:szCs w:val="20"/>
              </w:rPr>
              <w:t>XX</w:t>
            </w:r>
            <w:r w:rsidRPr="008D670E">
              <w:rPr>
                <w:rFonts w:eastAsia="Times New Roman" w:cs="Arial"/>
                <w:color w:val="000000"/>
                <w:sz w:val="20"/>
                <w:szCs w:val="20"/>
              </w:rPr>
              <w:t xml:space="preserve"> – </w:t>
            </w:r>
            <w:r>
              <w:rPr>
                <w:rFonts w:eastAsia="Times New Roman" w:cs="Arial"/>
                <w:color w:val="000000"/>
                <w:sz w:val="20"/>
                <w:szCs w:val="20"/>
              </w:rPr>
              <w:t>XX</w:t>
            </w:r>
            <w:r w:rsidRPr="008D670E">
              <w:rPr>
                <w:rFonts w:eastAsia="Times New Roman" w:cs="Arial"/>
                <w:color w:val="000000"/>
                <w:sz w:val="20"/>
                <w:szCs w:val="20"/>
              </w:rPr>
              <w:t>)</w:t>
            </w:r>
          </w:p>
        </w:tc>
        <w:tc>
          <w:tcPr>
            <w:tcW w:w="201" w:type="dxa"/>
            <w:tcBorders>
              <w:top w:val="nil"/>
              <w:left w:val="nil"/>
              <w:right w:val="nil"/>
            </w:tcBorders>
            <w:shd w:val="clear" w:color="auto" w:fill="auto"/>
          </w:tcPr>
          <w:p w14:paraId="0F7A9CC1" w14:textId="77777777" w:rsidR="00F33A4A" w:rsidRDefault="00F33A4A" w:rsidP="00A533DF">
            <w:pPr>
              <w:spacing w:line="240" w:lineRule="auto"/>
              <w:jc w:val="center"/>
              <w:rPr>
                <w:rFonts w:eastAsia="Times New Roman" w:cs="Arial"/>
                <w:color w:val="000000"/>
                <w:sz w:val="20"/>
                <w:szCs w:val="20"/>
              </w:rPr>
            </w:pPr>
          </w:p>
        </w:tc>
        <w:tc>
          <w:tcPr>
            <w:tcW w:w="1655" w:type="dxa"/>
            <w:tcBorders>
              <w:top w:val="nil"/>
              <w:left w:val="nil"/>
              <w:right w:val="nil"/>
            </w:tcBorders>
            <w:shd w:val="clear" w:color="auto" w:fill="auto"/>
            <w:vAlign w:val="center"/>
          </w:tcPr>
          <w:p w14:paraId="6DDC5F71" w14:textId="77777777" w:rsidR="00F33A4A" w:rsidRPr="00373B60" w:rsidRDefault="00F33A4A" w:rsidP="00A533DF">
            <w:pPr>
              <w:spacing w:line="240" w:lineRule="auto"/>
              <w:jc w:val="center"/>
              <w:rPr>
                <w:rFonts w:eastAsia="Times New Roman" w:cs="Arial"/>
                <w:color w:val="000000"/>
                <w:sz w:val="20"/>
                <w:szCs w:val="20"/>
              </w:rPr>
            </w:pPr>
            <w:r w:rsidRPr="008D670E">
              <w:rPr>
                <w:rFonts w:eastAsia="Times New Roman" w:cs="Arial"/>
                <w:color w:val="000000"/>
                <w:sz w:val="20"/>
                <w:szCs w:val="20"/>
              </w:rPr>
              <w:t>0,</w:t>
            </w:r>
            <w:r>
              <w:rPr>
                <w:rFonts w:eastAsia="Times New Roman" w:cs="Arial"/>
                <w:color w:val="000000"/>
                <w:sz w:val="20"/>
                <w:szCs w:val="20"/>
              </w:rPr>
              <w:t>90</w:t>
            </w:r>
            <w:r w:rsidRPr="008D670E">
              <w:rPr>
                <w:rFonts w:eastAsia="Times New Roman" w:cs="Arial"/>
                <w:color w:val="000000"/>
                <w:sz w:val="20"/>
                <w:szCs w:val="20"/>
              </w:rPr>
              <w:t xml:space="preserve"> (</w:t>
            </w:r>
            <w:r>
              <w:rPr>
                <w:rFonts w:eastAsia="Times New Roman" w:cs="Arial"/>
                <w:color w:val="000000"/>
                <w:sz w:val="20"/>
                <w:szCs w:val="20"/>
              </w:rPr>
              <w:t>XX</w:t>
            </w:r>
            <w:r w:rsidRPr="008D670E">
              <w:rPr>
                <w:rFonts w:eastAsia="Times New Roman" w:cs="Arial"/>
                <w:color w:val="000000"/>
                <w:sz w:val="20"/>
                <w:szCs w:val="20"/>
              </w:rPr>
              <w:t xml:space="preserve"> – </w:t>
            </w:r>
            <w:r>
              <w:rPr>
                <w:rFonts w:eastAsia="Times New Roman" w:cs="Arial"/>
                <w:color w:val="000000"/>
                <w:sz w:val="20"/>
                <w:szCs w:val="20"/>
              </w:rPr>
              <w:t>XX</w:t>
            </w:r>
            <w:r w:rsidRPr="008D670E">
              <w:rPr>
                <w:rFonts w:eastAsia="Times New Roman" w:cs="Arial"/>
                <w:color w:val="000000"/>
                <w:sz w:val="20"/>
                <w:szCs w:val="20"/>
              </w:rPr>
              <w:t>)</w:t>
            </w:r>
          </w:p>
        </w:tc>
        <w:tc>
          <w:tcPr>
            <w:tcW w:w="160" w:type="dxa"/>
            <w:tcBorders>
              <w:top w:val="nil"/>
              <w:left w:val="nil"/>
              <w:right w:val="nil"/>
            </w:tcBorders>
            <w:shd w:val="clear" w:color="auto" w:fill="auto"/>
          </w:tcPr>
          <w:p w14:paraId="3A466F42" w14:textId="77777777" w:rsidR="00F33A4A" w:rsidRDefault="00F33A4A" w:rsidP="00A533DF">
            <w:pPr>
              <w:spacing w:line="240" w:lineRule="auto"/>
              <w:jc w:val="center"/>
              <w:rPr>
                <w:rFonts w:eastAsia="Times New Roman" w:cs="Arial"/>
                <w:color w:val="000000"/>
                <w:sz w:val="20"/>
                <w:szCs w:val="20"/>
              </w:rPr>
            </w:pPr>
          </w:p>
        </w:tc>
        <w:tc>
          <w:tcPr>
            <w:tcW w:w="1824" w:type="dxa"/>
            <w:tcBorders>
              <w:top w:val="nil"/>
              <w:left w:val="nil"/>
              <w:right w:val="nil"/>
            </w:tcBorders>
            <w:shd w:val="clear" w:color="auto" w:fill="auto"/>
            <w:vAlign w:val="center"/>
          </w:tcPr>
          <w:p w14:paraId="3B26FE89" w14:textId="77777777" w:rsidR="00F33A4A" w:rsidRPr="00373B60" w:rsidRDefault="00F33A4A" w:rsidP="00A533DF">
            <w:pPr>
              <w:spacing w:line="240" w:lineRule="auto"/>
              <w:jc w:val="center"/>
              <w:rPr>
                <w:rFonts w:eastAsia="Times New Roman" w:cs="Arial"/>
                <w:color w:val="000000"/>
                <w:sz w:val="20"/>
                <w:szCs w:val="20"/>
              </w:rPr>
            </w:pPr>
            <w:r w:rsidRPr="008D670E">
              <w:rPr>
                <w:rFonts w:eastAsia="Times New Roman" w:cs="Arial"/>
                <w:color w:val="000000"/>
                <w:sz w:val="20"/>
                <w:szCs w:val="20"/>
              </w:rPr>
              <w:t>0,</w:t>
            </w:r>
            <w:r>
              <w:rPr>
                <w:rFonts w:eastAsia="Times New Roman" w:cs="Arial"/>
                <w:color w:val="000000"/>
                <w:sz w:val="20"/>
                <w:szCs w:val="20"/>
              </w:rPr>
              <w:t>68</w:t>
            </w:r>
            <w:r w:rsidRPr="008D670E">
              <w:rPr>
                <w:rFonts w:eastAsia="Times New Roman" w:cs="Arial"/>
                <w:color w:val="000000"/>
                <w:sz w:val="20"/>
                <w:szCs w:val="20"/>
              </w:rPr>
              <w:t xml:space="preserve"> (</w:t>
            </w:r>
            <w:r>
              <w:rPr>
                <w:rFonts w:eastAsia="Times New Roman" w:cs="Arial"/>
                <w:color w:val="000000"/>
                <w:sz w:val="20"/>
                <w:szCs w:val="20"/>
              </w:rPr>
              <w:t>XX</w:t>
            </w:r>
            <w:r w:rsidRPr="008D670E">
              <w:rPr>
                <w:rFonts w:eastAsia="Times New Roman" w:cs="Arial"/>
                <w:color w:val="000000"/>
                <w:sz w:val="20"/>
                <w:szCs w:val="20"/>
              </w:rPr>
              <w:t xml:space="preserve"> – </w:t>
            </w:r>
            <w:r>
              <w:rPr>
                <w:rFonts w:eastAsia="Times New Roman" w:cs="Arial"/>
                <w:color w:val="000000"/>
                <w:sz w:val="20"/>
                <w:szCs w:val="20"/>
              </w:rPr>
              <w:t>XX</w:t>
            </w:r>
            <w:r w:rsidRPr="008D670E">
              <w:rPr>
                <w:rFonts w:eastAsia="Times New Roman" w:cs="Arial"/>
                <w:color w:val="000000"/>
                <w:sz w:val="20"/>
                <w:szCs w:val="20"/>
              </w:rPr>
              <w:t>)</w:t>
            </w:r>
          </w:p>
        </w:tc>
        <w:tc>
          <w:tcPr>
            <w:tcW w:w="160" w:type="dxa"/>
            <w:tcBorders>
              <w:top w:val="nil"/>
              <w:left w:val="nil"/>
              <w:right w:val="nil"/>
            </w:tcBorders>
            <w:shd w:val="clear" w:color="auto" w:fill="auto"/>
          </w:tcPr>
          <w:p w14:paraId="61FF9327" w14:textId="77777777" w:rsidR="00F33A4A" w:rsidRDefault="00F33A4A" w:rsidP="00A533DF">
            <w:pPr>
              <w:spacing w:line="240" w:lineRule="auto"/>
              <w:jc w:val="center"/>
              <w:rPr>
                <w:rFonts w:eastAsia="Times New Roman" w:cs="Arial"/>
                <w:color w:val="000000"/>
                <w:sz w:val="20"/>
                <w:szCs w:val="20"/>
              </w:rPr>
            </w:pPr>
          </w:p>
        </w:tc>
        <w:tc>
          <w:tcPr>
            <w:tcW w:w="1683" w:type="dxa"/>
            <w:tcBorders>
              <w:top w:val="nil"/>
              <w:left w:val="nil"/>
              <w:right w:val="nil"/>
            </w:tcBorders>
            <w:shd w:val="clear" w:color="auto" w:fill="auto"/>
            <w:vAlign w:val="center"/>
          </w:tcPr>
          <w:p w14:paraId="24BD20A7" w14:textId="77777777" w:rsidR="00F33A4A" w:rsidRPr="00373B60" w:rsidRDefault="00F33A4A" w:rsidP="00A533DF">
            <w:pPr>
              <w:spacing w:line="240" w:lineRule="auto"/>
              <w:jc w:val="center"/>
              <w:rPr>
                <w:rFonts w:eastAsia="Times New Roman" w:cs="Arial"/>
                <w:color w:val="000000"/>
                <w:sz w:val="20"/>
                <w:szCs w:val="20"/>
              </w:rPr>
            </w:pPr>
            <w:r w:rsidRPr="008D670E">
              <w:rPr>
                <w:rFonts w:eastAsia="Times New Roman" w:cs="Arial"/>
                <w:color w:val="000000"/>
                <w:sz w:val="20"/>
                <w:szCs w:val="20"/>
              </w:rPr>
              <w:t>0,</w:t>
            </w:r>
            <w:r>
              <w:rPr>
                <w:rFonts w:eastAsia="Times New Roman" w:cs="Arial"/>
                <w:color w:val="000000"/>
                <w:sz w:val="20"/>
                <w:szCs w:val="20"/>
              </w:rPr>
              <w:t>68</w:t>
            </w:r>
            <w:r w:rsidRPr="008D670E">
              <w:rPr>
                <w:rFonts w:eastAsia="Times New Roman" w:cs="Arial"/>
                <w:color w:val="000000"/>
                <w:sz w:val="20"/>
                <w:szCs w:val="20"/>
              </w:rPr>
              <w:t xml:space="preserve"> (</w:t>
            </w:r>
            <w:r>
              <w:rPr>
                <w:rFonts w:eastAsia="Times New Roman" w:cs="Arial"/>
                <w:color w:val="000000"/>
                <w:sz w:val="20"/>
                <w:szCs w:val="20"/>
              </w:rPr>
              <w:t>XX</w:t>
            </w:r>
            <w:r w:rsidRPr="008D670E">
              <w:rPr>
                <w:rFonts w:eastAsia="Times New Roman" w:cs="Arial"/>
                <w:color w:val="000000"/>
                <w:sz w:val="20"/>
                <w:szCs w:val="20"/>
              </w:rPr>
              <w:t xml:space="preserve"> – </w:t>
            </w:r>
            <w:r>
              <w:rPr>
                <w:rFonts w:eastAsia="Times New Roman" w:cs="Arial"/>
                <w:color w:val="000000"/>
                <w:sz w:val="20"/>
                <w:szCs w:val="20"/>
              </w:rPr>
              <w:t>XX</w:t>
            </w:r>
            <w:r w:rsidRPr="008D670E">
              <w:rPr>
                <w:rFonts w:eastAsia="Times New Roman" w:cs="Arial"/>
                <w:color w:val="000000"/>
                <w:sz w:val="20"/>
                <w:szCs w:val="20"/>
              </w:rPr>
              <w:t>)</w:t>
            </w:r>
          </w:p>
        </w:tc>
      </w:tr>
      <w:tr w:rsidR="00F33A4A" w:rsidRPr="00373B60" w14:paraId="3A2C20BD" w14:textId="77777777" w:rsidTr="00E67D1F">
        <w:trPr>
          <w:trHeight w:val="571"/>
          <w:jc w:val="center"/>
        </w:trPr>
        <w:tc>
          <w:tcPr>
            <w:tcW w:w="1619" w:type="dxa"/>
            <w:tcBorders>
              <w:top w:val="nil"/>
              <w:left w:val="nil"/>
              <w:bottom w:val="single" w:sz="4" w:space="0" w:color="auto"/>
              <w:right w:val="nil"/>
            </w:tcBorders>
            <w:shd w:val="clear" w:color="auto" w:fill="auto"/>
            <w:noWrap/>
            <w:vAlign w:val="center"/>
            <w:hideMark/>
          </w:tcPr>
          <w:p w14:paraId="6C4FDA4A" w14:textId="77777777" w:rsidR="00F33A4A" w:rsidRPr="008D670E" w:rsidRDefault="00F33A4A" w:rsidP="00A533DF">
            <w:pPr>
              <w:spacing w:line="240" w:lineRule="auto"/>
              <w:jc w:val="left"/>
              <w:rPr>
                <w:rFonts w:eastAsia="Times New Roman" w:cs="Arial"/>
                <w:b/>
                <w:color w:val="000000"/>
                <w:sz w:val="20"/>
                <w:szCs w:val="20"/>
              </w:rPr>
            </w:pPr>
            <w:r>
              <w:rPr>
                <w:rFonts w:eastAsia="Times New Roman" w:cs="Arial"/>
                <w:b/>
                <w:color w:val="000000"/>
                <w:sz w:val="20"/>
                <w:szCs w:val="20"/>
              </w:rPr>
              <w:t>Acurácia*</w:t>
            </w:r>
          </w:p>
        </w:tc>
        <w:tc>
          <w:tcPr>
            <w:tcW w:w="162" w:type="dxa"/>
            <w:tcBorders>
              <w:top w:val="nil"/>
              <w:left w:val="nil"/>
              <w:bottom w:val="single" w:sz="4" w:space="0" w:color="auto"/>
              <w:right w:val="nil"/>
            </w:tcBorders>
            <w:shd w:val="clear" w:color="auto" w:fill="auto"/>
          </w:tcPr>
          <w:p w14:paraId="4E763D52" w14:textId="77777777" w:rsidR="00F33A4A" w:rsidRDefault="00F33A4A" w:rsidP="00A533DF">
            <w:pPr>
              <w:spacing w:line="240" w:lineRule="auto"/>
              <w:jc w:val="center"/>
              <w:rPr>
                <w:rFonts w:eastAsia="Times New Roman" w:cs="Arial"/>
                <w:color w:val="000000"/>
                <w:sz w:val="20"/>
                <w:szCs w:val="20"/>
              </w:rPr>
            </w:pPr>
          </w:p>
        </w:tc>
        <w:tc>
          <w:tcPr>
            <w:tcW w:w="1750" w:type="dxa"/>
            <w:tcBorders>
              <w:top w:val="nil"/>
              <w:left w:val="nil"/>
              <w:bottom w:val="single" w:sz="4" w:space="0" w:color="auto"/>
              <w:right w:val="nil"/>
            </w:tcBorders>
            <w:shd w:val="clear" w:color="auto" w:fill="auto"/>
            <w:noWrap/>
            <w:vAlign w:val="center"/>
            <w:hideMark/>
          </w:tcPr>
          <w:p w14:paraId="291B571F" w14:textId="77777777" w:rsidR="00F33A4A" w:rsidRPr="00373B60" w:rsidRDefault="00F33A4A" w:rsidP="00A533DF">
            <w:pPr>
              <w:spacing w:line="240" w:lineRule="auto"/>
              <w:jc w:val="center"/>
              <w:rPr>
                <w:rFonts w:eastAsia="Times New Roman" w:cs="Arial"/>
                <w:color w:val="000000"/>
                <w:sz w:val="20"/>
                <w:szCs w:val="20"/>
              </w:rPr>
            </w:pPr>
            <w:r w:rsidRPr="008D670E">
              <w:rPr>
                <w:rFonts w:eastAsia="Times New Roman" w:cs="Arial"/>
                <w:color w:val="000000"/>
                <w:sz w:val="20"/>
                <w:szCs w:val="20"/>
              </w:rPr>
              <w:t>0,</w:t>
            </w:r>
            <w:r>
              <w:rPr>
                <w:rFonts w:eastAsia="Times New Roman" w:cs="Arial"/>
                <w:color w:val="000000"/>
                <w:sz w:val="20"/>
                <w:szCs w:val="20"/>
              </w:rPr>
              <w:t xml:space="preserve">81 </w:t>
            </w:r>
            <w:r w:rsidRPr="008D670E">
              <w:rPr>
                <w:rFonts w:eastAsia="Times New Roman" w:cs="Arial"/>
                <w:color w:val="000000"/>
                <w:sz w:val="20"/>
                <w:szCs w:val="20"/>
              </w:rPr>
              <w:t>(</w:t>
            </w:r>
            <w:r>
              <w:rPr>
                <w:rFonts w:eastAsia="Times New Roman" w:cs="Arial"/>
                <w:color w:val="000000"/>
                <w:sz w:val="20"/>
                <w:szCs w:val="20"/>
              </w:rPr>
              <w:t>XX</w:t>
            </w:r>
            <w:r w:rsidRPr="008D670E">
              <w:rPr>
                <w:rFonts w:eastAsia="Times New Roman" w:cs="Arial"/>
                <w:color w:val="000000"/>
                <w:sz w:val="20"/>
                <w:szCs w:val="20"/>
              </w:rPr>
              <w:t xml:space="preserve"> – </w:t>
            </w:r>
            <w:r>
              <w:rPr>
                <w:rFonts w:eastAsia="Times New Roman" w:cs="Arial"/>
                <w:color w:val="000000"/>
                <w:sz w:val="20"/>
                <w:szCs w:val="20"/>
              </w:rPr>
              <w:t>XX</w:t>
            </w:r>
            <w:r w:rsidRPr="008D670E">
              <w:rPr>
                <w:rFonts w:eastAsia="Times New Roman" w:cs="Arial"/>
                <w:color w:val="000000"/>
                <w:sz w:val="20"/>
                <w:szCs w:val="20"/>
              </w:rPr>
              <w:t>)</w:t>
            </w:r>
          </w:p>
        </w:tc>
        <w:tc>
          <w:tcPr>
            <w:tcW w:w="201" w:type="dxa"/>
            <w:tcBorders>
              <w:top w:val="nil"/>
              <w:left w:val="nil"/>
              <w:bottom w:val="single" w:sz="4" w:space="0" w:color="auto"/>
              <w:right w:val="nil"/>
            </w:tcBorders>
            <w:shd w:val="clear" w:color="auto" w:fill="auto"/>
          </w:tcPr>
          <w:p w14:paraId="18E9FC0F" w14:textId="77777777" w:rsidR="00F33A4A" w:rsidRDefault="00F33A4A" w:rsidP="00A533DF">
            <w:pPr>
              <w:spacing w:line="240" w:lineRule="auto"/>
              <w:jc w:val="center"/>
              <w:rPr>
                <w:rFonts w:eastAsia="Times New Roman" w:cs="Arial"/>
                <w:color w:val="000000"/>
                <w:sz w:val="20"/>
                <w:szCs w:val="20"/>
              </w:rPr>
            </w:pPr>
          </w:p>
        </w:tc>
        <w:tc>
          <w:tcPr>
            <w:tcW w:w="1655" w:type="dxa"/>
            <w:tcBorders>
              <w:top w:val="nil"/>
              <w:left w:val="nil"/>
              <w:bottom w:val="single" w:sz="4" w:space="0" w:color="auto"/>
              <w:right w:val="nil"/>
            </w:tcBorders>
            <w:shd w:val="clear" w:color="auto" w:fill="auto"/>
            <w:vAlign w:val="center"/>
          </w:tcPr>
          <w:p w14:paraId="63777CFA" w14:textId="77777777" w:rsidR="00F33A4A" w:rsidRPr="00373B60" w:rsidRDefault="00F33A4A" w:rsidP="00A533DF">
            <w:pPr>
              <w:spacing w:line="240" w:lineRule="auto"/>
              <w:jc w:val="center"/>
              <w:rPr>
                <w:rFonts w:eastAsia="Times New Roman" w:cs="Arial"/>
                <w:color w:val="000000"/>
                <w:sz w:val="20"/>
                <w:szCs w:val="20"/>
              </w:rPr>
            </w:pPr>
            <w:r w:rsidRPr="008D670E">
              <w:rPr>
                <w:rFonts w:eastAsia="Times New Roman" w:cs="Arial"/>
                <w:color w:val="000000"/>
                <w:sz w:val="20"/>
                <w:szCs w:val="20"/>
              </w:rPr>
              <w:t>0,</w:t>
            </w:r>
            <w:r>
              <w:rPr>
                <w:rFonts w:eastAsia="Times New Roman" w:cs="Arial"/>
                <w:color w:val="000000"/>
                <w:sz w:val="20"/>
                <w:szCs w:val="20"/>
              </w:rPr>
              <w:t>90</w:t>
            </w:r>
            <w:r w:rsidRPr="008D670E">
              <w:rPr>
                <w:rFonts w:eastAsia="Times New Roman" w:cs="Arial"/>
                <w:color w:val="000000"/>
                <w:sz w:val="20"/>
                <w:szCs w:val="20"/>
              </w:rPr>
              <w:t xml:space="preserve"> (</w:t>
            </w:r>
            <w:r>
              <w:rPr>
                <w:rFonts w:eastAsia="Times New Roman" w:cs="Arial"/>
                <w:color w:val="000000"/>
                <w:sz w:val="20"/>
                <w:szCs w:val="20"/>
              </w:rPr>
              <w:t>XX</w:t>
            </w:r>
            <w:r w:rsidRPr="008D670E">
              <w:rPr>
                <w:rFonts w:eastAsia="Times New Roman" w:cs="Arial"/>
                <w:color w:val="000000"/>
                <w:sz w:val="20"/>
                <w:szCs w:val="20"/>
              </w:rPr>
              <w:t xml:space="preserve"> – </w:t>
            </w:r>
            <w:r>
              <w:rPr>
                <w:rFonts w:eastAsia="Times New Roman" w:cs="Arial"/>
                <w:color w:val="000000"/>
                <w:sz w:val="20"/>
                <w:szCs w:val="20"/>
              </w:rPr>
              <w:t>XX</w:t>
            </w:r>
            <w:r w:rsidRPr="008D670E">
              <w:rPr>
                <w:rFonts w:eastAsia="Times New Roman" w:cs="Arial"/>
                <w:color w:val="000000"/>
                <w:sz w:val="20"/>
                <w:szCs w:val="20"/>
              </w:rPr>
              <w:t>)</w:t>
            </w:r>
          </w:p>
        </w:tc>
        <w:tc>
          <w:tcPr>
            <w:tcW w:w="160" w:type="dxa"/>
            <w:tcBorders>
              <w:top w:val="nil"/>
              <w:left w:val="nil"/>
              <w:bottom w:val="single" w:sz="4" w:space="0" w:color="auto"/>
              <w:right w:val="nil"/>
            </w:tcBorders>
            <w:shd w:val="clear" w:color="auto" w:fill="auto"/>
          </w:tcPr>
          <w:p w14:paraId="7A025F21" w14:textId="77777777" w:rsidR="00F33A4A" w:rsidRDefault="00F33A4A" w:rsidP="00A533DF">
            <w:pPr>
              <w:spacing w:line="240" w:lineRule="auto"/>
              <w:jc w:val="center"/>
              <w:rPr>
                <w:rFonts w:eastAsia="Times New Roman" w:cs="Arial"/>
                <w:color w:val="000000"/>
                <w:sz w:val="20"/>
                <w:szCs w:val="20"/>
              </w:rPr>
            </w:pPr>
          </w:p>
        </w:tc>
        <w:tc>
          <w:tcPr>
            <w:tcW w:w="1824" w:type="dxa"/>
            <w:tcBorders>
              <w:top w:val="nil"/>
              <w:left w:val="nil"/>
              <w:bottom w:val="single" w:sz="4" w:space="0" w:color="auto"/>
              <w:right w:val="nil"/>
            </w:tcBorders>
            <w:shd w:val="clear" w:color="auto" w:fill="auto"/>
            <w:vAlign w:val="center"/>
          </w:tcPr>
          <w:p w14:paraId="48086CCC" w14:textId="77777777" w:rsidR="00F33A4A" w:rsidRPr="00373B60" w:rsidRDefault="00F33A4A" w:rsidP="00A533DF">
            <w:pPr>
              <w:spacing w:line="240" w:lineRule="auto"/>
              <w:jc w:val="center"/>
              <w:rPr>
                <w:rFonts w:eastAsia="Times New Roman" w:cs="Arial"/>
                <w:color w:val="000000"/>
                <w:sz w:val="20"/>
                <w:szCs w:val="20"/>
              </w:rPr>
            </w:pPr>
            <w:r w:rsidRPr="008D670E">
              <w:rPr>
                <w:rFonts w:eastAsia="Times New Roman" w:cs="Arial"/>
                <w:color w:val="000000"/>
                <w:sz w:val="20"/>
                <w:szCs w:val="20"/>
              </w:rPr>
              <w:t>0,</w:t>
            </w:r>
            <w:r>
              <w:rPr>
                <w:rFonts w:eastAsia="Times New Roman" w:cs="Arial"/>
                <w:color w:val="000000"/>
                <w:sz w:val="20"/>
                <w:szCs w:val="20"/>
              </w:rPr>
              <w:t>54</w:t>
            </w:r>
            <w:r w:rsidRPr="008D670E">
              <w:rPr>
                <w:rFonts w:eastAsia="Times New Roman" w:cs="Arial"/>
                <w:color w:val="000000"/>
                <w:sz w:val="20"/>
                <w:szCs w:val="20"/>
              </w:rPr>
              <w:t xml:space="preserve"> (</w:t>
            </w:r>
            <w:r>
              <w:rPr>
                <w:rFonts w:eastAsia="Times New Roman" w:cs="Arial"/>
                <w:color w:val="000000"/>
                <w:sz w:val="20"/>
                <w:szCs w:val="20"/>
              </w:rPr>
              <w:t>XX</w:t>
            </w:r>
            <w:r w:rsidRPr="008D670E">
              <w:rPr>
                <w:rFonts w:eastAsia="Times New Roman" w:cs="Arial"/>
                <w:color w:val="000000"/>
                <w:sz w:val="20"/>
                <w:szCs w:val="20"/>
              </w:rPr>
              <w:t xml:space="preserve"> – </w:t>
            </w:r>
            <w:r>
              <w:rPr>
                <w:rFonts w:eastAsia="Times New Roman" w:cs="Arial"/>
                <w:color w:val="000000"/>
                <w:sz w:val="20"/>
                <w:szCs w:val="20"/>
              </w:rPr>
              <w:t>XX</w:t>
            </w:r>
            <w:r w:rsidRPr="008D670E">
              <w:rPr>
                <w:rFonts w:eastAsia="Times New Roman" w:cs="Arial"/>
                <w:color w:val="000000"/>
                <w:sz w:val="20"/>
                <w:szCs w:val="20"/>
              </w:rPr>
              <w:t>)</w:t>
            </w:r>
          </w:p>
        </w:tc>
        <w:tc>
          <w:tcPr>
            <w:tcW w:w="160" w:type="dxa"/>
            <w:tcBorders>
              <w:top w:val="nil"/>
              <w:left w:val="nil"/>
              <w:bottom w:val="single" w:sz="4" w:space="0" w:color="auto"/>
              <w:right w:val="nil"/>
            </w:tcBorders>
            <w:shd w:val="clear" w:color="auto" w:fill="auto"/>
          </w:tcPr>
          <w:p w14:paraId="0642B909" w14:textId="77777777" w:rsidR="00F33A4A" w:rsidRDefault="00F33A4A" w:rsidP="00A533DF">
            <w:pPr>
              <w:spacing w:line="240" w:lineRule="auto"/>
              <w:jc w:val="center"/>
              <w:rPr>
                <w:rFonts w:eastAsia="Times New Roman" w:cs="Arial"/>
                <w:color w:val="000000"/>
                <w:sz w:val="20"/>
                <w:szCs w:val="20"/>
              </w:rPr>
            </w:pPr>
          </w:p>
        </w:tc>
        <w:tc>
          <w:tcPr>
            <w:tcW w:w="1683" w:type="dxa"/>
            <w:tcBorders>
              <w:top w:val="nil"/>
              <w:left w:val="nil"/>
              <w:bottom w:val="single" w:sz="4" w:space="0" w:color="auto"/>
              <w:right w:val="nil"/>
            </w:tcBorders>
            <w:shd w:val="clear" w:color="auto" w:fill="auto"/>
            <w:vAlign w:val="center"/>
          </w:tcPr>
          <w:p w14:paraId="48C14976" w14:textId="77777777" w:rsidR="00F33A4A" w:rsidRPr="00373B60" w:rsidRDefault="00F33A4A" w:rsidP="00A533DF">
            <w:pPr>
              <w:spacing w:line="240" w:lineRule="auto"/>
              <w:jc w:val="center"/>
              <w:rPr>
                <w:rFonts w:eastAsia="Times New Roman" w:cs="Arial"/>
                <w:color w:val="000000"/>
                <w:sz w:val="20"/>
                <w:szCs w:val="20"/>
              </w:rPr>
            </w:pPr>
            <w:r w:rsidRPr="008D670E">
              <w:rPr>
                <w:rFonts w:eastAsia="Times New Roman" w:cs="Arial"/>
                <w:color w:val="000000"/>
                <w:sz w:val="20"/>
                <w:szCs w:val="20"/>
              </w:rPr>
              <w:t>0,</w:t>
            </w:r>
            <w:r>
              <w:rPr>
                <w:rFonts w:eastAsia="Times New Roman" w:cs="Arial"/>
                <w:color w:val="000000"/>
                <w:sz w:val="20"/>
                <w:szCs w:val="20"/>
              </w:rPr>
              <w:t>54</w:t>
            </w:r>
            <w:r w:rsidRPr="008D670E">
              <w:rPr>
                <w:rFonts w:eastAsia="Times New Roman" w:cs="Arial"/>
                <w:color w:val="000000"/>
                <w:sz w:val="20"/>
                <w:szCs w:val="20"/>
              </w:rPr>
              <w:t xml:space="preserve"> (</w:t>
            </w:r>
            <w:r>
              <w:rPr>
                <w:rFonts w:eastAsia="Times New Roman" w:cs="Arial"/>
                <w:color w:val="000000"/>
                <w:sz w:val="20"/>
                <w:szCs w:val="20"/>
              </w:rPr>
              <w:t>XX</w:t>
            </w:r>
            <w:r w:rsidRPr="008D670E">
              <w:rPr>
                <w:rFonts w:eastAsia="Times New Roman" w:cs="Arial"/>
                <w:color w:val="000000"/>
                <w:sz w:val="20"/>
                <w:szCs w:val="20"/>
              </w:rPr>
              <w:t xml:space="preserve"> – </w:t>
            </w:r>
            <w:r>
              <w:rPr>
                <w:rFonts w:eastAsia="Times New Roman" w:cs="Arial"/>
                <w:color w:val="000000"/>
                <w:sz w:val="20"/>
                <w:szCs w:val="20"/>
              </w:rPr>
              <w:t>XX</w:t>
            </w:r>
            <w:r w:rsidRPr="008D670E">
              <w:rPr>
                <w:rFonts w:eastAsia="Times New Roman" w:cs="Arial"/>
                <w:color w:val="000000"/>
                <w:sz w:val="20"/>
                <w:szCs w:val="20"/>
              </w:rPr>
              <w:t>)</w:t>
            </w:r>
          </w:p>
        </w:tc>
      </w:tr>
    </w:tbl>
    <w:p w14:paraId="49F0C994" w14:textId="77777777" w:rsidR="00F33A4A" w:rsidRDefault="00F33A4A" w:rsidP="00F33A4A">
      <w:pPr>
        <w:rPr>
          <w:sz w:val="20"/>
          <w:szCs w:val="20"/>
        </w:rPr>
      </w:pPr>
      <w:r w:rsidRPr="00A901D3">
        <w:rPr>
          <w:sz w:val="20"/>
          <w:szCs w:val="20"/>
        </w:rPr>
        <w:t>*Valores (IC 95%)</w:t>
      </w:r>
    </w:p>
    <w:p w14:paraId="35720137" w14:textId="77777777" w:rsidR="00F33A4A" w:rsidRDefault="00F33A4A" w:rsidP="00F33A4A"/>
    <w:p w14:paraId="41484451" w14:textId="4A00E537" w:rsidR="00EA18BE" w:rsidRDefault="00F20D8A" w:rsidP="00A729A3">
      <w:pPr>
        <w:keepNext/>
        <w:sectPr w:rsidR="00EA18BE" w:rsidSect="00983966">
          <w:headerReference w:type="default" r:id="rId16"/>
          <w:pgSz w:w="11907" w:h="16839" w:code="9"/>
          <w:pgMar w:top="1701" w:right="1134" w:bottom="1134" w:left="1701" w:header="709" w:footer="0" w:gutter="0"/>
          <w:cols w:space="720"/>
          <w:docGrid w:linePitch="326"/>
        </w:sectPr>
      </w:pPr>
      <w:r>
        <w:br w:type="textWrapping" w:clear="all"/>
      </w:r>
    </w:p>
    <w:p w14:paraId="0635E466" w14:textId="77777777" w:rsidR="00F20D8A" w:rsidRDefault="00F20D8A" w:rsidP="00F20D8A">
      <w:pPr>
        <w:pStyle w:val="Legenda"/>
        <w:keepNext/>
        <w:ind w:right="-1"/>
        <w:sectPr w:rsidR="00F20D8A" w:rsidSect="003E1D8C">
          <w:footerReference w:type="default" r:id="rId17"/>
          <w:pgSz w:w="11906" w:h="16838"/>
          <w:pgMar w:top="1417" w:right="1701" w:bottom="1417" w:left="1701" w:header="708" w:footer="0" w:gutter="0"/>
          <w:cols w:space="708"/>
          <w:titlePg/>
          <w:docGrid w:linePitch="360"/>
        </w:sectPr>
      </w:pPr>
    </w:p>
    <w:p w14:paraId="58635EA5" w14:textId="44CAEC2C" w:rsidR="006F13CB" w:rsidRPr="006F13CB" w:rsidRDefault="00F20D8A" w:rsidP="006F13CB">
      <w:pPr>
        <w:pStyle w:val="Legenda"/>
        <w:keepNext/>
      </w:pPr>
      <w:r w:rsidRPr="006203EF">
        <w:t xml:space="preserve">Acurácia do </w:t>
      </w:r>
      <w:r w:rsidRPr="006F13CB">
        <w:rPr>
          <w:i/>
          <w:iCs/>
        </w:rPr>
        <w:t xml:space="preserve">GTT </w:t>
      </w:r>
      <w:r w:rsidRPr="006203EF">
        <w:t>para identificação de eventos adversos de qualquer gravidade de dano quanto a internações</w:t>
      </w:r>
    </w:p>
    <w:tbl>
      <w:tblPr>
        <w:tblStyle w:val="Tabelacomgrade"/>
        <w:tblW w:w="0" w:type="auto"/>
        <w:jc w:val="center"/>
        <w:tblLook w:val="04A0" w:firstRow="1" w:lastRow="0" w:firstColumn="1" w:lastColumn="0" w:noHBand="0" w:noVBand="1"/>
      </w:tblPr>
      <w:tblGrid>
        <w:gridCol w:w="1077"/>
        <w:gridCol w:w="1015"/>
        <w:gridCol w:w="1061"/>
        <w:gridCol w:w="745"/>
      </w:tblGrid>
      <w:tr w:rsidR="009302D4" w14:paraId="1301E20E" w14:textId="2912444E" w:rsidTr="00F20D8A">
        <w:trPr>
          <w:trHeight w:val="351"/>
          <w:jc w:val="center"/>
        </w:trPr>
        <w:tc>
          <w:tcPr>
            <w:tcW w:w="1077" w:type="dxa"/>
            <w:vMerge w:val="restart"/>
            <w:tcBorders>
              <w:top w:val="double" w:sz="4" w:space="0" w:color="auto"/>
              <w:left w:val="nil"/>
              <w:bottom w:val="nil"/>
              <w:right w:val="nil"/>
            </w:tcBorders>
            <w:vAlign w:val="center"/>
          </w:tcPr>
          <w:p w14:paraId="108082D1" w14:textId="7343FBA5" w:rsidR="009302D4" w:rsidRPr="009302D4" w:rsidRDefault="009302D4" w:rsidP="00455CBF">
            <w:pPr>
              <w:spacing w:line="240" w:lineRule="auto"/>
              <w:jc w:val="center"/>
              <w:rPr>
                <w:rFonts w:eastAsia="Times New Roman" w:cs="Arial"/>
                <w:b/>
                <w:bCs/>
                <w:i/>
                <w:iCs/>
                <w:color w:val="000000"/>
                <w:sz w:val="20"/>
                <w:szCs w:val="20"/>
              </w:rPr>
            </w:pPr>
            <w:r w:rsidRPr="009302D4">
              <w:rPr>
                <w:rFonts w:eastAsia="Times New Roman" w:cs="Arial"/>
                <w:b/>
                <w:bCs/>
                <w:i/>
                <w:iCs/>
                <w:color w:val="000000"/>
                <w:sz w:val="20"/>
                <w:szCs w:val="20"/>
              </w:rPr>
              <w:t>GTT</w:t>
            </w:r>
          </w:p>
        </w:tc>
        <w:tc>
          <w:tcPr>
            <w:tcW w:w="2821" w:type="dxa"/>
            <w:gridSpan w:val="3"/>
            <w:tcBorders>
              <w:top w:val="double" w:sz="4" w:space="0" w:color="auto"/>
              <w:left w:val="nil"/>
              <w:bottom w:val="single" w:sz="4" w:space="0" w:color="auto"/>
              <w:right w:val="nil"/>
            </w:tcBorders>
            <w:vAlign w:val="center"/>
          </w:tcPr>
          <w:p w14:paraId="1FF4F258" w14:textId="2A027B41" w:rsidR="009302D4" w:rsidRPr="00455CBF" w:rsidRDefault="009302D4" w:rsidP="00455CBF">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Padrão Referência</w:t>
            </w:r>
          </w:p>
        </w:tc>
      </w:tr>
      <w:tr w:rsidR="009302D4" w14:paraId="1C67F4C5" w14:textId="09DAD183" w:rsidTr="00F20D8A">
        <w:trPr>
          <w:trHeight w:val="413"/>
          <w:jc w:val="center"/>
        </w:trPr>
        <w:tc>
          <w:tcPr>
            <w:tcW w:w="1077" w:type="dxa"/>
            <w:vMerge/>
            <w:tcBorders>
              <w:top w:val="nil"/>
              <w:left w:val="nil"/>
              <w:bottom w:val="single" w:sz="4" w:space="0" w:color="auto"/>
              <w:right w:val="nil"/>
            </w:tcBorders>
            <w:vAlign w:val="center"/>
          </w:tcPr>
          <w:p w14:paraId="7ED7DE98" w14:textId="22723FB7" w:rsidR="009302D4" w:rsidRPr="00455CBF" w:rsidRDefault="009302D4" w:rsidP="00455CBF">
            <w:pPr>
              <w:spacing w:line="240" w:lineRule="auto"/>
              <w:jc w:val="center"/>
              <w:rPr>
                <w:rFonts w:eastAsia="Times New Roman" w:cs="Arial"/>
                <w:b/>
                <w:bCs/>
                <w:color w:val="000000"/>
                <w:sz w:val="20"/>
                <w:szCs w:val="20"/>
              </w:rPr>
            </w:pPr>
          </w:p>
        </w:tc>
        <w:tc>
          <w:tcPr>
            <w:tcW w:w="1015" w:type="dxa"/>
            <w:tcBorders>
              <w:top w:val="single" w:sz="4" w:space="0" w:color="auto"/>
              <w:left w:val="nil"/>
              <w:bottom w:val="single" w:sz="4" w:space="0" w:color="auto"/>
              <w:right w:val="nil"/>
            </w:tcBorders>
            <w:vAlign w:val="center"/>
          </w:tcPr>
          <w:p w14:paraId="3A8371EB" w14:textId="58D37591" w:rsidR="009302D4" w:rsidRPr="00455CBF" w:rsidRDefault="009302D4" w:rsidP="00455CBF">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Positivo</w:t>
            </w:r>
          </w:p>
        </w:tc>
        <w:tc>
          <w:tcPr>
            <w:tcW w:w="1061" w:type="dxa"/>
            <w:tcBorders>
              <w:top w:val="single" w:sz="4" w:space="0" w:color="auto"/>
              <w:left w:val="nil"/>
              <w:bottom w:val="single" w:sz="4" w:space="0" w:color="auto"/>
              <w:right w:val="nil"/>
            </w:tcBorders>
            <w:vAlign w:val="center"/>
          </w:tcPr>
          <w:p w14:paraId="5FB61238" w14:textId="40F71CC6" w:rsidR="009302D4" w:rsidRPr="00455CBF" w:rsidRDefault="009302D4" w:rsidP="00455CBF">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Negativo</w:t>
            </w:r>
          </w:p>
        </w:tc>
        <w:tc>
          <w:tcPr>
            <w:tcW w:w="745" w:type="dxa"/>
            <w:tcBorders>
              <w:top w:val="single" w:sz="4" w:space="0" w:color="auto"/>
              <w:left w:val="nil"/>
              <w:bottom w:val="single" w:sz="4" w:space="0" w:color="auto"/>
              <w:right w:val="nil"/>
            </w:tcBorders>
            <w:vAlign w:val="center"/>
          </w:tcPr>
          <w:p w14:paraId="66E5E3FB" w14:textId="4023094D" w:rsidR="009302D4" w:rsidRPr="00455CBF" w:rsidRDefault="009302D4" w:rsidP="00455CBF">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Total</w:t>
            </w:r>
          </w:p>
        </w:tc>
      </w:tr>
      <w:tr w:rsidR="009302D4" w14:paraId="243CBED1" w14:textId="7CD77D34" w:rsidTr="00F20D8A">
        <w:trPr>
          <w:trHeight w:val="421"/>
          <w:jc w:val="center"/>
        </w:trPr>
        <w:tc>
          <w:tcPr>
            <w:tcW w:w="1077" w:type="dxa"/>
            <w:tcBorders>
              <w:top w:val="single" w:sz="4" w:space="0" w:color="auto"/>
              <w:left w:val="nil"/>
              <w:bottom w:val="single" w:sz="4" w:space="0" w:color="auto"/>
              <w:right w:val="nil"/>
            </w:tcBorders>
            <w:vAlign w:val="center"/>
          </w:tcPr>
          <w:p w14:paraId="4A49DC85" w14:textId="6AEFF954" w:rsidR="009302D4" w:rsidRPr="00455CBF" w:rsidRDefault="009302D4" w:rsidP="00455CBF">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Positivo</w:t>
            </w:r>
          </w:p>
        </w:tc>
        <w:tc>
          <w:tcPr>
            <w:tcW w:w="1015" w:type="dxa"/>
            <w:tcBorders>
              <w:top w:val="single" w:sz="4" w:space="0" w:color="auto"/>
              <w:left w:val="nil"/>
              <w:bottom w:val="single" w:sz="4" w:space="0" w:color="auto"/>
              <w:right w:val="nil"/>
            </w:tcBorders>
            <w:vAlign w:val="center"/>
          </w:tcPr>
          <w:p w14:paraId="0E9DC551" w14:textId="3156ABB3" w:rsidR="009302D4" w:rsidRPr="00455CBF" w:rsidRDefault="009302D4" w:rsidP="00455CBF">
            <w:pPr>
              <w:spacing w:line="240" w:lineRule="auto"/>
              <w:jc w:val="center"/>
              <w:rPr>
                <w:rFonts w:eastAsia="Times New Roman" w:cs="Arial"/>
                <w:color w:val="000000"/>
                <w:sz w:val="20"/>
                <w:szCs w:val="20"/>
              </w:rPr>
            </w:pPr>
            <w:r>
              <w:rPr>
                <w:rFonts w:eastAsia="Times New Roman" w:cs="Arial"/>
                <w:color w:val="000000"/>
                <w:sz w:val="20"/>
                <w:szCs w:val="20"/>
              </w:rPr>
              <w:t>51</w:t>
            </w:r>
          </w:p>
        </w:tc>
        <w:tc>
          <w:tcPr>
            <w:tcW w:w="1061" w:type="dxa"/>
            <w:tcBorders>
              <w:top w:val="single" w:sz="4" w:space="0" w:color="auto"/>
              <w:left w:val="nil"/>
              <w:bottom w:val="single" w:sz="4" w:space="0" w:color="auto"/>
              <w:right w:val="nil"/>
            </w:tcBorders>
            <w:vAlign w:val="center"/>
          </w:tcPr>
          <w:p w14:paraId="55A77696" w14:textId="2931836B" w:rsidR="009302D4" w:rsidRPr="00455CBF" w:rsidRDefault="009302D4" w:rsidP="00455CBF">
            <w:pPr>
              <w:spacing w:line="240" w:lineRule="auto"/>
              <w:jc w:val="center"/>
              <w:rPr>
                <w:rFonts w:eastAsia="Times New Roman" w:cs="Arial"/>
                <w:color w:val="000000"/>
                <w:sz w:val="20"/>
                <w:szCs w:val="20"/>
              </w:rPr>
            </w:pPr>
            <w:r>
              <w:rPr>
                <w:rFonts w:eastAsia="Times New Roman" w:cs="Arial"/>
                <w:color w:val="000000"/>
                <w:sz w:val="20"/>
                <w:szCs w:val="20"/>
              </w:rPr>
              <w:t>25</w:t>
            </w:r>
          </w:p>
        </w:tc>
        <w:tc>
          <w:tcPr>
            <w:tcW w:w="745" w:type="dxa"/>
            <w:tcBorders>
              <w:top w:val="single" w:sz="4" w:space="0" w:color="auto"/>
              <w:left w:val="nil"/>
              <w:bottom w:val="single" w:sz="4" w:space="0" w:color="auto"/>
              <w:right w:val="nil"/>
            </w:tcBorders>
            <w:vAlign w:val="center"/>
          </w:tcPr>
          <w:p w14:paraId="147D413F" w14:textId="17CEE9FC" w:rsidR="009302D4" w:rsidRPr="00455CBF" w:rsidRDefault="009302D4" w:rsidP="00455CBF">
            <w:pPr>
              <w:spacing w:line="240" w:lineRule="auto"/>
              <w:jc w:val="center"/>
              <w:rPr>
                <w:rFonts w:eastAsia="Times New Roman" w:cs="Arial"/>
                <w:color w:val="000000"/>
                <w:sz w:val="20"/>
                <w:szCs w:val="20"/>
              </w:rPr>
            </w:pPr>
            <w:r>
              <w:rPr>
                <w:rFonts w:eastAsia="Times New Roman" w:cs="Arial"/>
                <w:color w:val="000000"/>
                <w:sz w:val="20"/>
                <w:szCs w:val="20"/>
              </w:rPr>
              <w:t>76</w:t>
            </w:r>
          </w:p>
        </w:tc>
      </w:tr>
      <w:tr w:rsidR="009302D4" w14:paraId="743C6148" w14:textId="666B57C6" w:rsidTr="00F20D8A">
        <w:trPr>
          <w:trHeight w:val="414"/>
          <w:jc w:val="center"/>
        </w:trPr>
        <w:tc>
          <w:tcPr>
            <w:tcW w:w="1077" w:type="dxa"/>
            <w:tcBorders>
              <w:top w:val="single" w:sz="4" w:space="0" w:color="auto"/>
              <w:left w:val="nil"/>
              <w:bottom w:val="single" w:sz="4" w:space="0" w:color="auto"/>
              <w:right w:val="nil"/>
            </w:tcBorders>
            <w:vAlign w:val="center"/>
          </w:tcPr>
          <w:p w14:paraId="497122DB" w14:textId="2B97BA9F" w:rsidR="009302D4" w:rsidRPr="00455CBF" w:rsidRDefault="009302D4" w:rsidP="00455CBF">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Negativo</w:t>
            </w:r>
          </w:p>
        </w:tc>
        <w:tc>
          <w:tcPr>
            <w:tcW w:w="1015" w:type="dxa"/>
            <w:tcBorders>
              <w:top w:val="single" w:sz="4" w:space="0" w:color="auto"/>
              <w:left w:val="nil"/>
              <w:bottom w:val="single" w:sz="4" w:space="0" w:color="auto"/>
              <w:right w:val="nil"/>
            </w:tcBorders>
            <w:vAlign w:val="center"/>
          </w:tcPr>
          <w:p w14:paraId="1452F79D" w14:textId="43F44A72" w:rsidR="009302D4" w:rsidRPr="00455CBF" w:rsidRDefault="009302D4" w:rsidP="00455CBF">
            <w:pPr>
              <w:spacing w:line="240" w:lineRule="auto"/>
              <w:jc w:val="center"/>
              <w:rPr>
                <w:rFonts w:eastAsia="Times New Roman" w:cs="Arial"/>
                <w:color w:val="000000"/>
                <w:sz w:val="20"/>
                <w:szCs w:val="20"/>
              </w:rPr>
            </w:pPr>
            <w:r>
              <w:rPr>
                <w:rFonts w:eastAsia="Times New Roman" w:cs="Arial"/>
                <w:color w:val="000000"/>
                <w:sz w:val="20"/>
                <w:szCs w:val="20"/>
              </w:rPr>
              <w:t>16</w:t>
            </w:r>
          </w:p>
        </w:tc>
        <w:tc>
          <w:tcPr>
            <w:tcW w:w="1061" w:type="dxa"/>
            <w:tcBorders>
              <w:top w:val="single" w:sz="4" w:space="0" w:color="auto"/>
              <w:left w:val="nil"/>
              <w:bottom w:val="single" w:sz="4" w:space="0" w:color="auto"/>
              <w:right w:val="nil"/>
            </w:tcBorders>
            <w:vAlign w:val="center"/>
          </w:tcPr>
          <w:p w14:paraId="4DF20386" w14:textId="0E101BAC" w:rsidR="009302D4" w:rsidRPr="00455CBF" w:rsidRDefault="009302D4" w:rsidP="00455CBF">
            <w:pPr>
              <w:spacing w:line="240" w:lineRule="auto"/>
              <w:jc w:val="center"/>
              <w:rPr>
                <w:rFonts w:eastAsia="Times New Roman" w:cs="Arial"/>
                <w:color w:val="000000"/>
                <w:sz w:val="20"/>
                <w:szCs w:val="20"/>
              </w:rPr>
            </w:pPr>
            <w:r>
              <w:rPr>
                <w:rFonts w:eastAsia="Times New Roman" w:cs="Arial"/>
                <w:color w:val="000000"/>
                <w:sz w:val="20"/>
                <w:szCs w:val="20"/>
              </w:rPr>
              <w:t>119</w:t>
            </w:r>
          </w:p>
        </w:tc>
        <w:tc>
          <w:tcPr>
            <w:tcW w:w="745" w:type="dxa"/>
            <w:tcBorders>
              <w:top w:val="single" w:sz="4" w:space="0" w:color="auto"/>
              <w:left w:val="nil"/>
              <w:bottom w:val="single" w:sz="4" w:space="0" w:color="auto"/>
              <w:right w:val="nil"/>
            </w:tcBorders>
            <w:vAlign w:val="center"/>
          </w:tcPr>
          <w:p w14:paraId="587DFC14" w14:textId="4D7E8448" w:rsidR="009302D4" w:rsidRPr="00455CBF" w:rsidRDefault="009302D4" w:rsidP="00455CBF">
            <w:pPr>
              <w:spacing w:line="240" w:lineRule="auto"/>
              <w:jc w:val="center"/>
              <w:rPr>
                <w:rFonts w:eastAsia="Times New Roman" w:cs="Arial"/>
                <w:color w:val="000000"/>
                <w:sz w:val="20"/>
                <w:szCs w:val="20"/>
              </w:rPr>
            </w:pPr>
            <w:r>
              <w:rPr>
                <w:rFonts w:eastAsia="Times New Roman" w:cs="Arial"/>
                <w:color w:val="000000"/>
                <w:sz w:val="20"/>
                <w:szCs w:val="20"/>
              </w:rPr>
              <w:t>135</w:t>
            </w:r>
          </w:p>
        </w:tc>
      </w:tr>
      <w:tr w:rsidR="009302D4" w14:paraId="7DCC5EF9" w14:textId="6112BB3B" w:rsidTr="00F20D8A">
        <w:trPr>
          <w:trHeight w:val="419"/>
          <w:jc w:val="center"/>
        </w:trPr>
        <w:tc>
          <w:tcPr>
            <w:tcW w:w="1077" w:type="dxa"/>
            <w:tcBorders>
              <w:top w:val="single" w:sz="4" w:space="0" w:color="auto"/>
              <w:left w:val="nil"/>
              <w:bottom w:val="double" w:sz="4" w:space="0" w:color="auto"/>
              <w:right w:val="nil"/>
            </w:tcBorders>
            <w:vAlign w:val="center"/>
          </w:tcPr>
          <w:p w14:paraId="4B6CF513" w14:textId="130C1B07" w:rsidR="009302D4" w:rsidRPr="00455CBF" w:rsidRDefault="009302D4" w:rsidP="00455CBF">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Total</w:t>
            </w:r>
          </w:p>
        </w:tc>
        <w:tc>
          <w:tcPr>
            <w:tcW w:w="1015" w:type="dxa"/>
            <w:tcBorders>
              <w:top w:val="single" w:sz="4" w:space="0" w:color="auto"/>
              <w:left w:val="nil"/>
              <w:bottom w:val="double" w:sz="4" w:space="0" w:color="auto"/>
              <w:right w:val="nil"/>
            </w:tcBorders>
            <w:vAlign w:val="center"/>
          </w:tcPr>
          <w:p w14:paraId="2E02C5BA" w14:textId="4BA7CAC7" w:rsidR="009302D4" w:rsidRPr="00455CBF" w:rsidRDefault="009302D4" w:rsidP="00455CBF">
            <w:pPr>
              <w:spacing w:line="240" w:lineRule="auto"/>
              <w:jc w:val="center"/>
              <w:rPr>
                <w:rFonts w:eastAsia="Times New Roman" w:cs="Arial"/>
                <w:color w:val="000000"/>
                <w:sz w:val="20"/>
                <w:szCs w:val="20"/>
              </w:rPr>
            </w:pPr>
            <w:r>
              <w:rPr>
                <w:rFonts w:eastAsia="Times New Roman" w:cs="Arial"/>
                <w:color w:val="000000"/>
                <w:sz w:val="20"/>
                <w:szCs w:val="20"/>
              </w:rPr>
              <w:t>67</w:t>
            </w:r>
          </w:p>
        </w:tc>
        <w:tc>
          <w:tcPr>
            <w:tcW w:w="1061" w:type="dxa"/>
            <w:tcBorders>
              <w:top w:val="single" w:sz="4" w:space="0" w:color="auto"/>
              <w:left w:val="nil"/>
              <w:bottom w:val="double" w:sz="4" w:space="0" w:color="auto"/>
              <w:right w:val="nil"/>
            </w:tcBorders>
            <w:vAlign w:val="center"/>
          </w:tcPr>
          <w:p w14:paraId="3B6832A8" w14:textId="76780A36" w:rsidR="009302D4" w:rsidRPr="00455CBF" w:rsidRDefault="009302D4" w:rsidP="00455CBF">
            <w:pPr>
              <w:spacing w:line="240" w:lineRule="auto"/>
              <w:jc w:val="center"/>
              <w:rPr>
                <w:rFonts w:eastAsia="Times New Roman" w:cs="Arial"/>
                <w:color w:val="000000"/>
                <w:sz w:val="20"/>
                <w:szCs w:val="20"/>
              </w:rPr>
            </w:pPr>
            <w:r>
              <w:rPr>
                <w:rFonts w:eastAsia="Times New Roman" w:cs="Arial"/>
                <w:color w:val="000000"/>
                <w:sz w:val="20"/>
                <w:szCs w:val="20"/>
              </w:rPr>
              <w:t>144</w:t>
            </w:r>
          </w:p>
        </w:tc>
        <w:tc>
          <w:tcPr>
            <w:tcW w:w="745" w:type="dxa"/>
            <w:tcBorders>
              <w:top w:val="single" w:sz="4" w:space="0" w:color="auto"/>
              <w:left w:val="nil"/>
              <w:bottom w:val="double" w:sz="4" w:space="0" w:color="auto"/>
              <w:right w:val="nil"/>
            </w:tcBorders>
            <w:vAlign w:val="center"/>
          </w:tcPr>
          <w:p w14:paraId="276C38D1" w14:textId="4EED42F8" w:rsidR="009302D4" w:rsidRPr="00455CBF" w:rsidRDefault="009302D4" w:rsidP="00455CBF">
            <w:pPr>
              <w:spacing w:line="240" w:lineRule="auto"/>
              <w:jc w:val="center"/>
              <w:rPr>
                <w:rFonts w:eastAsia="Times New Roman" w:cs="Arial"/>
                <w:color w:val="000000"/>
                <w:sz w:val="20"/>
                <w:szCs w:val="20"/>
              </w:rPr>
            </w:pPr>
            <w:r>
              <w:rPr>
                <w:rFonts w:eastAsia="Times New Roman" w:cs="Arial"/>
                <w:color w:val="000000"/>
                <w:sz w:val="20"/>
                <w:szCs w:val="20"/>
              </w:rPr>
              <w:t>211</w:t>
            </w:r>
          </w:p>
        </w:tc>
      </w:tr>
      <w:tr w:rsidR="009302D4" w14:paraId="7C2F809D" w14:textId="77777777" w:rsidTr="00F20D8A">
        <w:trPr>
          <w:trHeight w:val="305"/>
          <w:jc w:val="center"/>
        </w:trPr>
        <w:tc>
          <w:tcPr>
            <w:tcW w:w="3898" w:type="dxa"/>
            <w:gridSpan w:val="4"/>
            <w:tcBorders>
              <w:top w:val="double" w:sz="4" w:space="0" w:color="auto"/>
              <w:left w:val="nil"/>
              <w:bottom w:val="nil"/>
              <w:right w:val="nil"/>
            </w:tcBorders>
            <w:vAlign w:val="center"/>
          </w:tcPr>
          <w:p w14:paraId="52B51122" w14:textId="15149BCE" w:rsidR="009302D4" w:rsidRDefault="009302D4" w:rsidP="009302D4">
            <w:pPr>
              <w:spacing w:line="240" w:lineRule="auto"/>
              <w:jc w:val="left"/>
              <w:rPr>
                <w:rFonts w:eastAsia="Times New Roman" w:cs="Arial"/>
                <w:color w:val="000000"/>
                <w:sz w:val="20"/>
                <w:szCs w:val="20"/>
              </w:rPr>
            </w:pPr>
            <w:r w:rsidRPr="009302D4">
              <w:rPr>
                <w:rFonts w:eastAsia="Times New Roman" w:cs="Arial"/>
                <w:b/>
                <w:bCs/>
                <w:color w:val="000000"/>
                <w:sz w:val="20"/>
                <w:szCs w:val="20"/>
              </w:rPr>
              <w:t>Sensibilidade = 0,76 (XX – XX)</w:t>
            </w:r>
          </w:p>
        </w:tc>
      </w:tr>
      <w:tr w:rsidR="009302D4" w14:paraId="70733D5C" w14:textId="77777777" w:rsidTr="00F20D8A">
        <w:trPr>
          <w:trHeight w:val="292"/>
          <w:jc w:val="center"/>
        </w:trPr>
        <w:tc>
          <w:tcPr>
            <w:tcW w:w="3898" w:type="dxa"/>
            <w:gridSpan w:val="4"/>
            <w:tcBorders>
              <w:top w:val="nil"/>
              <w:left w:val="nil"/>
              <w:bottom w:val="nil"/>
              <w:right w:val="nil"/>
            </w:tcBorders>
            <w:vAlign w:val="center"/>
          </w:tcPr>
          <w:p w14:paraId="0EAF577C" w14:textId="52A9E595" w:rsidR="009302D4" w:rsidRDefault="009302D4" w:rsidP="009302D4">
            <w:pPr>
              <w:spacing w:line="240" w:lineRule="auto"/>
              <w:jc w:val="left"/>
              <w:rPr>
                <w:rFonts w:eastAsia="Times New Roman" w:cs="Arial"/>
                <w:color w:val="000000"/>
                <w:sz w:val="20"/>
                <w:szCs w:val="20"/>
              </w:rPr>
            </w:pPr>
            <w:r w:rsidRPr="009302D4">
              <w:rPr>
                <w:rFonts w:eastAsia="Times New Roman" w:cs="Arial"/>
                <w:b/>
                <w:bCs/>
                <w:color w:val="000000"/>
                <w:sz w:val="20"/>
                <w:szCs w:val="20"/>
              </w:rPr>
              <w:t>Especificidade = 0,83 (XX – XX)</w:t>
            </w:r>
          </w:p>
        </w:tc>
      </w:tr>
      <w:tr w:rsidR="009302D4" w14:paraId="5D63ABBA" w14:textId="77777777" w:rsidTr="00F20D8A">
        <w:trPr>
          <w:trHeight w:val="281"/>
          <w:jc w:val="center"/>
        </w:trPr>
        <w:tc>
          <w:tcPr>
            <w:tcW w:w="3898" w:type="dxa"/>
            <w:gridSpan w:val="4"/>
            <w:tcBorders>
              <w:top w:val="nil"/>
              <w:left w:val="nil"/>
              <w:bottom w:val="double" w:sz="4" w:space="0" w:color="auto"/>
              <w:right w:val="nil"/>
            </w:tcBorders>
            <w:vAlign w:val="center"/>
          </w:tcPr>
          <w:p w14:paraId="4BAADEA2" w14:textId="5AD9645D" w:rsidR="009302D4" w:rsidRDefault="009302D4" w:rsidP="009302D4">
            <w:pPr>
              <w:spacing w:line="240" w:lineRule="auto"/>
              <w:jc w:val="left"/>
              <w:rPr>
                <w:rFonts w:eastAsia="Times New Roman" w:cs="Arial"/>
                <w:color w:val="000000"/>
                <w:sz w:val="20"/>
                <w:szCs w:val="20"/>
              </w:rPr>
            </w:pPr>
            <w:r w:rsidRPr="009302D4">
              <w:rPr>
                <w:rFonts w:eastAsia="Times New Roman" w:cs="Arial"/>
                <w:b/>
                <w:bCs/>
                <w:color w:val="000000"/>
                <w:sz w:val="20"/>
                <w:szCs w:val="20"/>
              </w:rPr>
              <w:t>Acurácia = 0,81 (XX – XX)</w:t>
            </w:r>
          </w:p>
        </w:tc>
      </w:tr>
    </w:tbl>
    <w:p w14:paraId="20BB5B03" w14:textId="77777777" w:rsidR="00A8587B" w:rsidRDefault="006F13CB" w:rsidP="00A8587B">
      <w:pPr>
        <w:pStyle w:val="Legenda"/>
        <w:keepNext/>
      </w:pPr>
      <w:r>
        <w:br w:type="column"/>
      </w:r>
      <w:r w:rsidR="00A8587B" w:rsidRPr="00902726">
        <w:t xml:space="preserve">Acurácia do </w:t>
      </w:r>
      <w:r w:rsidR="00A8587B" w:rsidRPr="006F13CB">
        <w:rPr>
          <w:i/>
          <w:iCs/>
        </w:rPr>
        <w:t>GTT</w:t>
      </w:r>
      <w:r w:rsidR="00A8587B" w:rsidRPr="00902726">
        <w:t xml:space="preserve"> para identificação </w:t>
      </w:r>
      <w:r w:rsidR="00A8587B" w:rsidRPr="002302FF">
        <w:t xml:space="preserve">de </w:t>
      </w:r>
      <w:commentRangeStart w:id="20"/>
      <w:r w:rsidR="00A8587B" w:rsidRPr="002302FF">
        <w:t>eventos</w:t>
      </w:r>
      <w:commentRangeEnd w:id="20"/>
      <w:r w:rsidR="00C44F47">
        <w:rPr>
          <w:rStyle w:val="Refdecomentrio"/>
          <w:b w:val="0"/>
          <w:bCs w:val="0"/>
          <w:lang w:val="x-none" w:eastAsia="x-none"/>
        </w:rPr>
        <w:commentReference w:id="20"/>
      </w:r>
      <w:r w:rsidR="00A8587B" w:rsidRPr="002302FF">
        <w:t xml:space="preserve"> adversos de classificação F-I de </w:t>
      </w:r>
      <w:r w:rsidR="00A8587B" w:rsidRPr="00902726">
        <w:t>quanto a internações</w:t>
      </w:r>
    </w:p>
    <w:tbl>
      <w:tblPr>
        <w:tblStyle w:val="Tabelacomgrade"/>
        <w:tblW w:w="0" w:type="auto"/>
        <w:jc w:val="center"/>
        <w:tblLook w:val="04A0" w:firstRow="1" w:lastRow="0" w:firstColumn="1" w:lastColumn="0" w:noHBand="0" w:noVBand="1"/>
      </w:tblPr>
      <w:tblGrid>
        <w:gridCol w:w="1077"/>
        <w:gridCol w:w="1015"/>
        <w:gridCol w:w="1061"/>
        <w:gridCol w:w="745"/>
      </w:tblGrid>
      <w:tr w:rsidR="00A8587B" w14:paraId="04D2B453" w14:textId="77777777" w:rsidTr="007C7AE3">
        <w:trPr>
          <w:trHeight w:val="351"/>
          <w:jc w:val="center"/>
        </w:trPr>
        <w:tc>
          <w:tcPr>
            <w:tcW w:w="1077" w:type="dxa"/>
            <w:vMerge w:val="restart"/>
            <w:tcBorders>
              <w:top w:val="double" w:sz="4" w:space="0" w:color="auto"/>
              <w:left w:val="nil"/>
              <w:bottom w:val="nil"/>
              <w:right w:val="nil"/>
            </w:tcBorders>
            <w:vAlign w:val="center"/>
          </w:tcPr>
          <w:p w14:paraId="4E9F40CE" w14:textId="77777777" w:rsidR="00A8587B" w:rsidRPr="009302D4" w:rsidRDefault="00A8587B" w:rsidP="007C7AE3">
            <w:pPr>
              <w:spacing w:line="240" w:lineRule="auto"/>
              <w:jc w:val="center"/>
              <w:rPr>
                <w:rFonts w:eastAsia="Times New Roman" w:cs="Arial"/>
                <w:b/>
                <w:bCs/>
                <w:i/>
                <w:iCs/>
                <w:color w:val="000000"/>
                <w:sz w:val="20"/>
                <w:szCs w:val="20"/>
              </w:rPr>
            </w:pPr>
            <w:r w:rsidRPr="009302D4">
              <w:rPr>
                <w:rFonts w:eastAsia="Times New Roman" w:cs="Arial"/>
                <w:b/>
                <w:bCs/>
                <w:i/>
                <w:iCs/>
                <w:color w:val="000000"/>
                <w:sz w:val="20"/>
                <w:szCs w:val="20"/>
              </w:rPr>
              <w:t>GTT</w:t>
            </w:r>
          </w:p>
        </w:tc>
        <w:tc>
          <w:tcPr>
            <w:tcW w:w="2821" w:type="dxa"/>
            <w:gridSpan w:val="3"/>
            <w:tcBorders>
              <w:top w:val="double" w:sz="4" w:space="0" w:color="auto"/>
              <w:left w:val="nil"/>
              <w:bottom w:val="single" w:sz="4" w:space="0" w:color="auto"/>
              <w:right w:val="nil"/>
            </w:tcBorders>
            <w:vAlign w:val="center"/>
          </w:tcPr>
          <w:p w14:paraId="4E85F9F3" w14:textId="77777777" w:rsidR="00A8587B" w:rsidRPr="00455CBF" w:rsidRDefault="00A8587B" w:rsidP="007C7AE3">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Padrão Referência</w:t>
            </w:r>
          </w:p>
        </w:tc>
      </w:tr>
      <w:tr w:rsidR="00A8587B" w14:paraId="6B36A3C3" w14:textId="77777777" w:rsidTr="007C7AE3">
        <w:trPr>
          <w:trHeight w:val="413"/>
          <w:jc w:val="center"/>
        </w:trPr>
        <w:tc>
          <w:tcPr>
            <w:tcW w:w="1077" w:type="dxa"/>
            <w:vMerge/>
            <w:tcBorders>
              <w:top w:val="nil"/>
              <w:left w:val="nil"/>
              <w:bottom w:val="single" w:sz="4" w:space="0" w:color="auto"/>
              <w:right w:val="nil"/>
            </w:tcBorders>
            <w:vAlign w:val="center"/>
          </w:tcPr>
          <w:p w14:paraId="225C8DD9" w14:textId="77777777" w:rsidR="00A8587B" w:rsidRPr="00455CBF" w:rsidRDefault="00A8587B" w:rsidP="007C7AE3">
            <w:pPr>
              <w:spacing w:line="240" w:lineRule="auto"/>
              <w:jc w:val="center"/>
              <w:rPr>
                <w:rFonts w:eastAsia="Times New Roman" w:cs="Arial"/>
                <w:b/>
                <w:bCs/>
                <w:color w:val="000000"/>
                <w:sz w:val="20"/>
                <w:szCs w:val="20"/>
              </w:rPr>
            </w:pPr>
          </w:p>
        </w:tc>
        <w:tc>
          <w:tcPr>
            <w:tcW w:w="1015" w:type="dxa"/>
            <w:tcBorders>
              <w:top w:val="single" w:sz="4" w:space="0" w:color="auto"/>
              <w:left w:val="nil"/>
              <w:bottom w:val="single" w:sz="4" w:space="0" w:color="auto"/>
              <w:right w:val="nil"/>
            </w:tcBorders>
            <w:vAlign w:val="center"/>
          </w:tcPr>
          <w:p w14:paraId="53BA926D" w14:textId="77777777" w:rsidR="00A8587B" w:rsidRPr="00455CBF" w:rsidRDefault="00A8587B" w:rsidP="007C7AE3">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Positivo</w:t>
            </w:r>
          </w:p>
        </w:tc>
        <w:tc>
          <w:tcPr>
            <w:tcW w:w="1061" w:type="dxa"/>
            <w:tcBorders>
              <w:top w:val="single" w:sz="4" w:space="0" w:color="auto"/>
              <w:left w:val="nil"/>
              <w:bottom w:val="single" w:sz="4" w:space="0" w:color="auto"/>
              <w:right w:val="nil"/>
            </w:tcBorders>
            <w:vAlign w:val="center"/>
          </w:tcPr>
          <w:p w14:paraId="37903C36" w14:textId="77777777" w:rsidR="00A8587B" w:rsidRPr="00455CBF" w:rsidRDefault="00A8587B" w:rsidP="007C7AE3">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Negativo</w:t>
            </w:r>
          </w:p>
        </w:tc>
        <w:tc>
          <w:tcPr>
            <w:tcW w:w="745" w:type="dxa"/>
            <w:tcBorders>
              <w:top w:val="single" w:sz="4" w:space="0" w:color="auto"/>
              <w:left w:val="nil"/>
              <w:bottom w:val="single" w:sz="4" w:space="0" w:color="auto"/>
              <w:right w:val="nil"/>
            </w:tcBorders>
            <w:vAlign w:val="center"/>
          </w:tcPr>
          <w:p w14:paraId="3362AA93" w14:textId="77777777" w:rsidR="00A8587B" w:rsidRPr="00455CBF" w:rsidRDefault="00A8587B" w:rsidP="007C7AE3">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Total</w:t>
            </w:r>
          </w:p>
        </w:tc>
      </w:tr>
      <w:tr w:rsidR="00A8587B" w14:paraId="6F0EC1F3" w14:textId="77777777" w:rsidTr="007C7AE3">
        <w:trPr>
          <w:trHeight w:val="421"/>
          <w:jc w:val="center"/>
        </w:trPr>
        <w:tc>
          <w:tcPr>
            <w:tcW w:w="1077" w:type="dxa"/>
            <w:tcBorders>
              <w:top w:val="single" w:sz="4" w:space="0" w:color="auto"/>
              <w:left w:val="nil"/>
              <w:bottom w:val="single" w:sz="4" w:space="0" w:color="auto"/>
              <w:right w:val="nil"/>
            </w:tcBorders>
            <w:vAlign w:val="center"/>
          </w:tcPr>
          <w:p w14:paraId="2A35724B" w14:textId="77777777" w:rsidR="00A8587B" w:rsidRPr="00455CBF" w:rsidRDefault="00A8587B" w:rsidP="007C7AE3">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Positivo</w:t>
            </w:r>
          </w:p>
        </w:tc>
        <w:tc>
          <w:tcPr>
            <w:tcW w:w="1015" w:type="dxa"/>
            <w:tcBorders>
              <w:top w:val="single" w:sz="4" w:space="0" w:color="auto"/>
              <w:left w:val="nil"/>
              <w:bottom w:val="single" w:sz="4" w:space="0" w:color="auto"/>
              <w:right w:val="nil"/>
            </w:tcBorders>
            <w:vAlign w:val="center"/>
          </w:tcPr>
          <w:p w14:paraId="5F6E63DD" w14:textId="77777777" w:rsidR="00A8587B" w:rsidRPr="00455CBF" w:rsidRDefault="00A8587B" w:rsidP="007C7AE3">
            <w:pPr>
              <w:spacing w:line="240" w:lineRule="auto"/>
              <w:jc w:val="center"/>
              <w:rPr>
                <w:rFonts w:eastAsia="Times New Roman" w:cs="Arial"/>
                <w:color w:val="000000"/>
                <w:sz w:val="20"/>
                <w:szCs w:val="20"/>
              </w:rPr>
            </w:pPr>
            <w:r>
              <w:rPr>
                <w:rFonts w:eastAsia="Times New Roman" w:cs="Arial"/>
                <w:color w:val="000000"/>
                <w:sz w:val="20"/>
                <w:szCs w:val="20"/>
              </w:rPr>
              <w:t>37</w:t>
            </w:r>
          </w:p>
        </w:tc>
        <w:tc>
          <w:tcPr>
            <w:tcW w:w="1061" w:type="dxa"/>
            <w:tcBorders>
              <w:top w:val="single" w:sz="4" w:space="0" w:color="auto"/>
              <w:left w:val="nil"/>
              <w:bottom w:val="single" w:sz="4" w:space="0" w:color="auto"/>
              <w:right w:val="nil"/>
            </w:tcBorders>
            <w:vAlign w:val="center"/>
          </w:tcPr>
          <w:p w14:paraId="28F9ED1A" w14:textId="77777777" w:rsidR="00A8587B" w:rsidRPr="00455CBF" w:rsidRDefault="00A8587B" w:rsidP="007C7AE3">
            <w:pPr>
              <w:spacing w:line="240" w:lineRule="auto"/>
              <w:jc w:val="center"/>
              <w:rPr>
                <w:rFonts w:eastAsia="Times New Roman" w:cs="Arial"/>
                <w:color w:val="000000"/>
                <w:sz w:val="20"/>
                <w:szCs w:val="20"/>
              </w:rPr>
            </w:pPr>
            <w:r>
              <w:rPr>
                <w:rFonts w:eastAsia="Times New Roman" w:cs="Arial"/>
                <w:color w:val="000000"/>
                <w:sz w:val="20"/>
                <w:szCs w:val="20"/>
              </w:rPr>
              <w:t>17</w:t>
            </w:r>
          </w:p>
        </w:tc>
        <w:tc>
          <w:tcPr>
            <w:tcW w:w="745" w:type="dxa"/>
            <w:tcBorders>
              <w:top w:val="single" w:sz="4" w:space="0" w:color="auto"/>
              <w:left w:val="nil"/>
              <w:bottom w:val="single" w:sz="4" w:space="0" w:color="auto"/>
              <w:right w:val="nil"/>
            </w:tcBorders>
            <w:vAlign w:val="center"/>
          </w:tcPr>
          <w:p w14:paraId="1709D3CB" w14:textId="77777777" w:rsidR="00A8587B" w:rsidRPr="00455CBF" w:rsidRDefault="00A8587B" w:rsidP="007C7AE3">
            <w:pPr>
              <w:spacing w:line="240" w:lineRule="auto"/>
              <w:jc w:val="center"/>
              <w:rPr>
                <w:rFonts w:eastAsia="Times New Roman" w:cs="Arial"/>
                <w:color w:val="000000"/>
                <w:sz w:val="20"/>
                <w:szCs w:val="20"/>
              </w:rPr>
            </w:pPr>
            <w:r>
              <w:rPr>
                <w:rFonts w:eastAsia="Times New Roman" w:cs="Arial"/>
                <w:color w:val="000000"/>
                <w:sz w:val="20"/>
                <w:szCs w:val="20"/>
              </w:rPr>
              <w:t>54</w:t>
            </w:r>
          </w:p>
        </w:tc>
      </w:tr>
      <w:tr w:rsidR="00A8587B" w14:paraId="1FE0BE50" w14:textId="77777777" w:rsidTr="007C7AE3">
        <w:trPr>
          <w:trHeight w:val="414"/>
          <w:jc w:val="center"/>
        </w:trPr>
        <w:tc>
          <w:tcPr>
            <w:tcW w:w="1077" w:type="dxa"/>
            <w:tcBorders>
              <w:top w:val="single" w:sz="4" w:space="0" w:color="auto"/>
              <w:left w:val="nil"/>
              <w:bottom w:val="single" w:sz="4" w:space="0" w:color="auto"/>
              <w:right w:val="nil"/>
            </w:tcBorders>
            <w:vAlign w:val="center"/>
          </w:tcPr>
          <w:p w14:paraId="243371C1" w14:textId="77777777" w:rsidR="00A8587B" w:rsidRPr="00455CBF" w:rsidRDefault="00A8587B" w:rsidP="007C7AE3">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Negativo</w:t>
            </w:r>
          </w:p>
        </w:tc>
        <w:tc>
          <w:tcPr>
            <w:tcW w:w="1015" w:type="dxa"/>
            <w:tcBorders>
              <w:top w:val="single" w:sz="4" w:space="0" w:color="auto"/>
              <w:left w:val="nil"/>
              <w:bottom w:val="single" w:sz="4" w:space="0" w:color="auto"/>
              <w:right w:val="nil"/>
            </w:tcBorders>
            <w:vAlign w:val="center"/>
          </w:tcPr>
          <w:p w14:paraId="649FB0EF" w14:textId="77777777" w:rsidR="00A8587B" w:rsidRPr="00455CBF" w:rsidRDefault="00A8587B" w:rsidP="007C7AE3">
            <w:pPr>
              <w:spacing w:line="240" w:lineRule="auto"/>
              <w:jc w:val="center"/>
              <w:rPr>
                <w:rFonts w:eastAsia="Times New Roman" w:cs="Arial"/>
                <w:color w:val="000000"/>
                <w:sz w:val="20"/>
                <w:szCs w:val="20"/>
              </w:rPr>
            </w:pPr>
            <w:r>
              <w:rPr>
                <w:rFonts w:eastAsia="Times New Roman" w:cs="Arial"/>
                <w:color w:val="000000"/>
                <w:sz w:val="20"/>
                <w:szCs w:val="20"/>
              </w:rPr>
              <w:t>4</w:t>
            </w:r>
          </w:p>
        </w:tc>
        <w:tc>
          <w:tcPr>
            <w:tcW w:w="1061" w:type="dxa"/>
            <w:tcBorders>
              <w:top w:val="single" w:sz="4" w:space="0" w:color="auto"/>
              <w:left w:val="nil"/>
              <w:bottom w:val="single" w:sz="4" w:space="0" w:color="auto"/>
              <w:right w:val="nil"/>
            </w:tcBorders>
            <w:vAlign w:val="center"/>
          </w:tcPr>
          <w:p w14:paraId="5D53A706" w14:textId="77777777" w:rsidR="00A8587B" w:rsidRPr="00455CBF" w:rsidRDefault="00A8587B" w:rsidP="007C7AE3">
            <w:pPr>
              <w:spacing w:line="240" w:lineRule="auto"/>
              <w:jc w:val="center"/>
              <w:rPr>
                <w:rFonts w:eastAsia="Times New Roman" w:cs="Arial"/>
                <w:color w:val="000000"/>
                <w:sz w:val="20"/>
                <w:szCs w:val="20"/>
              </w:rPr>
            </w:pPr>
            <w:r>
              <w:rPr>
                <w:rFonts w:eastAsia="Times New Roman" w:cs="Arial"/>
                <w:color w:val="000000"/>
                <w:sz w:val="20"/>
                <w:szCs w:val="20"/>
              </w:rPr>
              <w:t>153</w:t>
            </w:r>
          </w:p>
        </w:tc>
        <w:tc>
          <w:tcPr>
            <w:tcW w:w="745" w:type="dxa"/>
            <w:tcBorders>
              <w:top w:val="single" w:sz="4" w:space="0" w:color="auto"/>
              <w:left w:val="nil"/>
              <w:bottom w:val="single" w:sz="4" w:space="0" w:color="auto"/>
              <w:right w:val="nil"/>
            </w:tcBorders>
            <w:vAlign w:val="center"/>
          </w:tcPr>
          <w:p w14:paraId="6D3B8817" w14:textId="77777777" w:rsidR="00A8587B" w:rsidRPr="00455CBF" w:rsidRDefault="00A8587B" w:rsidP="007C7AE3">
            <w:pPr>
              <w:spacing w:line="240" w:lineRule="auto"/>
              <w:jc w:val="center"/>
              <w:rPr>
                <w:rFonts w:eastAsia="Times New Roman" w:cs="Arial"/>
                <w:color w:val="000000"/>
                <w:sz w:val="20"/>
                <w:szCs w:val="20"/>
              </w:rPr>
            </w:pPr>
            <w:r>
              <w:rPr>
                <w:rFonts w:eastAsia="Times New Roman" w:cs="Arial"/>
                <w:color w:val="000000"/>
                <w:sz w:val="20"/>
                <w:szCs w:val="20"/>
              </w:rPr>
              <w:t>157</w:t>
            </w:r>
          </w:p>
        </w:tc>
      </w:tr>
      <w:tr w:rsidR="00A8587B" w14:paraId="4BE27667" w14:textId="77777777" w:rsidTr="007C7AE3">
        <w:trPr>
          <w:trHeight w:val="419"/>
          <w:jc w:val="center"/>
        </w:trPr>
        <w:tc>
          <w:tcPr>
            <w:tcW w:w="1077" w:type="dxa"/>
            <w:tcBorders>
              <w:top w:val="single" w:sz="4" w:space="0" w:color="auto"/>
              <w:left w:val="nil"/>
              <w:bottom w:val="double" w:sz="4" w:space="0" w:color="auto"/>
              <w:right w:val="nil"/>
            </w:tcBorders>
            <w:vAlign w:val="center"/>
          </w:tcPr>
          <w:p w14:paraId="0BF1C288" w14:textId="77777777" w:rsidR="00A8587B" w:rsidRPr="00455CBF" w:rsidRDefault="00A8587B" w:rsidP="007C7AE3">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Total</w:t>
            </w:r>
          </w:p>
        </w:tc>
        <w:tc>
          <w:tcPr>
            <w:tcW w:w="1015" w:type="dxa"/>
            <w:tcBorders>
              <w:top w:val="single" w:sz="4" w:space="0" w:color="auto"/>
              <w:left w:val="nil"/>
              <w:bottom w:val="double" w:sz="4" w:space="0" w:color="auto"/>
              <w:right w:val="nil"/>
            </w:tcBorders>
            <w:vAlign w:val="center"/>
          </w:tcPr>
          <w:p w14:paraId="54C0891D" w14:textId="77777777" w:rsidR="00A8587B" w:rsidRPr="00455CBF" w:rsidRDefault="00A8587B" w:rsidP="007C7AE3">
            <w:pPr>
              <w:spacing w:line="240" w:lineRule="auto"/>
              <w:jc w:val="center"/>
              <w:rPr>
                <w:rFonts w:eastAsia="Times New Roman" w:cs="Arial"/>
                <w:color w:val="000000"/>
                <w:sz w:val="20"/>
                <w:szCs w:val="20"/>
              </w:rPr>
            </w:pPr>
            <w:r>
              <w:rPr>
                <w:rFonts w:eastAsia="Times New Roman" w:cs="Arial"/>
                <w:color w:val="000000"/>
                <w:sz w:val="20"/>
                <w:szCs w:val="20"/>
              </w:rPr>
              <w:t>41</w:t>
            </w:r>
          </w:p>
        </w:tc>
        <w:tc>
          <w:tcPr>
            <w:tcW w:w="1061" w:type="dxa"/>
            <w:tcBorders>
              <w:top w:val="single" w:sz="4" w:space="0" w:color="auto"/>
              <w:left w:val="nil"/>
              <w:bottom w:val="double" w:sz="4" w:space="0" w:color="auto"/>
              <w:right w:val="nil"/>
            </w:tcBorders>
            <w:vAlign w:val="center"/>
          </w:tcPr>
          <w:p w14:paraId="7958EFBA" w14:textId="77777777" w:rsidR="00A8587B" w:rsidRPr="00455CBF" w:rsidRDefault="00A8587B" w:rsidP="007C7AE3">
            <w:pPr>
              <w:spacing w:line="240" w:lineRule="auto"/>
              <w:jc w:val="center"/>
              <w:rPr>
                <w:rFonts w:eastAsia="Times New Roman" w:cs="Arial"/>
                <w:color w:val="000000"/>
                <w:sz w:val="20"/>
                <w:szCs w:val="20"/>
              </w:rPr>
            </w:pPr>
            <w:r>
              <w:rPr>
                <w:rFonts w:eastAsia="Times New Roman" w:cs="Arial"/>
                <w:color w:val="000000"/>
                <w:sz w:val="20"/>
                <w:szCs w:val="20"/>
              </w:rPr>
              <w:t>170</w:t>
            </w:r>
          </w:p>
        </w:tc>
        <w:tc>
          <w:tcPr>
            <w:tcW w:w="745" w:type="dxa"/>
            <w:tcBorders>
              <w:top w:val="single" w:sz="4" w:space="0" w:color="auto"/>
              <w:left w:val="nil"/>
              <w:bottom w:val="double" w:sz="4" w:space="0" w:color="auto"/>
              <w:right w:val="nil"/>
            </w:tcBorders>
            <w:vAlign w:val="center"/>
          </w:tcPr>
          <w:p w14:paraId="63F1BCBC" w14:textId="77777777" w:rsidR="00A8587B" w:rsidRPr="00455CBF" w:rsidRDefault="00A8587B" w:rsidP="007C7AE3">
            <w:pPr>
              <w:spacing w:line="240" w:lineRule="auto"/>
              <w:jc w:val="center"/>
              <w:rPr>
                <w:rFonts w:eastAsia="Times New Roman" w:cs="Arial"/>
                <w:color w:val="000000"/>
                <w:sz w:val="20"/>
                <w:szCs w:val="20"/>
              </w:rPr>
            </w:pPr>
            <w:r>
              <w:rPr>
                <w:rFonts w:eastAsia="Times New Roman" w:cs="Arial"/>
                <w:color w:val="000000"/>
                <w:sz w:val="20"/>
                <w:szCs w:val="20"/>
              </w:rPr>
              <w:t>211</w:t>
            </w:r>
          </w:p>
        </w:tc>
      </w:tr>
      <w:tr w:rsidR="00A8587B" w14:paraId="7568146F" w14:textId="77777777" w:rsidTr="007C7AE3">
        <w:trPr>
          <w:trHeight w:val="305"/>
          <w:jc w:val="center"/>
        </w:trPr>
        <w:tc>
          <w:tcPr>
            <w:tcW w:w="3898" w:type="dxa"/>
            <w:gridSpan w:val="4"/>
            <w:tcBorders>
              <w:top w:val="double" w:sz="4" w:space="0" w:color="auto"/>
              <w:left w:val="nil"/>
              <w:bottom w:val="nil"/>
              <w:right w:val="nil"/>
            </w:tcBorders>
            <w:vAlign w:val="center"/>
          </w:tcPr>
          <w:p w14:paraId="49E51BCB" w14:textId="77777777" w:rsidR="00A8587B" w:rsidRDefault="00A8587B" w:rsidP="007C7AE3">
            <w:pPr>
              <w:spacing w:line="240" w:lineRule="auto"/>
              <w:jc w:val="left"/>
              <w:rPr>
                <w:rFonts w:eastAsia="Times New Roman" w:cs="Arial"/>
                <w:color w:val="000000"/>
                <w:sz w:val="20"/>
                <w:szCs w:val="20"/>
              </w:rPr>
            </w:pPr>
            <w:r w:rsidRPr="009302D4">
              <w:rPr>
                <w:rFonts w:eastAsia="Times New Roman" w:cs="Arial"/>
                <w:b/>
                <w:bCs/>
                <w:color w:val="000000"/>
                <w:sz w:val="20"/>
                <w:szCs w:val="20"/>
              </w:rPr>
              <w:t>Sensibilidade = 0,</w:t>
            </w:r>
            <w:r>
              <w:rPr>
                <w:rFonts w:eastAsia="Times New Roman" w:cs="Arial"/>
                <w:b/>
                <w:bCs/>
                <w:color w:val="000000"/>
                <w:sz w:val="20"/>
                <w:szCs w:val="20"/>
              </w:rPr>
              <w:t>90</w:t>
            </w:r>
            <w:r w:rsidRPr="009302D4">
              <w:rPr>
                <w:rFonts w:eastAsia="Times New Roman" w:cs="Arial"/>
                <w:b/>
                <w:bCs/>
                <w:color w:val="000000"/>
                <w:sz w:val="20"/>
                <w:szCs w:val="20"/>
              </w:rPr>
              <w:t xml:space="preserve"> (XX – XX)</w:t>
            </w:r>
          </w:p>
        </w:tc>
      </w:tr>
      <w:tr w:rsidR="00A8587B" w14:paraId="491CA0DE" w14:textId="77777777" w:rsidTr="007C7AE3">
        <w:trPr>
          <w:trHeight w:val="292"/>
          <w:jc w:val="center"/>
        </w:trPr>
        <w:tc>
          <w:tcPr>
            <w:tcW w:w="3898" w:type="dxa"/>
            <w:gridSpan w:val="4"/>
            <w:tcBorders>
              <w:top w:val="nil"/>
              <w:left w:val="nil"/>
              <w:bottom w:val="nil"/>
              <w:right w:val="nil"/>
            </w:tcBorders>
            <w:vAlign w:val="center"/>
          </w:tcPr>
          <w:p w14:paraId="34E4D06C" w14:textId="77777777" w:rsidR="00A8587B" w:rsidRDefault="00A8587B" w:rsidP="007C7AE3">
            <w:pPr>
              <w:spacing w:line="240" w:lineRule="auto"/>
              <w:jc w:val="left"/>
              <w:rPr>
                <w:rFonts w:eastAsia="Times New Roman" w:cs="Arial"/>
                <w:color w:val="000000"/>
                <w:sz w:val="20"/>
                <w:szCs w:val="20"/>
              </w:rPr>
            </w:pPr>
            <w:r w:rsidRPr="009302D4">
              <w:rPr>
                <w:rFonts w:eastAsia="Times New Roman" w:cs="Arial"/>
                <w:b/>
                <w:bCs/>
                <w:color w:val="000000"/>
                <w:sz w:val="20"/>
                <w:szCs w:val="20"/>
              </w:rPr>
              <w:t>Especificidade = 0,</w:t>
            </w:r>
            <w:r>
              <w:rPr>
                <w:rFonts w:eastAsia="Times New Roman" w:cs="Arial"/>
                <w:b/>
                <w:bCs/>
                <w:color w:val="000000"/>
                <w:sz w:val="20"/>
                <w:szCs w:val="20"/>
              </w:rPr>
              <w:t>90</w:t>
            </w:r>
            <w:r w:rsidRPr="009302D4">
              <w:rPr>
                <w:rFonts w:eastAsia="Times New Roman" w:cs="Arial"/>
                <w:b/>
                <w:bCs/>
                <w:color w:val="000000"/>
                <w:sz w:val="20"/>
                <w:szCs w:val="20"/>
              </w:rPr>
              <w:t xml:space="preserve"> (XX – XX)</w:t>
            </w:r>
          </w:p>
        </w:tc>
      </w:tr>
      <w:tr w:rsidR="00A8587B" w14:paraId="3B13C86C" w14:textId="77777777" w:rsidTr="007C7AE3">
        <w:trPr>
          <w:trHeight w:val="281"/>
          <w:jc w:val="center"/>
        </w:trPr>
        <w:tc>
          <w:tcPr>
            <w:tcW w:w="3898" w:type="dxa"/>
            <w:gridSpan w:val="4"/>
            <w:tcBorders>
              <w:top w:val="nil"/>
              <w:left w:val="nil"/>
              <w:bottom w:val="double" w:sz="4" w:space="0" w:color="auto"/>
              <w:right w:val="nil"/>
            </w:tcBorders>
            <w:vAlign w:val="center"/>
          </w:tcPr>
          <w:p w14:paraId="6A54321F" w14:textId="77777777" w:rsidR="00A8587B" w:rsidRDefault="00A8587B" w:rsidP="007C7AE3">
            <w:pPr>
              <w:spacing w:line="240" w:lineRule="auto"/>
              <w:jc w:val="left"/>
              <w:rPr>
                <w:rFonts w:eastAsia="Times New Roman" w:cs="Arial"/>
                <w:color w:val="000000"/>
                <w:sz w:val="20"/>
                <w:szCs w:val="20"/>
              </w:rPr>
            </w:pPr>
            <w:r w:rsidRPr="009302D4">
              <w:rPr>
                <w:rFonts w:eastAsia="Times New Roman" w:cs="Arial"/>
                <w:b/>
                <w:bCs/>
                <w:color w:val="000000"/>
                <w:sz w:val="20"/>
                <w:szCs w:val="20"/>
              </w:rPr>
              <w:t>Acurácia = 0,</w:t>
            </w:r>
            <w:r>
              <w:rPr>
                <w:rFonts w:eastAsia="Times New Roman" w:cs="Arial"/>
                <w:b/>
                <w:bCs/>
                <w:color w:val="000000"/>
                <w:sz w:val="20"/>
                <w:szCs w:val="20"/>
              </w:rPr>
              <w:t>90</w:t>
            </w:r>
            <w:r w:rsidRPr="009302D4">
              <w:rPr>
                <w:rFonts w:eastAsia="Times New Roman" w:cs="Arial"/>
                <w:b/>
                <w:bCs/>
                <w:color w:val="000000"/>
                <w:sz w:val="20"/>
                <w:szCs w:val="20"/>
              </w:rPr>
              <w:t xml:space="preserve"> (XX – XX)</w:t>
            </w:r>
          </w:p>
        </w:tc>
      </w:tr>
    </w:tbl>
    <w:p w14:paraId="1FE5FBF0" w14:textId="77777777" w:rsidR="00A8587B" w:rsidRDefault="00A8587B" w:rsidP="005276BB"/>
    <w:p w14:paraId="60B9AA30" w14:textId="3E74BF91" w:rsidR="00A8587B" w:rsidRDefault="00A8587B" w:rsidP="005276BB">
      <w:pPr>
        <w:sectPr w:rsidR="00A8587B" w:rsidSect="00F20D8A">
          <w:type w:val="continuous"/>
          <w:pgSz w:w="11906" w:h="16838"/>
          <w:pgMar w:top="1417" w:right="1701" w:bottom="1417" w:left="1701" w:header="708" w:footer="0" w:gutter="0"/>
          <w:cols w:num="2" w:space="708"/>
          <w:titlePg/>
          <w:docGrid w:linePitch="360"/>
        </w:sectPr>
      </w:pPr>
    </w:p>
    <w:p w14:paraId="6C629072" w14:textId="77777777" w:rsidR="00A8587B" w:rsidRDefault="00A8587B" w:rsidP="00A8587B">
      <w:pPr>
        <w:pStyle w:val="Legenda"/>
        <w:keepNext/>
      </w:pPr>
      <w:r w:rsidRPr="009B449F">
        <w:t xml:space="preserve">Acurácia do </w:t>
      </w:r>
      <w:r w:rsidRPr="006F13CB">
        <w:rPr>
          <w:i/>
          <w:iCs/>
        </w:rPr>
        <w:t>GTT</w:t>
      </w:r>
      <w:r w:rsidRPr="009B449F">
        <w:t xml:space="preserve"> para identificação de eventos adversos de qualquer gravidade de dano quanto </w:t>
      </w:r>
      <w:r>
        <w:t>aos eventos individuais</w:t>
      </w:r>
    </w:p>
    <w:tbl>
      <w:tblPr>
        <w:tblStyle w:val="Tabelacomgrade"/>
        <w:tblW w:w="0" w:type="auto"/>
        <w:jc w:val="center"/>
        <w:tblLook w:val="04A0" w:firstRow="1" w:lastRow="0" w:firstColumn="1" w:lastColumn="0" w:noHBand="0" w:noVBand="1"/>
      </w:tblPr>
      <w:tblGrid>
        <w:gridCol w:w="1077"/>
        <w:gridCol w:w="1015"/>
        <w:gridCol w:w="1061"/>
        <w:gridCol w:w="745"/>
      </w:tblGrid>
      <w:tr w:rsidR="00A8587B" w14:paraId="2174FED1" w14:textId="77777777" w:rsidTr="007C7AE3">
        <w:trPr>
          <w:trHeight w:val="351"/>
          <w:jc w:val="center"/>
        </w:trPr>
        <w:tc>
          <w:tcPr>
            <w:tcW w:w="1077" w:type="dxa"/>
            <w:vMerge w:val="restart"/>
            <w:tcBorders>
              <w:top w:val="double" w:sz="4" w:space="0" w:color="auto"/>
              <w:left w:val="nil"/>
              <w:bottom w:val="nil"/>
              <w:right w:val="nil"/>
            </w:tcBorders>
            <w:vAlign w:val="center"/>
          </w:tcPr>
          <w:p w14:paraId="1C4C4566" w14:textId="77777777" w:rsidR="00A8587B" w:rsidRPr="009302D4" w:rsidRDefault="00A8587B" w:rsidP="007C7AE3">
            <w:pPr>
              <w:spacing w:line="240" w:lineRule="auto"/>
              <w:jc w:val="center"/>
              <w:rPr>
                <w:rFonts w:eastAsia="Times New Roman" w:cs="Arial"/>
                <w:b/>
                <w:bCs/>
                <w:i/>
                <w:iCs/>
                <w:color w:val="000000"/>
                <w:sz w:val="20"/>
                <w:szCs w:val="20"/>
              </w:rPr>
            </w:pPr>
            <w:r w:rsidRPr="009302D4">
              <w:rPr>
                <w:rFonts w:eastAsia="Times New Roman" w:cs="Arial"/>
                <w:b/>
                <w:bCs/>
                <w:i/>
                <w:iCs/>
                <w:color w:val="000000"/>
                <w:sz w:val="20"/>
                <w:szCs w:val="20"/>
              </w:rPr>
              <w:t>GTT</w:t>
            </w:r>
          </w:p>
        </w:tc>
        <w:tc>
          <w:tcPr>
            <w:tcW w:w="2821" w:type="dxa"/>
            <w:gridSpan w:val="3"/>
            <w:tcBorders>
              <w:top w:val="double" w:sz="4" w:space="0" w:color="auto"/>
              <w:left w:val="nil"/>
              <w:bottom w:val="single" w:sz="4" w:space="0" w:color="auto"/>
              <w:right w:val="nil"/>
            </w:tcBorders>
            <w:vAlign w:val="center"/>
          </w:tcPr>
          <w:p w14:paraId="350F27C2" w14:textId="77777777" w:rsidR="00A8587B" w:rsidRPr="00455CBF" w:rsidRDefault="00A8587B" w:rsidP="007C7AE3">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Padrão Referência</w:t>
            </w:r>
          </w:p>
        </w:tc>
      </w:tr>
      <w:tr w:rsidR="00A8587B" w14:paraId="43509096" w14:textId="77777777" w:rsidTr="007C7AE3">
        <w:trPr>
          <w:trHeight w:val="413"/>
          <w:jc w:val="center"/>
        </w:trPr>
        <w:tc>
          <w:tcPr>
            <w:tcW w:w="1077" w:type="dxa"/>
            <w:vMerge/>
            <w:tcBorders>
              <w:top w:val="nil"/>
              <w:left w:val="nil"/>
              <w:bottom w:val="single" w:sz="4" w:space="0" w:color="auto"/>
              <w:right w:val="nil"/>
            </w:tcBorders>
            <w:vAlign w:val="center"/>
          </w:tcPr>
          <w:p w14:paraId="20605A64" w14:textId="77777777" w:rsidR="00A8587B" w:rsidRPr="00455CBF" w:rsidRDefault="00A8587B" w:rsidP="007C7AE3">
            <w:pPr>
              <w:spacing w:line="240" w:lineRule="auto"/>
              <w:jc w:val="center"/>
              <w:rPr>
                <w:rFonts w:eastAsia="Times New Roman" w:cs="Arial"/>
                <w:b/>
                <w:bCs/>
                <w:color w:val="000000"/>
                <w:sz w:val="20"/>
                <w:szCs w:val="20"/>
              </w:rPr>
            </w:pPr>
          </w:p>
        </w:tc>
        <w:tc>
          <w:tcPr>
            <w:tcW w:w="1015" w:type="dxa"/>
            <w:tcBorders>
              <w:top w:val="single" w:sz="4" w:space="0" w:color="auto"/>
              <w:left w:val="nil"/>
              <w:bottom w:val="single" w:sz="4" w:space="0" w:color="auto"/>
              <w:right w:val="nil"/>
            </w:tcBorders>
            <w:vAlign w:val="center"/>
          </w:tcPr>
          <w:p w14:paraId="2B78663A" w14:textId="77777777" w:rsidR="00A8587B" w:rsidRPr="00455CBF" w:rsidRDefault="00A8587B" w:rsidP="007C7AE3">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Po</w:t>
            </w:r>
            <w:r>
              <w:rPr>
                <w:rFonts w:eastAsia="Times New Roman" w:cs="Arial"/>
                <w:b/>
                <w:bCs/>
                <w:color w:val="000000"/>
                <w:sz w:val="20"/>
                <w:szCs w:val="20"/>
              </w:rPr>
              <w:t>s</w:t>
            </w:r>
            <w:r w:rsidRPr="00455CBF">
              <w:rPr>
                <w:rFonts w:eastAsia="Times New Roman" w:cs="Arial"/>
                <w:b/>
                <w:bCs/>
                <w:color w:val="000000"/>
                <w:sz w:val="20"/>
                <w:szCs w:val="20"/>
              </w:rPr>
              <w:t>itivo</w:t>
            </w:r>
          </w:p>
        </w:tc>
        <w:tc>
          <w:tcPr>
            <w:tcW w:w="1061" w:type="dxa"/>
            <w:tcBorders>
              <w:top w:val="single" w:sz="4" w:space="0" w:color="auto"/>
              <w:left w:val="nil"/>
              <w:bottom w:val="single" w:sz="4" w:space="0" w:color="auto"/>
              <w:right w:val="nil"/>
            </w:tcBorders>
            <w:vAlign w:val="center"/>
          </w:tcPr>
          <w:p w14:paraId="44F685E1" w14:textId="77777777" w:rsidR="00A8587B" w:rsidRPr="00455CBF" w:rsidRDefault="00A8587B" w:rsidP="007C7AE3">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Negativo</w:t>
            </w:r>
          </w:p>
        </w:tc>
        <w:tc>
          <w:tcPr>
            <w:tcW w:w="745" w:type="dxa"/>
            <w:tcBorders>
              <w:top w:val="single" w:sz="4" w:space="0" w:color="auto"/>
              <w:left w:val="nil"/>
              <w:bottom w:val="single" w:sz="4" w:space="0" w:color="auto"/>
              <w:right w:val="nil"/>
            </w:tcBorders>
            <w:vAlign w:val="center"/>
          </w:tcPr>
          <w:p w14:paraId="407AD52A" w14:textId="77777777" w:rsidR="00A8587B" w:rsidRPr="00455CBF" w:rsidRDefault="00A8587B" w:rsidP="007C7AE3">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Total</w:t>
            </w:r>
          </w:p>
        </w:tc>
      </w:tr>
      <w:tr w:rsidR="00A8587B" w14:paraId="674D0D0C" w14:textId="77777777" w:rsidTr="007C7AE3">
        <w:trPr>
          <w:trHeight w:val="421"/>
          <w:jc w:val="center"/>
        </w:trPr>
        <w:tc>
          <w:tcPr>
            <w:tcW w:w="1077" w:type="dxa"/>
            <w:tcBorders>
              <w:top w:val="single" w:sz="4" w:space="0" w:color="auto"/>
              <w:left w:val="nil"/>
              <w:bottom w:val="single" w:sz="4" w:space="0" w:color="auto"/>
              <w:right w:val="nil"/>
            </w:tcBorders>
            <w:vAlign w:val="center"/>
          </w:tcPr>
          <w:p w14:paraId="04C7ACA7" w14:textId="77777777" w:rsidR="00A8587B" w:rsidRPr="00455CBF" w:rsidRDefault="00A8587B" w:rsidP="007C7AE3">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Positivo</w:t>
            </w:r>
          </w:p>
        </w:tc>
        <w:tc>
          <w:tcPr>
            <w:tcW w:w="1015" w:type="dxa"/>
            <w:tcBorders>
              <w:top w:val="single" w:sz="4" w:space="0" w:color="auto"/>
              <w:left w:val="nil"/>
              <w:bottom w:val="single" w:sz="4" w:space="0" w:color="auto"/>
              <w:right w:val="nil"/>
            </w:tcBorders>
            <w:vAlign w:val="center"/>
          </w:tcPr>
          <w:p w14:paraId="7B373431" w14:textId="77777777" w:rsidR="00A8587B" w:rsidRPr="00455CBF" w:rsidRDefault="00A8587B" w:rsidP="007C7AE3">
            <w:pPr>
              <w:spacing w:line="240" w:lineRule="auto"/>
              <w:jc w:val="center"/>
              <w:rPr>
                <w:rFonts w:eastAsia="Times New Roman" w:cs="Arial"/>
                <w:color w:val="000000"/>
                <w:sz w:val="20"/>
                <w:szCs w:val="20"/>
              </w:rPr>
            </w:pPr>
            <w:r>
              <w:rPr>
                <w:rFonts w:eastAsia="Times New Roman" w:cs="Arial"/>
                <w:color w:val="000000"/>
                <w:sz w:val="20"/>
                <w:szCs w:val="20"/>
              </w:rPr>
              <w:t>72</w:t>
            </w:r>
          </w:p>
        </w:tc>
        <w:tc>
          <w:tcPr>
            <w:tcW w:w="1061" w:type="dxa"/>
            <w:tcBorders>
              <w:top w:val="single" w:sz="4" w:space="0" w:color="auto"/>
              <w:left w:val="nil"/>
              <w:bottom w:val="single" w:sz="4" w:space="0" w:color="auto"/>
              <w:right w:val="nil"/>
            </w:tcBorders>
            <w:vAlign w:val="center"/>
          </w:tcPr>
          <w:p w14:paraId="0FDA3E7B" w14:textId="77777777" w:rsidR="00A8587B" w:rsidRPr="00455CBF" w:rsidRDefault="00A8587B" w:rsidP="007C7AE3">
            <w:pPr>
              <w:spacing w:line="240" w:lineRule="auto"/>
              <w:jc w:val="center"/>
              <w:rPr>
                <w:rFonts w:eastAsia="Times New Roman" w:cs="Arial"/>
                <w:color w:val="000000"/>
                <w:sz w:val="20"/>
                <w:szCs w:val="20"/>
              </w:rPr>
            </w:pPr>
            <w:r>
              <w:rPr>
                <w:rFonts w:eastAsia="Times New Roman" w:cs="Arial"/>
                <w:color w:val="000000"/>
                <w:sz w:val="20"/>
                <w:szCs w:val="20"/>
              </w:rPr>
              <w:t>57</w:t>
            </w:r>
          </w:p>
        </w:tc>
        <w:tc>
          <w:tcPr>
            <w:tcW w:w="745" w:type="dxa"/>
            <w:tcBorders>
              <w:top w:val="single" w:sz="4" w:space="0" w:color="auto"/>
              <w:left w:val="nil"/>
              <w:bottom w:val="single" w:sz="4" w:space="0" w:color="auto"/>
              <w:right w:val="nil"/>
            </w:tcBorders>
            <w:vAlign w:val="center"/>
          </w:tcPr>
          <w:p w14:paraId="429B9FC4" w14:textId="77777777" w:rsidR="00A8587B" w:rsidRPr="00455CBF" w:rsidRDefault="00A8587B" w:rsidP="007C7AE3">
            <w:pPr>
              <w:spacing w:line="240" w:lineRule="auto"/>
              <w:jc w:val="center"/>
              <w:rPr>
                <w:rFonts w:eastAsia="Times New Roman" w:cs="Arial"/>
                <w:color w:val="000000"/>
                <w:sz w:val="20"/>
                <w:szCs w:val="20"/>
              </w:rPr>
            </w:pPr>
            <w:r>
              <w:rPr>
                <w:rFonts w:eastAsia="Times New Roman" w:cs="Arial"/>
                <w:color w:val="000000"/>
                <w:sz w:val="20"/>
                <w:szCs w:val="20"/>
              </w:rPr>
              <w:t>129</w:t>
            </w:r>
          </w:p>
        </w:tc>
      </w:tr>
      <w:tr w:rsidR="00A8587B" w14:paraId="55E0B2F3" w14:textId="77777777" w:rsidTr="007C7AE3">
        <w:trPr>
          <w:trHeight w:val="414"/>
          <w:jc w:val="center"/>
        </w:trPr>
        <w:tc>
          <w:tcPr>
            <w:tcW w:w="1077" w:type="dxa"/>
            <w:tcBorders>
              <w:top w:val="single" w:sz="4" w:space="0" w:color="auto"/>
              <w:left w:val="nil"/>
              <w:bottom w:val="single" w:sz="4" w:space="0" w:color="auto"/>
              <w:right w:val="nil"/>
            </w:tcBorders>
            <w:vAlign w:val="center"/>
          </w:tcPr>
          <w:p w14:paraId="11FA8650" w14:textId="77777777" w:rsidR="00A8587B" w:rsidRPr="00455CBF" w:rsidRDefault="00A8587B" w:rsidP="007C7AE3">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Negativo</w:t>
            </w:r>
          </w:p>
        </w:tc>
        <w:tc>
          <w:tcPr>
            <w:tcW w:w="1015" w:type="dxa"/>
            <w:tcBorders>
              <w:top w:val="single" w:sz="4" w:space="0" w:color="auto"/>
              <w:left w:val="nil"/>
              <w:bottom w:val="single" w:sz="4" w:space="0" w:color="auto"/>
              <w:right w:val="nil"/>
            </w:tcBorders>
            <w:vAlign w:val="center"/>
          </w:tcPr>
          <w:p w14:paraId="52FF75B1" w14:textId="77777777" w:rsidR="00A8587B" w:rsidRPr="00455CBF" w:rsidRDefault="00A8587B" w:rsidP="007C7AE3">
            <w:pPr>
              <w:spacing w:line="240" w:lineRule="auto"/>
              <w:jc w:val="center"/>
              <w:rPr>
                <w:rFonts w:eastAsia="Times New Roman" w:cs="Arial"/>
                <w:color w:val="000000"/>
                <w:sz w:val="20"/>
                <w:szCs w:val="20"/>
              </w:rPr>
            </w:pPr>
            <w:r>
              <w:rPr>
                <w:rFonts w:eastAsia="Times New Roman" w:cs="Arial"/>
                <w:color w:val="000000"/>
                <w:sz w:val="20"/>
                <w:szCs w:val="20"/>
              </w:rPr>
              <w:t>104</w:t>
            </w:r>
          </w:p>
        </w:tc>
        <w:tc>
          <w:tcPr>
            <w:tcW w:w="1061" w:type="dxa"/>
            <w:tcBorders>
              <w:top w:val="single" w:sz="4" w:space="0" w:color="auto"/>
              <w:left w:val="nil"/>
              <w:bottom w:val="single" w:sz="4" w:space="0" w:color="auto"/>
              <w:right w:val="nil"/>
            </w:tcBorders>
            <w:vAlign w:val="center"/>
          </w:tcPr>
          <w:p w14:paraId="2D52DDD8" w14:textId="77777777" w:rsidR="00A8587B" w:rsidRPr="00455CBF" w:rsidRDefault="00A8587B" w:rsidP="007C7AE3">
            <w:pPr>
              <w:spacing w:line="240" w:lineRule="auto"/>
              <w:jc w:val="center"/>
              <w:rPr>
                <w:rFonts w:eastAsia="Times New Roman" w:cs="Arial"/>
                <w:color w:val="000000"/>
                <w:sz w:val="20"/>
                <w:szCs w:val="20"/>
              </w:rPr>
            </w:pPr>
            <w:r>
              <w:rPr>
                <w:rFonts w:eastAsia="Times New Roman" w:cs="Arial"/>
                <w:color w:val="000000"/>
                <w:sz w:val="20"/>
                <w:szCs w:val="20"/>
              </w:rPr>
              <w:t>119</w:t>
            </w:r>
          </w:p>
        </w:tc>
        <w:tc>
          <w:tcPr>
            <w:tcW w:w="745" w:type="dxa"/>
            <w:tcBorders>
              <w:top w:val="single" w:sz="4" w:space="0" w:color="auto"/>
              <w:left w:val="nil"/>
              <w:bottom w:val="single" w:sz="4" w:space="0" w:color="auto"/>
              <w:right w:val="nil"/>
            </w:tcBorders>
            <w:vAlign w:val="center"/>
          </w:tcPr>
          <w:p w14:paraId="5F157970" w14:textId="77777777" w:rsidR="00A8587B" w:rsidRPr="00455CBF" w:rsidRDefault="00A8587B" w:rsidP="007C7AE3">
            <w:pPr>
              <w:spacing w:line="240" w:lineRule="auto"/>
              <w:jc w:val="center"/>
              <w:rPr>
                <w:rFonts w:eastAsia="Times New Roman" w:cs="Arial"/>
                <w:color w:val="000000"/>
                <w:sz w:val="20"/>
                <w:szCs w:val="20"/>
              </w:rPr>
            </w:pPr>
            <w:r>
              <w:rPr>
                <w:rFonts w:eastAsia="Times New Roman" w:cs="Arial"/>
                <w:color w:val="000000"/>
                <w:sz w:val="20"/>
                <w:szCs w:val="20"/>
              </w:rPr>
              <w:t>223</w:t>
            </w:r>
          </w:p>
        </w:tc>
      </w:tr>
      <w:tr w:rsidR="00A8587B" w14:paraId="148AC87D" w14:textId="77777777" w:rsidTr="007C7AE3">
        <w:trPr>
          <w:trHeight w:val="419"/>
          <w:jc w:val="center"/>
        </w:trPr>
        <w:tc>
          <w:tcPr>
            <w:tcW w:w="1077" w:type="dxa"/>
            <w:tcBorders>
              <w:top w:val="single" w:sz="4" w:space="0" w:color="auto"/>
              <w:left w:val="nil"/>
              <w:bottom w:val="double" w:sz="4" w:space="0" w:color="auto"/>
              <w:right w:val="nil"/>
            </w:tcBorders>
            <w:vAlign w:val="center"/>
          </w:tcPr>
          <w:p w14:paraId="283DF862" w14:textId="77777777" w:rsidR="00A8587B" w:rsidRPr="00455CBF" w:rsidRDefault="00A8587B" w:rsidP="007C7AE3">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Total</w:t>
            </w:r>
          </w:p>
        </w:tc>
        <w:tc>
          <w:tcPr>
            <w:tcW w:w="1015" w:type="dxa"/>
            <w:tcBorders>
              <w:top w:val="single" w:sz="4" w:space="0" w:color="auto"/>
              <w:left w:val="nil"/>
              <w:bottom w:val="double" w:sz="4" w:space="0" w:color="auto"/>
              <w:right w:val="nil"/>
            </w:tcBorders>
            <w:vAlign w:val="center"/>
          </w:tcPr>
          <w:p w14:paraId="6C6E94DA" w14:textId="77777777" w:rsidR="00A8587B" w:rsidRPr="00455CBF" w:rsidRDefault="00A8587B" w:rsidP="007C7AE3">
            <w:pPr>
              <w:spacing w:line="240" w:lineRule="auto"/>
              <w:jc w:val="center"/>
              <w:rPr>
                <w:rFonts w:eastAsia="Times New Roman" w:cs="Arial"/>
                <w:color w:val="000000"/>
                <w:sz w:val="20"/>
                <w:szCs w:val="20"/>
              </w:rPr>
            </w:pPr>
            <w:r>
              <w:rPr>
                <w:rFonts w:eastAsia="Times New Roman" w:cs="Arial"/>
                <w:color w:val="000000"/>
                <w:sz w:val="20"/>
                <w:szCs w:val="20"/>
              </w:rPr>
              <w:t>176</w:t>
            </w:r>
          </w:p>
        </w:tc>
        <w:tc>
          <w:tcPr>
            <w:tcW w:w="1061" w:type="dxa"/>
            <w:tcBorders>
              <w:top w:val="single" w:sz="4" w:space="0" w:color="auto"/>
              <w:left w:val="nil"/>
              <w:bottom w:val="double" w:sz="4" w:space="0" w:color="auto"/>
              <w:right w:val="nil"/>
            </w:tcBorders>
            <w:vAlign w:val="center"/>
          </w:tcPr>
          <w:p w14:paraId="69515372" w14:textId="77777777" w:rsidR="00A8587B" w:rsidRPr="00455CBF" w:rsidRDefault="00A8587B" w:rsidP="007C7AE3">
            <w:pPr>
              <w:spacing w:line="240" w:lineRule="auto"/>
              <w:jc w:val="center"/>
              <w:rPr>
                <w:rFonts w:eastAsia="Times New Roman" w:cs="Arial"/>
                <w:color w:val="000000"/>
                <w:sz w:val="20"/>
                <w:szCs w:val="20"/>
              </w:rPr>
            </w:pPr>
            <w:r>
              <w:rPr>
                <w:rFonts w:eastAsia="Times New Roman" w:cs="Arial"/>
                <w:color w:val="000000"/>
                <w:sz w:val="20"/>
                <w:szCs w:val="20"/>
              </w:rPr>
              <w:t>176</w:t>
            </w:r>
          </w:p>
        </w:tc>
        <w:tc>
          <w:tcPr>
            <w:tcW w:w="745" w:type="dxa"/>
            <w:tcBorders>
              <w:top w:val="single" w:sz="4" w:space="0" w:color="auto"/>
              <w:left w:val="nil"/>
              <w:bottom w:val="double" w:sz="4" w:space="0" w:color="auto"/>
              <w:right w:val="nil"/>
            </w:tcBorders>
            <w:vAlign w:val="center"/>
          </w:tcPr>
          <w:p w14:paraId="6FFB3E1D" w14:textId="77777777" w:rsidR="00A8587B" w:rsidRPr="00455CBF" w:rsidRDefault="00A8587B" w:rsidP="007C7AE3">
            <w:pPr>
              <w:spacing w:line="240" w:lineRule="auto"/>
              <w:jc w:val="center"/>
              <w:rPr>
                <w:rFonts w:eastAsia="Times New Roman" w:cs="Arial"/>
                <w:color w:val="000000"/>
                <w:sz w:val="20"/>
                <w:szCs w:val="20"/>
              </w:rPr>
            </w:pPr>
            <w:r>
              <w:rPr>
                <w:rFonts w:eastAsia="Times New Roman" w:cs="Arial"/>
                <w:color w:val="000000"/>
                <w:sz w:val="20"/>
                <w:szCs w:val="20"/>
              </w:rPr>
              <w:t>352*</w:t>
            </w:r>
          </w:p>
        </w:tc>
      </w:tr>
      <w:tr w:rsidR="00A8587B" w14:paraId="6DA6DE7B" w14:textId="77777777" w:rsidTr="007C7AE3">
        <w:trPr>
          <w:trHeight w:val="305"/>
          <w:jc w:val="center"/>
        </w:trPr>
        <w:tc>
          <w:tcPr>
            <w:tcW w:w="3898" w:type="dxa"/>
            <w:gridSpan w:val="4"/>
            <w:tcBorders>
              <w:top w:val="double" w:sz="4" w:space="0" w:color="auto"/>
              <w:left w:val="nil"/>
              <w:bottom w:val="nil"/>
              <w:right w:val="nil"/>
            </w:tcBorders>
            <w:vAlign w:val="center"/>
          </w:tcPr>
          <w:p w14:paraId="2B3A10E5" w14:textId="77777777" w:rsidR="00A8587B" w:rsidRDefault="00A8587B" w:rsidP="007C7AE3">
            <w:pPr>
              <w:spacing w:line="240" w:lineRule="auto"/>
              <w:jc w:val="left"/>
              <w:rPr>
                <w:rFonts w:eastAsia="Times New Roman" w:cs="Arial"/>
                <w:color w:val="000000"/>
                <w:sz w:val="20"/>
                <w:szCs w:val="20"/>
              </w:rPr>
            </w:pPr>
            <w:r w:rsidRPr="009302D4">
              <w:rPr>
                <w:rFonts w:eastAsia="Times New Roman" w:cs="Arial"/>
                <w:b/>
                <w:bCs/>
                <w:color w:val="000000"/>
                <w:sz w:val="20"/>
                <w:szCs w:val="20"/>
              </w:rPr>
              <w:t>Sensibilidade = 0,</w:t>
            </w:r>
            <w:r>
              <w:rPr>
                <w:rFonts w:eastAsia="Times New Roman" w:cs="Arial"/>
                <w:b/>
                <w:bCs/>
                <w:color w:val="000000"/>
                <w:sz w:val="20"/>
                <w:szCs w:val="20"/>
              </w:rPr>
              <w:t>41</w:t>
            </w:r>
            <w:r w:rsidRPr="009302D4">
              <w:rPr>
                <w:rFonts w:eastAsia="Times New Roman" w:cs="Arial"/>
                <w:b/>
                <w:bCs/>
                <w:color w:val="000000"/>
                <w:sz w:val="20"/>
                <w:szCs w:val="20"/>
              </w:rPr>
              <w:t xml:space="preserve"> (XX – XX)</w:t>
            </w:r>
          </w:p>
        </w:tc>
      </w:tr>
      <w:tr w:rsidR="00A8587B" w14:paraId="0970F5E4" w14:textId="77777777" w:rsidTr="007C7AE3">
        <w:trPr>
          <w:trHeight w:val="292"/>
          <w:jc w:val="center"/>
        </w:trPr>
        <w:tc>
          <w:tcPr>
            <w:tcW w:w="3898" w:type="dxa"/>
            <w:gridSpan w:val="4"/>
            <w:tcBorders>
              <w:top w:val="nil"/>
              <w:left w:val="nil"/>
              <w:bottom w:val="nil"/>
              <w:right w:val="nil"/>
            </w:tcBorders>
            <w:vAlign w:val="center"/>
          </w:tcPr>
          <w:p w14:paraId="35B204DA" w14:textId="77777777" w:rsidR="00A8587B" w:rsidRDefault="00A8587B" w:rsidP="007C7AE3">
            <w:pPr>
              <w:spacing w:line="240" w:lineRule="auto"/>
              <w:jc w:val="left"/>
              <w:rPr>
                <w:rFonts w:eastAsia="Times New Roman" w:cs="Arial"/>
                <w:color w:val="000000"/>
                <w:sz w:val="20"/>
                <w:szCs w:val="20"/>
              </w:rPr>
            </w:pPr>
            <w:r w:rsidRPr="009302D4">
              <w:rPr>
                <w:rFonts w:eastAsia="Times New Roman" w:cs="Arial"/>
                <w:b/>
                <w:bCs/>
                <w:color w:val="000000"/>
                <w:sz w:val="20"/>
                <w:szCs w:val="20"/>
              </w:rPr>
              <w:t>Especificidade = 0,</w:t>
            </w:r>
            <w:r>
              <w:rPr>
                <w:rFonts w:eastAsia="Times New Roman" w:cs="Arial"/>
                <w:b/>
                <w:bCs/>
                <w:color w:val="000000"/>
                <w:sz w:val="20"/>
                <w:szCs w:val="20"/>
              </w:rPr>
              <w:t>68</w:t>
            </w:r>
            <w:r w:rsidRPr="009302D4">
              <w:rPr>
                <w:rFonts w:eastAsia="Times New Roman" w:cs="Arial"/>
                <w:b/>
                <w:bCs/>
                <w:color w:val="000000"/>
                <w:sz w:val="20"/>
                <w:szCs w:val="20"/>
              </w:rPr>
              <w:t xml:space="preserve"> (XX – XX)</w:t>
            </w:r>
          </w:p>
        </w:tc>
      </w:tr>
      <w:tr w:rsidR="00A8587B" w14:paraId="0A8D5A89" w14:textId="77777777" w:rsidTr="007C7AE3">
        <w:trPr>
          <w:trHeight w:val="281"/>
          <w:jc w:val="center"/>
        </w:trPr>
        <w:tc>
          <w:tcPr>
            <w:tcW w:w="3898" w:type="dxa"/>
            <w:gridSpan w:val="4"/>
            <w:tcBorders>
              <w:top w:val="nil"/>
              <w:left w:val="nil"/>
              <w:bottom w:val="double" w:sz="4" w:space="0" w:color="auto"/>
              <w:right w:val="nil"/>
            </w:tcBorders>
            <w:vAlign w:val="center"/>
          </w:tcPr>
          <w:p w14:paraId="4D95E55F" w14:textId="77777777" w:rsidR="00A8587B" w:rsidRDefault="00A8587B" w:rsidP="007C7AE3">
            <w:pPr>
              <w:spacing w:line="240" w:lineRule="auto"/>
              <w:jc w:val="left"/>
              <w:rPr>
                <w:rFonts w:eastAsia="Times New Roman" w:cs="Arial"/>
                <w:color w:val="000000"/>
                <w:sz w:val="20"/>
                <w:szCs w:val="20"/>
              </w:rPr>
            </w:pPr>
            <w:r w:rsidRPr="009302D4">
              <w:rPr>
                <w:rFonts w:eastAsia="Times New Roman" w:cs="Arial"/>
                <w:b/>
                <w:bCs/>
                <w:color w:val="000000"/>
                <w:sz w:val="20"/>
                <w:szCs w:val="20"/>
              </w:rPr>
              <w:t>Acurácia = 0,</w:t>
            </w:r>
            <w:r>
              <w:rPr>
                <w:rFonts w:eastAsia="Times New Roman" w:cs="Arial"/>
                <w:b/>
                <w:bCs/>
                <w:color w:val="000000"/>
                <w:sz w:val="20"/>
                <w:szCs w:val="20"/>
              </w:rPr>
              <w:t>54</w:t>
            </w:r>
            <w:r w:rsidRPr="009302D4">
              <w:rPr>
                <w:rFonts w:eastAsia="Times New Roman" w:cs="Arial"/>
                <w:b/>
                <w:bCs/>
                <w:color w:val="000000"/>
                <w:sz w:val="20"/>
                <w:szCs w:val="20"/>
              </w:rPr>
              <w:t xml:space="preserve"> (XX – XX)</w:t>
            </w:r>
          </w:p>
        </w:tc>
      </w:tr>
    </w:tbl>
    <w:p w14:paraId="6BD6F842" w14:textId="77777777" w:rsidR="00A8587B" w:rsidRPr="00A8587B" w:rsidRDefault="00A8587B" w:rsidP="00A8587B">
      <w:pPr>
        <w:spacing w:line="240" w:lineRule="auto"/>
        <w:rPr>
          <w:sz w:val="20"/>
          <w:szCs w:val="20"/>
        </w:rPr>
      </w:pPr>
      <w:r w:rsidRPr="00A8587B">
        <w:rPr>
          <w:sz w:val="20"/>
          <w:szCs w:val="20"/>
        </w:rPr>
        <w:t>*352 = 223 eventos adversos identificados em 92 internações + 119 internações sem eventos adversos identificados</w:t>
      </w:r>
    </w:p>
    <w:p w14:paraId="4FC2D7E6" w14:textId="0570584B" w:rsidR="00F20D8A" w:rsidRDefault="00F20D8A" w:rsidP="006F13CB">
      <w:pPr>
        <w:pStyle w:val="Legenda"/>
        <w:keepNext/>
        <w:spacing w:after="0"/>
      </w:pPr>
      <w:r w:rsidRPr="002302FF">
        <w:t xml:space="preserve">Acurácia do </w:t>
      </w:r>
      <w:r w:rsidRPr="006F13CB">
        <w:rPr>
          <w:i/>
          <w:iCs/>
        </w:rPr>
        <w:t>GTT</w:t>
      </w:r>
      <w:r w:rsidRPr="002302FF">
        <w:t xml:space="preserve"> para identificação de eventos adversos de classificação F-I de gravidade de dano quanto </w:t>
      </w:r>
      <w:r w:rsidR="002E5419">
        <w:t>aos eventos individuais</w:t>
      </w:r>
    </w:p>
    <w:tbl>
      <w:tblPr>
        <w:tblStyle w:val="Tabelacomgrade"/>
        <w:tblW w:w="0" w:type="auto"/>
        <w:jc w:val="center"/>
        <w:tblLook w:val="04A0" w:firstRow="1" w:lastRow="0" w:firstColumn="1" w:lastColumn="0" w:noHBand="0" w:noVBand="1"/>
      </w:tblPr>
      <w:tblGrid>
        <w:gridCol w:w="1077"/>
        <w:gridCol w:w="1015"/>
        <w:gridCol w:w="1061"/>
        <w:gridCol w:w="745"/>
      </w:tblGrid>
      <w:tr w:rsidR="00EA18BE" w14:paraId="4132EE4E" w14:textId="77777777" w:rsidTr="00F20D8A">
        <w:trPr>
          <w:trHeight w:val="351"/>
          <w:jc w:val="center"/>
        </w:trPr>
        <w:tc>
          <w:tcPr>
            <w:tcW w:w="1077" w:type="dxa"/>
            <w:vMerge w:val="restart"/>
            <w:tcBorders>
              <w:top w:val="double" w:sz="4" w:space="0" w:color="auto"/>
              <w:left w:val="nil"/>
              <w:bottom w:val="nil"/>
              <w:right w:val="nil"/>
            </w:tcBorders>
            <w:vAlign w:val="center"/>
          </w:tcPr>
          <w:p w14:paraId="72C4FDE3" w14:textId="04F94E03" w:rsidR="00EA18BE" w:rsidRPr="009302D4" w:rsidRDefault="00EA18BE" w:rsidP="007E406E">
            <w:pPr>
              <w:spacing w:line="240" w:lineRule="auto"/>
              <w:jc w:val="center"/>
              <w:rPr>
                <w:rFonts w:eastAsia="Times New Roman" w:cs="Arial"/>
                <w:b/>
                <w:bCs/>
                <w:i/>
                <w:iCs/>
                <w:color w:val="000000"/>
                <w:sz w:val="20"/>
                <w:szCs w:val="20"/>
              </w:rPr>
            </w:pPr>
            <w:r w:rsidRPr="009302D4">
              <w:rPr>
                <w:rFonts w:eastAsia="Times New Roman" w:cs="Arial"/>
                <w:b/>
                <w:bCs/>
                <w:i/>
                <w:iCs/>
                <w:color w:val="000000"/>
                <w:sz w:val="20"/>
                <w:szCs w:val="20"/>
              </w:rPr>
              <w:t>GTT</w:t>
            </w:r>
          </w:p>
        </w:tc>
        <w:tc>
          <w:tcPr>
            <w:tcW w:w="2821" w:type="dxa"/>
            <w:gridSpan w:val="3"/>
            <w:tcBorders>
              <w:top w:val="double" w:sz="4" w:space="0" w:color="auto"/>
              <w:left w:val="nil"/>
              <w:bottom w:val="single" w:sz="4" w:space="0" w:color="auto"/>
              <w:right w:val="nil"/>
            </w:tcBorders>
            <w:vAlign w:val="center"/>
          </w:tcPr>
          <w:p w14:paraId="0A4CD924" w14:textId="77777777" w:rsidR="00EA18BE" w:rsidRPr="00455CBF" w:rsidRDefault="00EA18BE" w:rsidP="007E406E">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Padrão Referência</w:t>
            </w:r>
          </w:p>
        </w:tc>
      </w:tr>
      <w:tr w:rsidR="00EA18BE" w14:paraId="787E8658" w14:textId="77777777" w:rsidTr="00F20D8A">
        <w:trPr>
          <w:trHeight w:val="413"/>
          <w:jc w:val="center"/>
        </w:trPr>
        <w:tc>
          <w:tcPr>
            <w:tcW w:w="1077" w:type="dxa"/>
            <w:vMerge/>
            <w:tcBorders>
              <w:top w:val="nil"/>
              <w:left w:val="nil"/>
              <w:bottom w:val="single" w:sz="4" w:space="0" w:color="auto"/>
              <w:right w:val="nil"/>
            </w:tcBorders>
            <w:vAlign w:val="center"/>
          </w:tcPr>
          <w:p w14:paraId="59ECF0F7" w14:textId="77777777" w:rsidR="00EA18BE" w:rsidRPr="00455CBF" w:rsidRDefault="00EA18BE" w:rsidP="007E406E">
            <w:pPr>
              <w:spacing w:line="240" w:lineRule="auto"/>
              <w:jc w:val="center"/>
              <w:rPr>
                <w:rFonts w:eastAsia="Times New Roman" w:cs="Arial"/>
                <w:b/>
                <w:bCs/>
                <w:color w:val="000000"/>
                <w:sz w:val="20"/>
                <w:szCs w:val="20"/>
              </w:rPr>
            </w:pPr>
          </w:p>
        </w:tc>
        <w:tc>
          <w:tcPr>
            <w:tcW w:w="1015" w:type="dxa"/>
            <w:tcBorders>
              <w:top w:val="single" w:sz="4" w:space="0" w:color="auto"/>
              <w:left w:val="nil"/>
              <w:bottom w:val="single" w:sz="4" w:space="0" w:color="auto"/>
              <w:right w:val="nil"/>
            </w:tcBorders>
            <w:vAlign w:val="center"/>
          </w:tcPr>
          <w:p w14:paraId="71E50A45" w14:textId="77777777" w:rsidR="00EA18BE" w:rsidRPr="00455CBF" w:rsidRDefault="00EA18BE" w:rsidP="007E406E">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Positivo</w:t>
            </w:r>
          </w:p>
        </w:tc>
        <w:tc>
          <w:tcPr>
            <w:tcW w:w="1061" w:type="dxa"/>
            <w:tcBorders>
              <w:top w:val="single" w:sz="4" w:space="0" w:color="auto"/>
              <w:left w:val="nil"/>
              <w:bottom w:val="single" w:sz="4" w:space="0" w:color="auto"/>
              <w:right w:val="nil"/>
            </w:tcBorders>
            <w:vAlign w:val="center"/>
          </w:tcPr>
          <w:p w14:paraId="7AC7F166" w14:textId="77777777" w:rsidR="00EA18BE" w:rsidRPr="00455CBF" w:rsidRDefault="00EA18BE" w:rsidP="007E406E">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Negativo</w:t>
            </w:r>
          </w:p>
        </w:tc>
        <w:tc>
          <w:tcPr>
            <w:tcW w:w="745" w:type="dxa"/>
            <w:tcBorders>
              <w:top w:val="single" w:sz="4" w:space="0" w:color="auto"/>
              <w:left w:val="nil"/>
              <w:bottom w:val="single" w:sz="4" w:space="0" w:color="auto"/>
              <w:right w:val="nil"/>
            </w:tcBorders>
            <w:vAlign w:val="center"/>
          </w:tcPr>
          <w:p w14:paraId="6384CB77" w14:textId="77777777" w:rsidR="00EA18BE" w:rsidRPr="00455CBF" w:rsidRDefault="00EA18BE" w:rsidP="007E406E">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Total</w:t>
            </w:r>
          </w:p>
        </w:tc>
      </w:tr>
      <w:tr w:rsidR="00EA18BE" w14:paraId="4D7E61C3" w14:textId="77777777" w:rsidTr="00F20D8A">
        <w:trPr>
          <w:trHeight w:val="421"/>
          <w:jc w:val="center"/>
        </w:trPr>
        <w:tc>
          <w:tcPr>
            <w:tcW w:w="1077" w:type="dxa"/>
            <w:tcBorders>
              <w:top w:val="single" w:sz="4" w:space="0" w:color="auto"/>
              <w:left w:val="nil"/>
              <w:bottom w:val="single" w:sz="4" w:space="0" w:color="auto"/>
              <w:right w:val="nil"/>
            </w:tcBorders>
            <w:vAlign w:val="center"/>
          </w:tcPr>
          <w:p w14:paraId="28F4D050" w14:textId="77777777" w:rsidR="00EA18BE" w:rsidRPr="00455CBF" w:rsidRDefault="00EA18BE" w:rsidP="007E406E">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Positivo</w:t>
            </w:r>
          </w:p>
        </w:tc>
        <w:tc>
          <w:tcPr>
            <w:tcW w:w="1015" w:type="dxa"/>
            <w:tcBorders>
              <w:top w:val="single" w:sz="4" w:space="0" w:color="auto"/>
              <w:left w:val="nil"/>
              <w:bottom w:val="single" w:sz="4" w:space="0" w:color="auto"/>
              <w:right w:val="nil"/>
            </w:tcBorders>
            <w:vAlign w:val="center"/>
          </w:tcPr>
          <w:p w14:paraId="52E847BB" w14:textId="250CB364" w:rsidR="00EA18BE" w:rsidRPr="00455CBF" w:rsidRDefault="00EA18BE" w:rsidP="007E406E">
            <w:pPr>
              <w:spacing w:line="240" w:lineRule="auto"/>
              <w:jc w:val="center"/>
              <w:rPr>
                <w:rFonts w:eastAsia="Times New Roman" w:cs="Arial"/>
                <w:color w:val="000000"/>
                <w:sz w:val="20"/>
                <w:szCs w:val="20"/>
              </w:rPr>
            </w:pPr>
            <w:r>
              <w:rPr>
                <w:rFonts w:eastAsia="Times New Roman" w:cs="Arial"/>
                <w:color w:val="000000"/>
                <w:sz w:val="20"/>
                <w:szCs w:val="20"/>
              </w:rPr>
              <w:t>44</w:t>
            </w:r>
          </w:p>
        </w:tc>
        <w:tc>
          <w:tcPr>
            <w:tcW w:w="1061" w:type="dxa"/>
            <w:tcBorders>
              <w:top w:val="single" w:sz="4" w:space="0" w:color="auto"/>
              <w:left w:val="nil"/>
              <w:bottom w:val="single" w:sz="4" w:space="0" w:color="auto"/>
              <w:right w:val="nil"/>
            </w:tcBorders>
            <w:vAlign w:val="center"/>
          </w:tcPr>
          <w:p w14:paraId="3414B364" w14:textId="1858E036" w:rsidR="00EA18BE" w:rsidRPr="00455CBF" w:rsidRDefault="00EA18BE" w:rsidP="007E406E">
            <w:pPr>
              <w:spacing w:line="240" w:lineRule="auto"/>
              <w:jc w:val="center"/>
              <w:rPr>
                <w:rFonts w:eastAsia="Times New Roman" w:cs="Arial"/>
                <w:color w:val="000000"/>
                <w:sz w:val="20"/>
                <w:szCs w:val="20"/>
              </w:rPr>
            </w:pPr>
            <w:r>
              <w:rPr>
                <w:rFonts w:eastAsia="Times New Roman" w:cs="Arial"/>
                <w:color w:val="000000"/>
                <w:sz w:val="20"/>
                <w:szCs w:val="20"/>
              </w:rPr>
              <w:t>21</w:t>
            </w:r>
          </w:p>
        </w:tc>
        <w:tc>
          <w:tcPr>
            <w:tcW w:w="745" w:type="dxa"/>
            <w:tcBorders>
              <w:top w:val="single" w:sz="4" w:space="0" w:color="auto"/>
              <w:left w:val="nil"/>
              <w:bottom w:val="single" w:sz="4" w:space="0" w:color="auto"/>
              <w:right w:val="nil"/>
            </w:tcBorders>
            <w:vAlign w:val="center"/>
          </w:tcPr>
          <w:p w14:paraId="1932D0BB" w14:textId="44CC0A39" w:rsidR="00EA18BE" w:rsidRPr="00455CBF" w:rsidRDefault="00EA18BE" w:rsidP="007E406E">
            <w:pPr>
              <w:spacing w:line="240" w:lineRule="auto"/>
              <w:jc w:val="center"/>
              <w:rPr>
                <w:rFonts w:eastAsia="Times New Roman" w:cs="Arial"/>
                <w:color w:val="000000"/>
                <w:sz w:val="20"/>
                <w:szCs w:val="20"/>
              </w:rPr>
            </w:pPr>
            <w:r>
              <w:rPr>
                <w:rFonts w:eastAsia="Times New Roman" w:cs="Arial"/>
                <w:color w:val="000000"/>
                <w:sz w:val="20"/>
                <w:szCs w:val="20"/>
              </w:rPr>
              <w:t>65</w:t>
            </w:r>
          </w:p>
        </w:tc>
      </w:tr>
      <w:tr w:rsidR="00EA18BE" w14:paraId="515FF7CE" w14:textId="77777777" w:rsidTr="00F20D8A">
        <w:trPr>
          <w:trHeight w:val="414"/>
          <w:jc w:val="center"/>
        </w:trPr>
        <w:tc>
          <w:tcPr>
            <w:tcW w:w="1077" w:type="dxa"/>
            <w:tcBorders>
              <w:top w:val="single" w:sz="4" w:space="0" w:color="auto"/>
              <w:left w:val="nil"/>
              <w:bottom w:val="single" w:sz="4" w:space="0" w:color="auto"/>
              <w:right w:val="nil"/>
            </w:tcBorders>
            <w:vAlign w:val="center"/>
          </w:tcPr>
          <w:p w14:paraId="047948CA" w14:textId="77777777" w:rsidR="00EA18BE" w:rsidRPr="00455CBF" w:rsidRDefault="00EA18BE" w:rsidP="007E406E">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Negativo</w:t>
            </w:r>
          </w:p>
        </w:tc>
        <w:tc>
          <w:tcPr>
            <w:tcW w:w="1015" w:type="dxa"/>
            <w:tcBorders>
              <w:top w:val="single" w:sz="4" w:space="0" w:color="auto"/>
              <w:left w:val="nil"/>
              <w:bottom w:val="single" w:sz="4" w:space="0" w:color="auto"/>
              <w:right w:val="nil"/>
            </w:tcBorders>
            <w:vAlign w:val="center"/>
          </w:tcPr>
          <w:p w14:paraId="3BEA23C8" w14:textId="01161135" w:rsidR="00EA18BE" w:rsidRPr="00455CBF" w:rsidRDefault="00EA18BE" w:rsidP="007E406E">
            <w:pPr>
              <w:spacing w:line="240" w:lineRule="auto"/>
              <w:jc w:val="center"/>
              <w:rPr>
                <w:rFonts w:eastAsia="Times New Roman" w:cs="Arial"/>
                <w:color w:val="000000"/>
                <w:sz w:val="20"/>
                <w:szCs w:val="20"/>
              </w:rPr>
            </w:pPr>
            <w:r>
              <w:rPr>
                <w:rFonts w:eastAsia="Times New Roman" w:cs="Arial"/>
                <w:color w:val="000000"/>
                <w:sz w:val="20"/>
                <w:szCs w:val="20"/>
              </w:rPr>
              <w:t>8</w:t>
            </w:r>
          </w:p>
        </w:tc>
        <w:tc>
          <w:tcPr>
            <w:tcW w:w="1061" w:type="dxa"/>
            <w:tcBorders>
              <w:top w:val="single" w:sz="4" w:space="0" w:color="auto"/>
              <w:left w:val="nil"/>
              <w:bottom w:val="single" w:sz="4" w:space="0" w:color="auto"/>
              <w:right w:val="nil"/>
            </w:tcBorders>
            <w:vAlign w:val="center"/>
          </w:tcPr>
          <w:p w14:paraId="206B848D" w14:textId="56F2BC1E" w:rsidR="00EA18BE" w:rsidRPr="00455CBF" w:rsidRDefault="00EA18BE" w:rsidP="007E406E">
            <w:pPr>
              <w:spacing w:line="240" w:lineRule="auto"/>
              <w:jc w:val="center"/>
              <w:rPr>
                <w:rFonts w:eastAsia="Times New Roman" w:cs="Arial"/>
                <w:color w:val="000000"/>
                <w:sz w:val="20"/>
                <w:szCs w:val="20"/>
              </w:rPr>
            </w:pPr>
            <w:r>
              <w:rPr>
                <w:rFonts w:eastAsia="Times New Roman" w:cs="Arial"/>
                <w:color w:val="000000"/>
                <w:sz w:val="20"/>
                <w:szCs w:val="20"/>
              </w:rPr>
              <w:t>153</w:t>
            </w:r>
          </w:p>
        </w:tc>
        <w:tc>
          <w:tcPr>
            <w:tcW w:w="745" w:type="dxa"/>
            <w:tcBorders>
              <w:top w:val="single" w:sz="4" w:space="0" w:color="auto"/>
              <w:left w:val="nil"/>
              <w:bottom w:val="single" w:sz="4" w:space="0" w:color="auto"/>
              <w:right w:val="nil"/>
            </w:tcBorders>
            <w:vAlign w:val="center"/>
          </w:tcPr>
          <w:p w14:paraId="57C8E758" w14:textId="4EDDD975" w:rsidR="00EA18BE" w:rsidRPr="00455CBF" w:rsidRDefault="00EA18BE" w:rsidP="007E406E">
            <w:pPr>
              <w:spacing w:line="240" w:lineRule="auto"/>
              <w:jc w:val="center"/>
              <w:rPr>
                <w:rFonts w:eastAsia="Times New Roman" w:cs="Arial"/>
                <w:color w:val="000000"/>
                <w:sz w:val="20"/>
                <w:szCs w:val="20"/>
              </w:rPr>
            </w:pPr>
            <w:r>
              <w:rPr>
                <w:rFonts w:eastAsia="Times New Roman" w:cs="Arial"/>
                <w:color w:val="000000"/>
                <w:sz w:val="20"/>
                <w:szCs w:val="20"/>
              </w:rPr>
              <w:t>161</w:t>
            </w:r>
          </w:p>
        </w:tc>
      </w:tr>
      <w:tr w:rsidR="00EA18BE" w14:paraId="6EA610E5" w14:textId="77777777" w:rsidTr="00F20D8A">
        <w:trPr>
          <w:trHeight w:val="419"/>
          <w:jc w:val="center"/>
        </w:trPr>
        <w:tc>
          <w:tcPr>
            <w:tcW w:w="1077" w:type="dxa"/>
            <w:tcBorders>
              <w:top w:val="single" w:sz="4" w:space="0" w:color="auto"/>
              <w:left w:val="nil"/>
              <w:bottom w:val="double" w:sz="4" w:space="0" w:color="auto"/>
              <w:right w:val="nil"/>
            </w:tcBorders>
            <w:vAlign w:val="center"/>
          </w:tcPr>
          <w:p w14:paraId="69B275B2" w14:textId="77777777" w:rsidR="00EA18BE" w:rsidRPr="00455CBF" w:rsidRDefault="00EA18BE" w:rsidP="007E406E">
            <w:pPr>
              <w:spacing w:line="240" w:lineRule="auto"/>
              <w:jc w:val="center"/>
              <w:rPr>
                <w:rFonts w:eastAsia="Times New Roman" w:cs="Arial"/>
                <w:b/>
                <w:bCs/>
                <w:color w:val="000000"/>
                <w:sz w:val="20"/>
                <w:szCs w:val="20"/>
              </w:rPr>
            </w:pPr>
            <w:r w:rsidRPr="00455CBF">
              <w:rPr>
                <w:rFonts w:eastAsia="Times New Roman" w:cs="Arial"/>
                <w:b/>
                <w:bCs/>
                <w:color w:val="000000"/>
                <w:sz w:val="20"/>
                <w:szCs w:val="20"/>
              </w:rPr>
              <w:t>Total</w:t>
            </w:r>
          </w:p>
        </w:tc>
        <w:tc>
          <w:tcPr>
            <w:tcW w:w="1015" w:type="dxa"/>
            <w:tcBorders>
              <w:top w:val="single" w:sz="4" w:space="0" w:color="auto"/>
              <w:left w:val="nil"/>
              <w:bottom w:val="double" w:sz="4" w:space="0" w:color="auto"/>
              <w:right w:val="nil"/>
            </w:tcBorders>
            <w:vAlign w:val="center"/>
          </w:tcPr>
          <w:p w14:paraId="7E5A2206" w14:textId="16596B79" w:rsidR="00EA18BE" w:rsidRPr="00455CBF" w:rsidRDefault="00EA18BE" w:rsidP="007E406E">
            <w:pPr>
              <w:spacing w:line="240" w:lineRule="auto"/>
              <w:jc w:val="center"/>
              <w:rPr>
                <w:rFonts w:eastAsia="Times New Roman" w:cs="Arial"/>
                <w:color w:val="000000"/>
                <w:sz w:val="20"/>
                <w:szCs w:val="20"/>
              </w:rPr>
            </w:pPr>
            <w:r>
              <w:rPr>
                <w:rFonts w:eastAsia="Times New Roman" w:cs="Arial"/>
                <w:color w:val="000000"/>
                <w:sz w:val="20"/>
                <w:szCs w:val="20"/>
              </w:rPr>
              <w:t>52</w:t>
            </w:r>
          </w:p>
        </w:tc>
        <w:tc>
          <w:tcPr>
            <w:tcW w:w="1061" w:type="dxa"/>
            <w:tcBorders>
              <w:top w:val="single" w:sz="4" w:space="0" w:color="auto"/>
              <w:left w:val="nil"/>
              <w:bottom w:val="double" w:sz="4" w:space="0" w:color="auto"/>
              <w:right w:val="nil"/>
            </w:tcBorders>
            <w:vAlign w:val="center"/>
          </w:tcPr>
          <w:p w14:paraId="62D843C1" w14:textId="70000286" w:rsidR="00EA18BE" w:rsidRPr="00455CBF" w:rsidRDefault="00EA18BE" w:rsidP="007E406E">
            <w:pPr>
              <w:spacing w:line="240" w:lineRule="auto"/>
              <w:jc w:val="center"/>
              <w:rPr>
                <w:rFonts w:eastAsia="Times New Roman" w:cs="Arial"/>
                <w:color w:val="000000"/>
                <w:sz w:val="20"/>
                <w:szCs w:val="20"/>
              </w:rPr>
            </w:pPr>
            <w:r>
              <w:rPr>
                <w:rFonts w:eastAsia="Times New Roman" w:cs="Arial"/>
                <w:color w:val="000000"/>
                <w:sz w:val="20"/>
                <w:szCs w:val="20"/>
              </w:rPr>
              <w:t>174</w:t>
            </w:r>
          </w:p>
        </w:tc>
        <w:tc>
          <w:tcPr>
            <w:tcW w:w="745" w:type="dxa"/>
            <w:tcBorders>
              <w:top w:val="single" w:sz="4" w:space="0" w:color="auto"/>
              <w:left w:val="nil"/>
              <w:bottom w:val="double" w:sz="4" w:space="0" w:color="auto"/>
              <w:right w:val="nil"/>
            </w:tcBorders>
            <w:vAlign w:val="center"/>
          </w:tcPr>
          <w:p w14:paraId="1DAC1B75" w14:textId="76843C92" w:rsidR="00EA18BE" w:rsidRPr="00455CBF" w:rsidRDefault="00EA18BE" w:rsidP="007E406E">
            <w:pPr>
              <w:spacing w:line="240" w:lineRule="auto"/>
              <w:jc w:val="center"/>
              <w:rPr>
                <w:rFonts w:eastAsia="Times New Roman" w:cs="Arial"/>
                <w:color w:val="000000"/>
                <w:sz w:val="20"/>
                <w:szCs w:val="20"/>
              </w:rPr>
            </w:pPr>
            <w:r>
              <w:rPr>
                <w:rFonts w:eastAsia="Times New Roman" w:cs="Arial"/>
                <w:color w:val="000000"/>
                <w:sz w:val="20"/>
                <w:szCs w:val="20"/>
              </w:rPr>
              <w:t>226</w:t>
            </w:r>
            <w:r w:rsidR="00A8587B">
              <w:rPr>
                <w:rFonts w:eastAsia="Times New Roman" w:cs="Arial"/>
                <w:color w:val="000000"/>
                <w:sz w:val="20"/>
                <w:szCs w:val="20"/>
              </w:rPr>
              <w:t>*</w:t>
            </w:r>
          </w:p>
        </w:tc>
      </w:tr>
      <w:tr w:rsidR="00EA18BE" w14:paraId="6C4E2862" w14:textId="77777777" w:rsidTr="00F20D8A">
        <w:trPr>
          <w:trHeight w:val="305"/>
          <w:jc w:val="center"/>
        </w:trPr>
        <w:tc>
          <w:tcPr>
            <w:tcW w:w="3898" w:type="dxa"/>
            <w:gridSpan w:val="4"/>
            <w:tcBorders>
              <w:top w:val="double" w:sz="4" w:space="0" w:color="auto"/>
              <w:left w:val="nil"/>
              <w:bottom w:val="nil"/>
              <w:right w:val="nil"/>
            </w:tcBorders>
            <w:vAlign w:val="center"/>
          </w:tcPr>
          <w:p w14:paraId="73E326A3" w14:textId="53680F1A" w:rsidR="00EA18BE" w:rsidRDefault="00EA18BE" w:rsidP="007E406E">
            <w:pPr>
              <w:spacing w:line="240" w:lineRule="auto"/>
              <w:jc w:val="left"/>
              <w:rPr>
                <w:rFonts w:eastAsia="Times New Roman" w:cs="Arial"/>
                <w:color w:val="000000"/>
                <w:sz w:val="20"/>
                <w:szCs w:val="20"/>
              </w:rPr>
            </w:pPr>
            <w:r w:rsidRPr="009302D4">
              <w:rPr>
                <w:rFonts w:eastAsia="Times New Roman" w:cs="Arial"/>
                <w:b/>
                <w:bCs/>
                <w:color w:val="000000"/>
                <w:sz w:val="20"/>
                <w:szCs w:val="20"/>
              </w:rPr>
              <w:t>Sensibilidade = 0,</w:t>
            </w:r>
            <w:r>
              <w:rPr>
                <w:rFonts w:eastAsia="Times New Roman" w:cs="Arial"/>
                <w:b/>
                <w:bCs/>
                <w:color w:val="000000"/>
                <w:sz w:val="20"/>
                <w:szCs w:val="20"/>
              </w:rPr>
              <w:t>85</w:t>
            </w:r>
            <w:r w:rsidRPr="009302D4">
              <w:rPr>
                <w:rFonts w:eastAsia="Times New Roman" w:cs="Arial"/>
                <w:b/>
                <w:bCs/>
                <w:color w:val="000000"/>
                <w:sz w:val="20"/>
                <w:szCs w:val="20"/>
              </w:rPr>
              <w:t xml:space="preserve"> (XX – XX)</w:t>
            </w:r>
          </w:p>
        </w:tc>
      </w:tr>
      <w:tr w:rsidR="00EA18BE" w14:paraId="231A029B" w14:textId="77777777" w:rsidTr="00F20D8A">
        <w:trPr>
          <w:trHeight w:val="292"/>
          <w:jc w:val="center"/>
        </w:trPr>
        <w:tc>
          <w:tcPr>
            <w:tcW w:w="3898" w:type="dxa"/>
            <w:gridSpan w:val="4"/>
            <w:tcBorders>
              <w:top w:val="nil"/>
              <w:left w:val="nil"/>
              <w:bottom w:val="nil"/>
              <w:right w:val="nil"/>
            </w:tcBorders>
            <w:vAlign w:val="center"/>
          </w:tcPr>
          <w:p w14:paraId="0D702A78" w14:textId="6CEF1075" w:rsidR="00EA18BE" w:rsidRDefault="00EA18BE" w:rsidP="007E406E">
            <w:pPr>
              <w:spacing w:line="240" w:lineRule="auto"/>
              <w:jc w:val="left"/>
              <w:rPr>
                <w:rFonts w:eastAsia="Times New Roman" w:cs="Arial"/>
                <w:color w:val="000000"/>
                <w:sz w:val="20"/>
                <w:szCs w:val="20"/>
              </w:rPr>
            </w:pPr>
            <w:r w:rsidRPr="009302D4">
              <w:rPr>
                <w:rFonts w:eastAsia="Times New Roman" w:cs="Arial"/>
                <w:b/>
                <w:bCs/>
                <w:color w:val="000000"/>
                <w:sz w:val="20"/>
                <w:szCs w:val="20"/>
              </w:rPr>
              <w:t>Especificidade = 0,8</w:t>
            </w:r>
            <w:r>
              <w:rPr>
                <w:rFonts w:eastAsia="Times New Roman" w:cs="Arial"/>
                <w:b/>
                <w:bCs/>
                <w:color w:val="000000"/>
                <w:sz w:val="20"/>
                <w:szCs w:val="20"/>
              </w:rPr>
              <w:t>8</w:t>
            </w:r>
            <w:r w:rsidRPr="009302D4">
              <w:rPr>
                <w:rFonts w:eastAsia="Times New Roman" w:cs="Arial"/>
                <w:b/>
                <w:bCs/>
                <w:color w:val="000000"/>
                <w:sz w:val="20"/>
                <w:szCs w:val="20"/>
              </w:rPr>
              <w:t xml:space="preserve"> (XX – XX)</w:t>
            </w:r>
          </w:p>
        </w:tc>
      </w:tr>
      <w:tr w:rsidR="00EA18BE" w14:paraId="0EF7E86D" w14:textId="77777777" w:rsidTr="00F20D8A">
        <w:trPr>
          <w:trHeight w:val="281"/>
          <w:jc w:val="center"/>
        </w:trPr>
        <w:tc>
          <w:tcPr>
            <w:tcW w:w="3898" w:type="dxa"/>
            <w:gridSpan w:val="4"/>
            <w:tcBorders>
              <w:top w:val="nil"/>
              <w:left w:val="nil"/>
              <w:bottom w:val="double" w:sz="4" w:space="0" w:color="auto"/>
              <w:right w:val="nil"/>
            </w:tcBorders>
            <w:vAlign w:val="center"/>
          </w:tcPr>
          <w:p w14:paraId="37E2B2F3" w14:textId="7143E855" w:rsidR="00EA18BE" w:rsidRDefault="00EA18BE" w:rsidP="007E406E">
            <w:pPr>
              <w:spacing w:line="240" w:lineRule="auto"/>
              <w:jc w:val="left"/>
              <w:rPr>
                <w:rFonts w:eastAsia="Times New Roman" w:cs="Arial"/>
                <w:color w:val="000000"/>
                <w:sz w:val="20"/>
                <w:szCs w:val="20"/>
              </w:rPr>
            </w:pPr>
            <w:r w:rsidRPr="009302D4">
              <w:rPr>
                <w:rFonts w:eastAsia="Times New Roman" w:cs="Arial"/>
                <w:b/>
                <w:bCs/>
                <w:color w:val="000000"/>
                <w:sz w:val="20"/>
                <w:szCs w:val="20"/>
              </w:rPr>
              <w:t>Acurácia = 0,8</w:t>
            </w:r>
            <w:r>
              <w:rPr>
                <w:rFonts w:eastAsia="Times New Roman" w:cs="Arial"/>
                <w:b/>
                <w:bCs/>
                <w:color w:val="000000"/>
                <w:sz w:val="20"/>
                <w:szCs w:val="20"/>
              </w:rPr>
              <w:t>7</w:t>
            </w:r>
            <w:r w:rsidRPr="009302D4">
              <w:rPr>
                <w:rFonts w:eastAsia="Times New Roman" w:cs="Arial"/>
                <w:b/>
                <w:bCs/>
                <w:color w:val="000000"/>
                <w:sz w:val="20"/>
                <w:szCs w:val="20"/>
              </w:rPr>
              <w:t xml:space="preserve"> (XX – XX)</w:t>
            </w:r>
          </w:p>
        </w:tc>
      </w:tr>
    </w:tbl>
    <w:p w14:paraId="035AFAFE" w14:textId="726321DE" w:rsidR="00A8587B" w:rsidRPr="00A8587B" w:rsidRDefault="00A8587B" w:rsidP="00A8587B">
      <w:pPr>
        <w:spacing w:line="240" w:lineRule="auto"/>
        <w:rPr>
          <w:sz w:val="20"/>
          <w:szCs w:val="20"/>
        </w:rPr>
      </w:pPr>
      <w:r>
        <w:rPr>
          <w:sz w:val="20"/>
          <w:szCs w:val="20"/>
        </w:rPr>
        <w:t>*226</w:t>
      </w:r>
      <w:r w:rsidRPr="00A8587B">
        <w:rPr>
          <w:sz w:val="20"/>
          <w:szCs w:val="20"/>
        </w:rPr>
        <w:t xml:space="preserve"> = </w:t>
      </w:r>
      <w:r>
        <w:rPr>
          <w:sz w:val="20"/>
          <w:szCs w:val="20"/>
        </w:rPr>
        <w:t xml:space="preserve">73 </w:t>
      </w:r>
      <w:r w:rsidRPr="00A8587B">
        <w:rPr>
          <w:sz w:val="20"/>
          <w:szCs w:val="20"/>
        </w:rPr>
        <w:t>eventos adversos</w:t>
      </w:r>
      <w:r>
        <w:rPr>
          <w:sz w:val="20"/>
          <w:szCs w:val="20"/>
        </w:rPr>
        <w:t xml:space="preserve"> F-I</w:t>
      </w:r>
      <w:r w:rsidRPr="00A8587B">
        <w:rPr>
          <w:sz w:val="20"/>
          <w:szCs w:val="20"/>
        </w:rPr>
        <w:t xml:space="preserve"> identificados em </w:t>
      </w:r>
      <w:r>
        <w:rPr>
          <w:sz w:val="20"/>
          <w:szCs w:val="20"/>
        </w:rPr>
        <w:t xml:space="preserve">58 </w:t>
      </w:r>
      <w:r w:rsidRPr="00A8587B">
        <w:rPr>
          <w:sz w:val="20"/>
          <w:szCs w:val="20"/>
        </w:rPr>
        <w:t>internações + 1</w:t>
      </w:r>
      <w:r>
        <w:rPr>
          <w:sz w:val="20"/>
          <w:szCs w:val="20"/>
        </w:rPr>
        <w:t>53</w:t>
      </w:r>
      <w:r w:rsidRPr="00A8587B">
        <w:rPr>
          <w:sz w:val="20"/>
          <w:szCs w:val="20"/>
        </w:rPr>
        <w:t xml:space="preserve"> internações sem eventos adversos </w:t>
      </w:r>
      <w:r>
        <w:rPr>
          <w:sz w:val="20"/>
          <w:szCs w:val="20"/>
        </w:rPr>
        <w:t xml:space="preserve">F-I </w:t>
      </w:r>
      <w:r w:rsidRPr="00A8587B">
        <w:rPr>
          <w:sz w:val="20"/>
          <w:szCs w:val="20"/>
        </w:rPr>
        <w:t>identificados</w:t>
      </w:r>
    </w:p>
    <w:p w14:paraId="561F76AF" w14:textId="32BC782C" w:rsidR="00F20D8A" w:rsidRDefault="00F20D8A" w:rsidP="005276BB">
      <w:pPr>
        <w:sectPr w:rsidR="00F20D8A" w:rsidSect="00F20D8A">
          <w:type w:val="continuous"/>
          <w:pgSz w:w="11906" w:h="16838"/>
          <w:pgMar w:top="1417" w:right="1701" w:bottom="1417" w:left="1701" w:header="708" w:footer="0" w:gutter="0"/>
          <w:cols w:num="2" w:space="708"/>
          <w:titlePg/>
          <w:docGrid w:linePitch="360"/>
        </w:sectPr>
      </w:pPr>
    </w:p>
    <w:p w14:paraId="7CEB279B" w14:textId="77777777" w:rsidR="0011194C" w:rsidRDefault="0011194C" w:rsidP="005276BB"/>
    <w:p w14:paraId="2D82B88A" w14:textId="77BFCCF3" w:rsidR="00455CBF" w:rsidRDefault="0011194C" w:rsidP="005276BB">
      <w:r>
        <w:t>Discussão</w:t>
      </w:r>
    </w:p>
    <w:p w14:paraId="142681C3" w14:textId="5FD48C22" w:rsidR="00C63912" w:rsidRDefault="00C63912" w:rsidP="00C63912">
      <w:pPr>
        <w:shd w:val="clear" w:color="auto" w:fill="FFFFFF"/>
        <w:spacing w:after="120" w:line="240" w:lineRule="auto"/>
        <w:jc w:val="left"/>
        <w:textAlignment w:val="baseline"/>
      </w:pPr>
      <w:bookmarkStart w:id="21" w:name="_Hlk68853028"/>
      <w:r w:rsidRPr="00C63912">
        <w:t>Statement of principal findings</w:t>
      </w:r>
    </w:p>
    <w:bookmarkEnd w:id="21"/>
    <w:p w14:paraId="7810E903" w14:textId="77777777" w:rsidR="00C63912" w:rsidRDefault="00C63912" w:rsidP="00C63912">
      <w:pPr>
        <w:shd w:val="clear" w:color="auto" w:fill="FFFFFF"/>
        <w:spacing w:after="120" w:line="240" w:lineRule="auto"/>
        <w:ind w:left="360"/>
        <w:jc w:val="left"/>
        <w:textAlignment w:val="baseline"/>
      </w:pPr>
    </w:p>
    <w:p w14:paraId="02FAF4B9" w14:textId="721A9600" w:rsidR="002E5419" w:rsidRDefault="001C3C76" w:rsidP="005276BB">
      <w:pPr>
        <w:rPr>
          <w:i/>
        </w:rPr>
      </w:pPr>
      <w:r>
        <w:t xml:space="preserve">O objetivo desse estudo foi avaliar a </w:t>
      </w:r>
      <w:r w:rsidR="00AE542F">
        <w:t>validade</w:t>
      </w:r>
      <w:r>
        <w:t xml:space="preserve"> do </w:t>
      </w:r>
      <w:r>
        <w:rPr>
          <w:i/>
          <w:iCs/>
        </w:rPr>
        <w:t xml:space="preserve">GTT </w:t>
      </w:r>
      <w:r>
        <w:t xml:space="preserve">como método para identificação de </w:t>
      </w:r>
      <w:r w:rsidR="00F774D3">
        <w:t>EAs</w:t>
      </w:r>
      <w:r>
        <w:t xml:space="preserve">. Apesar de amplamente utilizado por instituições individuais e em alguns contextos como ferramentas nacionais em programas de segurança do paciente, não há dados claros sobre </w:t>
      </w:r>
      <w:r w:rsidR="00F774D3">
        <w:t>sua acurácia</w:t>
      </w:r>
      <w:r>
        <w:t xml:space="preserve"> </w:t>
      </w:r>
      <w:r w:rsidR="00480CF7">
        <w:t xml:space="preserve">(Hanskamp-Sebregts et al, 2016; </w:t>
      </w:r>
      <w:r w:rsidR="00480CF7" w:rsidRPr="00F774D3">
        <w:t xml:space="preserve">Hibbert et al, 2016; </w:t>
      </w:r>
      <w:r w:rsidR="00480CF7">
        <w:t>Klein et al, 2020)</w:t>
      </w:r>
      <w:r>
        <w:t xml:space="preserve">. Os resultados encontrados </w:t>
      </w:r>
      <w:r w:rsidR="007C7AE3">
        <w:t xml:space="preserve">neste protocolo de pesquisa, </w:t>
      </w:r>
      <w:r>
        <w:t>ao compará-lo ao método padrão referência</w:t>
      </w:r>
      <w:r w:rsidR="007C7AE3">
        <w:t>,</w:t>
      </w:r>
      <w:r w:rsidR="002E5419">
        <w:t xml:space="preserve"> </w:t>
      </w:r>
      <w:r>
        <w:t xml:space="preserve">mostram que o </w:t>
      </w:r>
      <w:r>
        <w:rPr>
          <w:i/>
          <w:iCs/>
        </w:rPr>
        <w:t>GTT</w:t>
      </w:r>
      <w:r>
        <w:t xml:space="preserve"> apresenta</w:t>
      </w:r>
      <w:r w:rsidR="00CD3278">
        <w:t xml:space="preserve"> valores de</w:t>
      </w:r>
      <w:r>
        <w:t xml:space="preserve"> sensibilidade</w:t>
      </w:r>
      <w:r w:rsidR="00F774D3">
        <w:t xml:space="preserve"> e</w:t>
      </w:r>
      <w:r w:rsidR="002E5419">
        <w:t xml:space="preserve"> especificidade satisfatóri</w:t>
      </w:r>
      <w:r w:rsidR="00CD3278">
        <w:t>os</w:t>
      </w:r>
      <w:r w:rsidR="002E5419">
        <w:t xml:space="preserve">, especialmente para </w:t>
      </w:r>
      <w:r w:rsidR="00F774D3">
        <w:t>EAs</w:t>
      </w:r>
      <w:r w:rsidR="002E5419">
        <w:t xml:space="preserve"> de maior gravidade, classificados como </w:t>
      </w:r>
      <w:r w:rsidR="00480CF7">
        <w:t>F</w:t>
      </w:r>
      <w:r w:rsidR="002E5419">
        <w:t>-I pelo</w:t>
      </w:r>
      <w:r w:rsidR="00C63912">
        <w:t xml:space="preserve"> índice de </w:t>
      </w:r>
      <w:r w:rsidR="002E5419" w:rsidRPr="00FB1A58">
        <w:rPr>
          <w:i/>
        </w:rPr>
        <w:t>NCC MERP</w:t>
      </w:r>
      <w:r w:rsidR="002E5419">
        <w:rPr>
          <w:i/>
        </w:rPr>
        <w:t xml:space="preserve"> </w:t>
      </w:r>
      <w:r w:rsidR="002E5419">
        <w:rPr>
          <w:iCs/>
        </w:rPr>
        <w:t xml:space="preserve">adaptado pelo </w:t>
      </w:r>
      <w:r w:rsidR="002E5419">
        <w:rPr>
          <w:i/>
        </w:rPr>
        <w:t>IHI.</w:t>
      </w:r>
    </w:p>
    <w:p w14:paraId="403D2A02" w14:textId="77777777" w:rsidR="00F774D3" w:rsidRDefault="00F774D3" w:rsidP="005276BB">
      <w:pPr>
        <w:rPr>
          <w:iCs/>
        </w:rPr>
      </w:pPr>
    </w:p>
    <w:p w14:paraId="49DA29A5" w14:textId="661DA1FE" w:rsidR="00C63912" w:rsidRPr="00965AD9" w:rsidRDefault="00C63912" w:rsidP="00C63912">
      <w:pPr>
        <w:numPr>
          <w:ilvl w:val="0"/>
          <w:numId w:val="14"/>
        </w:numPr>
        <w:shd w:val="clear" w:color="auto" w:fill="FFFFFF"/>
        <w:spacing w:before="120" w:after="120" w:line="240" w:lineRule="auto"/>
        <w:jc w:val="left"/>
        <w:textAlignment w:val="baseline"/>
        <w:rPr>
          <w:lang w:val="en-AU"/>
        </w:rPr>
      </w:pPr>
      <w:bookmarkStart w:id="22" w:name="_Hlk68853018"/>
      <w:r w:rsidRPr="00965AD9">
        <w:rPr>
          <w:lang w:val="en-AU"/>
        </w:rPr>
        <w:t>Interpretation within the context of the wider literature</w:t>
      </w:r>
    </w:p>
    <w:bookmarkEnd w:id="22"/>
    <w:p w14:paraId="19DC79FF" w14:textId="26384142" w:rsidR="00E52A31" w:rsidRPr="00965AD9" w:rsidRDefault="00E52A31" w:rsidP="00E52A31">
      <w:pPr>
        <w:shd w:val="clear" w:color="auto" w:fill="FFFFFF"/>
        <w:spacing w:before="120" w:after="120" w:line="240" w:lineRule="auto"/>
        <w:jc w:val="left"/>
        <w:textAlignment w:val="baseline"/>
        <w:rPr>
          <w:lang w:val="en-AU"/>
        </w:rPr>
      </w:pPr>
    </w:p>
    <w:p w14:paraId="0A3F2AC4" w14:textId="3D5BA537" w:rsidR="009D1381" w:rsidRDefault="00D77157" w:rsidP="009B7251">
      <w:r w:rsidRPr="00410AA3">
        <w:t xml:space="preserve">Somando-se todos os </w:t>
      </w:r>
      <w:r w:rsidR="008B3979">
        <w:t>eventos</w:t>
      </w:r>
      <w:r w:rsidRPr="00410AA3">
        <w:t xml:space="preserve"> encontrados no estudo, independentemente do método de identificação, a</w:t>
      </w:r>
      <w:r w:rsidR="00637271" w:rsidRPr="00410AA3">
        <w:t xml:space="preserve">s taxas de </w:t>
      </w:r>
      <w:r w:rsidR="00F774D3">
        <w:t>EAs</w:t>
      </w:r>
      <w:r w:rsidR="00637271" w:rsidRPr="00410AA3">
        <w:t xml:space="preserve"> foram superiores aos dados já publicados (</w:t>
      </w:r>
      <w:r w:rsidR="00D7183E">
        <w:t xml:space="preserve">Classen et al, 2011, </w:t>
      </w:r>
      <w:r w:rsidR="00AE542F" w:rsidRPr="00AE542F">
        <w:rPr>
          <w:highlight w:val="yellow"/>
        </w:rPr>
        <w:t>Hanskamp-Sebregts et al, 2016; Hibbert et al, 2016; Klein et al, 2020</w:t>
      </w:r>
      <w:r w:rsidR="00637271" w:rsidRPr="00410AA3">
        <w:t>)</w:t>
      </w:r>
      <w:r w:rsidR="00F774D3">
        <w:t>.</w:t>
      </w:r>
      <w:r w:rsidR="00AE542F">
        <w:t xml:space="preserve"> Esse fato já era esperado, uma vez que estudos mostram que diferentes métodos identificam diferentes EAs e que a combinação de estratégias permite a detecção de um maior número de eventos (</w:t>
      </w:r>
      <w:r w:rsidR="00CF6D69">
        <w:t>Naessens et al, 2009; Classen et al, 2011; Kennerly et al, 2014; Rutberg et al, 2014)</w:t>
      </w:r>
      <w:r w:rsidR="00AE542F">
        <w:t>.</w:t>
      </w:r>
      <w:r w:rsidR="00F774D3">
        <w:t xml:space="preserve"> </w:t>
      </w:r>
      <w:r w:rsidRPr="00410AA3">
        <w:t>Por outro lado, a</w:t>
      </w:r>
      <w:r w:rsidR="00637271" w:rsidRPr="00410AA3">
        <w:t xml:space="preserve">s taxas obtidas pelo </w:t>
      </w:r>
      <w:r w:rsidR="00637271" w:rsidRPr="00410AA3">
        <w:rPr>
          <w:i/>
          <w:iCs/>
        </w:rPr>
        <w:t xml:space="preserve">GTT </w:t>
      </w:r>
      <w:r w:rsidR="00637271" w:rsidRPr="00410AA3">
        <w:t xml:space="preserve">se aproximam </w:t>
      </w:r>
      <w:r w:rsidR="00B951E2">
        <w:t>da</w:t>
      </w:r>
      <w:r w:rsidRPr="00410AA3">
        <w:t>quela</w:t>
      </w:r>
      <w:r w:rsidR="00637271" w:rsidRPr="00410AA3">
        <w:t xml:space="preserve">s descritas por Griffin e Resar (2009), </w:t>
      </w:r>
      <w:r w:rsidRPr="00410AA3">
        <w:t xml:space="preserve">mas são maiores que </w:t>
      </w:r>
      <w:r w:rsidR="00873BBA">
        <w:t xml:space="preserve">a de </w:t>
      </w:r>
      <w:r w:rsidRPr="00410AA3">
        <w:t xml:space="preserve">alguns </w:t>
      </w:r>
      <w:r w:rsidR="00637271" w:rsidRPr="00410AA3">
        <w:t>estudos (Pleassen et al, 2021; Najjar et al, 2013; Kennerly et al, 2014; Kurutkan et al, 2015)</w:t>
      </w:r>
      <w:r w:rsidRPr="00410AA3">
        <w:t>.</w:t>
      </w:r>
      <w:r w:rsidR="005F1AA2" w:rsidRPr="00410AA3">
        <w:t xml:space="preserve"> </w:t>
      </w:r>
    </w:p>
    <w:p w14:paraId="3AE0B274" w14:textId="77777777" w:rsidR="009D1381" w:rsidRDefault="009D1381" w:rsidP="009B7251"/>
    <w:p w14:paraId="1BBFCFE1" w14:textId="5ADA2D20" w:rsidR="00A06ACE" w:rsidRDefault="007C7AE3" w:rsidP="004F085F">
      <w:r>
        <w:t>Além de questões relacionadas a diferenças no perfil de complexidade dos pacientes ou na qualidade do cuidado oferecido, outros elementos</w:t>
      </w:r>
      <w:r w:rsidR="009B7251">
        <w:t xml:space="preserve"> de ordem metodológica impactam nas taxas de EAs </w:t>
      </w:r>
      <w:r w:rsidR="009B7251" w:rsidRPr="00924362">
        <w:t xml:space="preserve">obtidas. </w:t>
      </w:r>
      <w:r w:rsidR="000C3DC9" w:rsidRPr="00924362">
        <w:t>Um deles é a ausência de cons</w:t>
      </w:r>
      <w:r w:rsidR="000C3DC9">
        <w:t xml:space="preserve">enso no uso de definições e classificações em segurança do paciente, em especial no julgamento do que seria considerado “dano leve” ou </w:t>
      </w:r>
      <w:r w:rsidR="000C3DC9" w:rsidRPr="00873BBA">
        <w:t>“dano temporário que necessita intervenção”</w:t>
      </w:r>
      <w:r w:rsidR="000C3DC9">
        <w:t xml:space="preserve">, aqui classificados como E </w:t>
      </w:r>
      <w:r w:rsidR="009D1381">
        <w:t>(</w:t>
      </w:r>
      <w:r w:rsidR="000C3DC9">
        <w:t xml:space="preserve">Griffin e Resar, 2009; </w:t>
      </w:r>
      <w:r w:rsidR="009D1381">
        <w:t>Schildmeijer et al, 2013</w:t>
      </w:r>
      <w:r w:rsidR="000C3DC9">
        <w:t>; Mattsson et al, 2013</w:t>
      </w:r>
      <w:r w:rsidR="009D1381">
        <w:t xml:space="preserve">). </w:t>
      </w:r>
      <w:r w:rsidR="000C3DC9" w:rsidRPr="00873BBA">
        <w:t xml:space="preserve">O entendimento por </w:t>
      </w:r>
      <w:r w:rsidR="000C3DC9" w:rsidRPr="00873BBA">
        <w:lastRenderedPageBreak/>
        <w:t>parte de alguns revisores de que</w:t>
      </w:r>
      <w:r w:rsidR="000C3DC9">
        <w:t xml:space="preserve"> alguns</w:t>
      </w:r>
      <w:r w:rsidR="000C3DC9" w:rsidRPr="00873BBA">
        <w:t xml:space="preserve"> danos poderiam ser “aceitáveis” ou mesmo “inevitáveis”, implica no não reconhecimento de parte desses danos como um </w:t>
      </w:r>
      <w:r w:rsidR="000C3DC9">
        <w:t>EA</w:t>
      </w:r>
      <w:r w:rsidR="000C3DC9" w:rsidRPr="00873BBA">
        <w:t xml:space="preserve"> em saúde (</w:t>
      </w:r>
      <w:r w:rsidR="000C3DC9" w:rsidRPr="000C3DC9">
        <w:rPr>
          <w:highlight w:val="yellow"/>
        </w:rPr>
        <w:t>Ref</w:t>
      </w:r>
      <w:r w:rsidR="000C3DC9" w:rsidRPr="00873BBA">
        <w:t>).</w:t>
      </w:r>
      <w:r w:rsidR="000C3DC9" w:rsidRPr="000C3DC9">
        <w:t xml:space="preserve"> </w:t>
      </w:r>
      <w:r w:rsidR="00A06ACE">
        <w:t xml:space="preserve">Neste estudo, os revisores de ambos os métodos foram orientados a </w:t>
      </w:r>
      <w:r w:rsidR="00A06ACE" w:rsidRPr="00A06ACE">
        <w:t>considerar EA qualquer incidente que causou dano do ponto de vista do paciente, exigindo qualquer monitoramento ou intervenção, mesmo que mínima</w:t>
      </w:r>
      <w:r w:rsidR="00CD2E5D">
        <w:t>, independente do potencial de evitabilidade</w:t>
      </w:r>
      <w:r w:rsidR="00A06ACE" w:rsidRPr="00A06ACE">
        <w:t xml:space="preserve"> </w:t>
      </w:r>
      <w:r w:rsidR="00CD2E5D">
        <w:t>(IOM, 2001; Griffin e Resar, 2009).</w:t>
      </w:r>
    </w:p>
    <w:p w14:paraId="18BD8206" w14:textId="67D45B6A" w:rsidR="00CD2E5D" w:rsidRDefault="00CD2E5D" w:rsidP="004F085F"/>
    <w:p w14:paraId="216AA4FE" w14:textId="1B3590D9" w:rsidR="00E97253" w:rsidRDefault="00E97253" w:rsidP="00E97253">
      <w:r>
        <w:t>Para os métodos que se baseiam na revisão de prontuários, um fator adicional é o fato de que os eventos de menor dano são menos frequentemente registrados e, assim como o a notificação voluntária, a maior detecção de EAs leves pode significar apenas melhores registros e não pior segurança (</w:t>
      </w:r>
      <w:r w:rsidRPr="00646E2B">
        <w:t xml:space="preserve">Shojania e Marang-van de Mheen, 2020). </w:t>
      </w:r>
      <w:r>
        <w:t xml:space="preserve">No caso do </w:t>
      </w:r>
      <w:r>
        <w:rPr>
          <w:i/>
          <w:iCs/>
        </w:rPr>
        <w:t xml:space="preserve">GTT, </w:t>
      </w:r>
      <w:r>
        <w:t>além do impacto da qualidade dos registros, a limitação do tempo de revisão e a recomendação de que o prontuário não deve ser lido “from front page to back page” são fatores que favorecem sua aplicabilidade, mas implicam em reconhecida perda de sensibilidade para eventos com danos mais leves (Griffin e Resar, 2009; Mattsson et al, 2013).</w:t>
      </w:r>
      <w:r w:rsidR="004C3FB2">
        <w:t xml:space="preserve"> </w:t>
      </w:r>
      <w:r>
        <w:t xml:space="preserve">Os achados deste estudo reafirmam essa limitação do método ao mostrar que o </w:t>
      </w:r>
      <w:r w:rsidRPr="004C5A42">
        <w:rPr>
          <w:i/>
          <w:iCs/>
        </w:rPr>
        <w:t>GTT</w:t>
      </w:r>
      <w:r>
        <w:t xml:space="preserve"> não detectou 96 do total de 160 EAs</w:t>
      </w:r>
      <w:r w:rsidRPr="004C5A42">
        <w:t xml:space="preserve"> classificados na categoria E de gravidade do dano </w:t>
      </w:r>
      <w:r>
        <w:t xml:space="preserve">identificados. É importante ressaltar que desses 96 EAs não identificados pelo </w:t>
      </w:r>
      <w:r>
        <w:rPr>
          <w:i/>
          <w:iCs/>
        </w:rPr>
        <w:t xml:space="preserve">GTT, </w:t>
      </w:r>
      <w:r>
        <w:t>os revisores médicos do método padrão referência</w:t>
      </w:r>
      <w:r w:rsidRPr="004C5A42">
        <w:t xml:space="preserve"> encontra</w:t>
      </w:r>
      <w:r>
        <w:t>ram</w:t>
      </w:r>
      <w:r w:rsidRPr="004C5A42">
        <w:t xml:space="preserve"> registro em prontuário de </w:t>
      </w:r>
      <w:r>
        <w:t>85</w:t>
      </w:r>
      <w:r w:rsidRPr="004C5A42">
        <w:t xml:space="preserve"> </w:t>
      </w:r>
      <w:r>
        <w:t>deles, sendo que em 71</w:t>
      </w:r>
      <w:r w:rsidRPr="004C5A42">
        <w:t xml:space="preserve"> </w:t>
      </w:r>
      <w:r>
        <w:t xml:space="preserve">os registros estavam em </w:t>
      </w:r>
      <w:r w:rsidRPr="004C5A42">
        <w:t>notas da enfermagem</w:t>
      </w:r>
      <w:r>
        <w:t xml:space="preserve">, porção do prontuário não priorizada no processo de revisão pelos revisores primários que utilizam o </w:t>
      </w:r>
      <w:r>
        <w:rPr>
          <w:i/>
          <w:iCs/>
        </w:rPr>
        <w:t>GTT</w:t>
      </w:r>
      <w:r>
        <w:t xml:space="preserve"> e frequentemente não acessados </w:t>
      </w:r>
      <w:r w:rsidR="00144119">
        <w:t xml:space="preserve">por completo </w:t>
      </w:r>
      <w:r>
        <w:t>nas revisões de internações mais prolongadas (Griffin e Resar, 2009; Sharek et al, 2011; Schildmeijer et al, 2013).</w:t>
      </w:r>
    </w:p>
    <w:p w14:paraId="4E1547A7" w14:textId="77777777" w:rsidR="00E97253" w:rsidRDefault="00E97253" w:rsidP="00E97253"/>
    <w:p w14:paraId="101DF19E" w14:textId="77777777" w:rsidR="00690F20" w:rsidRDefault="00BD44FE" w:rsidP="00690F20">
      <w:r w:rsidRPr="00A26E1E">
        <w:t>Quanto à natureza</w:t>
      </w:r>
      <w:r>
        <w:t xml:space="preserve"> e considerando-se os dois métodos de identificação</w:t>
      </w:r>
      <w:r w:rsidRPr="00A26E1E">
        <w:t>, os eventos relacionados a acessos venosos</w:t>
      </w:r>
      <w:r>
        <w:t xml:space="preserve"> periféricos</w:t>
      </w:r>
      <w:r w:rsidRPr="00A26E1E">
        <w:t xml:space="preserve"> foram os mais frequentes, totalizando 30% do total, todos eles com dano E. Analisando-se apenas os eventos identificados pelo </w:t>
      </w:r>
      <w:r w:rsidRPr="00A26E1E">
        <w:rPr>
          <w:i/>
          <w:iCs/>
        </w:rPr>
        <w:t>GTT</w:t>
      </w:r>
      <w:r w:rsidRPr="00A26E1E">
        <w:t>, assim como em outros estudos (</w:t>
      </w:r>
      <w:r>
        <w:t xml:space="preserve">Classen et al, 2011; </w:t>
      </w:r>
      <w:r w:rsidRPr="00A26E1E">
        <w:t xml:space="preserve">Naessens et al, 2009; Landrigan et al, 2010; Schildmeijer et al, 2012; Kennerly et al, 2014; Rutberg et al, 2014), os eventos mais frequentemente encontrados foram os medicamentosos, cirúrgicos/anestésicos e as infecções. </w:t>
      </w:r>
      <w:r w:rsidR="00690F20">
        <w:lastRenderedPageBreak/>
        <w:t xml:space="preserve">A falha do </w:t>
      </w:r>
      <w:r w:rsidR="00690F20" w:rsidRPr="00007718">
        <w:rPr>
          <w:i/>
          <w:iCs/>
        </w:rPr>
        <w:t>GTT</w:t>
      </w:r>
      <w:r w:rsidR="00690F20">
        <w:t xml:space="preserve"> em detectar a maioria de eventos relacionados ao cuidado de enfermagem, entre eles os relacionados a acesso venoso periférico e a cateteres gástricos/entéricos, corrobora os achados de Schildmeijer sobre a impressão relatada por r</w:t>
      </w:r>
      <w:r w:rsidR="00690F20" w:rsidRPr="00007718">
        <w:t>evisores</w:t>
      </w:r>
      <w:r w:rsidR="00690F20">
        <w:t xml:space="preserve"> experientes de que o </w:t>
      </w:r>
      <w:r w:rsidR="00690F20">
        <w:rPr>
          <w:i/>
          <w:iCs/>
        </w:rPr>
        <w:t xml:space="preserve">GTT </w:t>
      </w:r>
      <w:r w:rsidR="00690F20">
        <w:t>é voltado principalmente para os danos ligados às ações realizadas pelos médicos (Schildmeijer et al, 2013).</w:t>
      </w:r>
    </w:p>
    <w:p w14:paraId="0A6D704C" w14:textId="67CAF9DC" w:rsidR="00BD44FE" w:rsidRDefault="00BD44FE" w:rsidP="00BD44FE"/>
    <w:p w14:paraId="372BE735" w14:textId="57F70EAD" w:rsidR="00690F20" w:rsidRDefault="003306AE" w:rsidP="00690F20">
      <w:r w:rsidRPr="0044457C">
        <w:t xml:space="preserve">Os </w:t>
      </w:r>
      <w:r w:rsidR="00144119">
        <w:t>resultados</w:t>
      </w:r>
      <w:r>
        <w:t xml:space="preserve"> desse</w:t>
      </w:r>
      <w:r w:rsidRPr="0044457C">
        <w:t xml:space="preserve"> estudo</w:t>
      </w:r>
      <w:r>
        <w:t xml:space="preserve"> reforçam o papel de destaque do </w:t>
      </w:r>
      <w:r>
        <w:rPr>
          <w:i/>
          <w:iCs/>
        </w:rPr>
        <w:t>GTT</w:t>
      </w:r>
      <w:r>
        <w:t xml:space="preserve"> como ferramenta válida para identificação de EAs, principalmente para os eventos</w:t>
      </w:r>
      <w:r w:rsidRPr="0044457C">
        <w:t xml:space="preserve"> de maior gravidade, classificados como </w:t>
      </w:r>
      <w:r>
        <w:t xml:space="preserve">F-I (Griffin e Resar, 2009; Mattsson et al, 2013). Embora a alta sensibilidade do </w:t>
      </w:r>
      <w:r w:rsidRPr="00157F54">
        <w:rPr>
          <w:i/>
          <w:iCs/>
        </w:rPr>
        <w:t>GTT</w:t>
      </w:r>
      <w:r>
        <w:t xml:space="preserve"> em comparação a outros métodos já tenha sido demonstrada (Naessens et al, 2009; Classen et al, 2011; Kennerly et al, 2014; Rutberg et al, 2014), </w:t>
      </w:r>
      <w:r w:rsidR="00690F20">
        <w:t xml:space="preserve">poucos </w:t>
      </w:r>
      <w:r>
        <w:t xml:space="preserve">estudos </w:t>
      </w:r>
      <w:r w:rsidR="00690F20">
        <w:t>apresent</w:t>
      </w:r>
      <w:r w:rsidR="00144119">
        <w:t>ar</w:t>
      </w:r>
      <w:r w:rsidR="00690F20">
        <w:t xml:space="preserve">am dados de acurácia (Klein et al, 2020). Classen e colaboradores encontraram sensibilidade de 94,9% para detectar pacientes com pelo menos um </w:t>
      </w:r>
      <w:r>
        <w:t>EA</w:t>
      </w:r>
      <w:r w:rsidR="00690F20">
        <w:t xml:space="preserve"> e especificidade de 100% para detectar pacientes sem eventos ao comparar os resultados do </w:t>
      </w:r>
      <w:r w:rsidR="00690F20">
        <w:rPr>
          <w:i/>
          <w:iCs/>
        </w:rPr>
        <w:t xml:space="preserve">GTT </w:t>
      </w:r>
      <w:r w:rsidR="00690F20">
        <w:t>com</w:t>
      </w:r>
      <w:r w:rsidR="00690F20" w:rsidRPr="005568CF">
        <w:t xml:space="preserve"> </w:t>
      </w:r>
      <w:r w:rsidR="00690F20">
        <w:t xml:space="preserve">os achados de </w:t>
      </w:r>
      <w:r w:rsidR="00690F20" w:rsidRPr="005568CF">
        <w:t>um</w:t>
      </w:r>
      <w:r w:rsidR="00690F20">
        <w:t xml:space="preserve">a revisão </w:t>
      </w:r>
      <w:r w:rsidR="00690F20" w:rsidRPr="005568CF">
        <w:t>retrospectiva</w:t>
      </w:r>
      <w:r w:rsidR="00690F20" w:rsidRPr="00E76959">
        <w:t xml:space="preserve"> </w:t>
      </w:r>
      <w:r w:rsidR="00690F20">
        <w:t>detalhada</w:t>
      </w:r>
      <w:r w:rsidR="00690F20" w:rsidRPr="005568CF">
        <w:t xml:space="preserve"> de dados de prontuário e de dados administrativos</w:t>
      </w:r>
      <w:r w:rsidR="00690F20">
        <w:t xml:space="preserve"> realizada por um grupo de especialistas </w:t>
      </w:r>
      <w:r w:rsidR="00690F20" w:rsidRPr="005568CF">
        <w:t>(Classen et al, 2011).</w:t>
      </w:r>
      <w:r w:rsidR="00690F20">
        <w:t xml:space="preserve"> Nesse estudo, os pesquisadores buscaram agregar fontes de dados para alcançar um padrão referência que se aproximasse ao máximo a um método padrão ouro. Entretanto,</w:t>
      </w:r>
      <w:r w:rsidR="00D908A7">
        <w:t xml:space="preserve"> a busca se restringiu a revisão </w:t>
      </w:r>
      <w:r w:rsidR="00161ED7">
        <w:t xml:space="preserve">retrospectiva </w:t>
      </w:r>
      <w:r w:rsidR="00D908A7">
        <w:t xml:space="preserve">de </w:t>
      </w:r>
      <w:r w:rsidR="00161ED7">
        <w:t xml:space="preserve">documentos e </w:t>
      </w:r>
      <w:r w:rsidR="00D908A7">
        <w:t xml:space="preserve">dados </w:t>
      </w:r>
      <w:r w:rsidR="00690F20">
        <w:t>e alguns EAs não registrados podem ter sido perdidos</w:t>
      </w:r>
      <w:r w:rsidR="002E30A8">
        <w:t xml:space="preserve">, </w:t>
      </w:r>
      <w:r w:rsidR="00161ED7">
        <w:t>o que pode ter gerado resultados</w:t>
      </w:r>
      <w:r w:rsidR="002E30A8">
        <w:t xml:space="preserve"> de sensibilidade e especificidade superestimados</w:t>
      </w:r>
      <w:r w:rsidR="00690F20">
        <w:t>.</w:t>
      </w:r>
      <w:r w:rsidR="004C3FB2">
        <w:t xml:space="preserve"> Além disso, o estudo apresenta os dados de validade apenas para o desfecho internações com ou sem EAs</w:t>
      </w:r>
      <w:r w:rsidR="00367B5F">
        <w:t>, não sendo possível analisar a capacidade de identificação individual de cada EA.</w:t>
      </w:r>
    </w:p>
    <w:p w14:paraId="26686386" w14:textId="77777777" w:rsidR="00183600" w:rsidRDefault="00183600" w:rsidP="00690F20"/>
    <w:p w14:paraId="6B32B644" w14:textId="77777777" w:rsidR="00A11FE4" w:rsidRDefault="00F774D3" w:rsidP="00A11FE4">
      <w:pPr>
        <w:numPr>
          <w:ilvl w:val="0"/>
          <w:numId w:val="14"/>
        </w:numPr>
        <w:shd w:val="clear" w:color="auto" w:fill="FFFFFF"/>
        <w:spacing w:before="120" w:after="120" w:line="240" w:lineRule="auto"/>
        <w:jc w:val="left"/>
        <w:textAlignment w:val="baseline"/>
      </w:pPr>
      <w:bookmarkStart w:id="23" w:name="_Hlk68853057"/>
      <w:r w:rsidRPr="00C63912">
        <w:t>Strengths and limitations</w:t>
      </w:r>
      <w:bookmarkEnd w:id="23"/>
    </w:p>
    <w:p w14:paraId="5A51C7A9" w14:textId="77777777" w:rsidR="00A11FE4" w:rsidRDefault="00A11FE4" w:rsidP="00A11FE4"/>
    <w:p w14:paraId="45A0406C" w14:textId="6A633857" w:rsidR="002E30A8" w:rsidRDefault="00690F20" w:rsidP="002E30A8">
      <w:r>
        <w:t xml:space="preserve">Um dos pontos fortes do estudo foi a elaboração de um método padrão referência altamente sensível para a avaliação da validade do </w:t>
      </w:r>
      <w:r>
        <w:rPr>
          <w:i/>
          <w:iCs/>
        </w:rPr>
        <w:t>GTT</w:t>
      </w:r>
      <w:r>
        <w:t xml:space="preserve">. </w:t>
      </w:r>
      <w:r w:rsidR="00A11FE4">
        <w:t xml:space="preserve">Ele </w:t>
      </w:r>
      <w:r>
        <w:t>combinou</w:t>
      </w:r>
      <w:r w:rsidR="00A11FE4">
        <w:t xml:space="preserve"> diferentes fontes </w:t>
      </w:r>
      <w:r>
        <w:t>reconhecidas para obtenção de</w:t>
      </w:r>
      <w:r w:rsidR="00A11FE4">
        <w:t xml:space="preserve"> informaç</w:t>
      </w:r>
      <w:r>
        <w:t>ões sobre a ocorrência de dano relacionado ao cuidado em saúde</w:t>
      </w:r>
      <w:r w:rsidR="00A11FE4">
        <w:t xml:space="preserve">, incluindo dados administrativos e clínicos agrupados, além de relatos de profissionais da </w:t>
      </w:r>
      <w:r w:rsidR="00A11FE4">
        <w:lastRenderedPageBreak/>
        <w:t>assistência direita, coletados quase em tempo real</w:t>
      </w:r>
      <w:r w:rsidR="002E30A8">
        <w:t xml:space="preserve"> </w:t>
      </w:r>
      <w:r w:rsidR="002E30A8" w:rsidRPr="002E30A8">
        <w:rPr>
          <w:highlight w:val="yellow"/>
        </w:rPr>
        <w:t>(Ref)</w:t>
      </w:r>
      <w:r>
        <w:t xml:space="preserve">. </w:t>
      </w:r>
      <w:r w:rsidR="002E30A8">
        <w:t xml:space="preserve">Apesar de </w:t>
      </w:r>
      <w:r w:rsidR="00FD0608">
        <w:t>reconhecermos</w:t>
      </w:r>
      <w:r w:rsidR="002E30A8">
        <w:t xml:space="preserve"> que a observação direta fornece mais informações sobre segurança do paciente em tempo real</w:t>
      </w:r>
      <w:r w:rsidR="00161ED7">
        <w:t xml:space="preserve"> </w:t>
      </w:r>
      <w:r w:rsidR="00161ED7" w:rsidRPr="00161ED7">
        <w:rPr>
          <w:highlight w:val="yellow"/>
        </w:rPr>
        <w:t>(Ref.)</w:t>
      </w:r>
      <w:r w:rsidR="002E30A8">
        <w:t>, por questões práticas optamos por substituí-la pela coleta de rastreadores em entrevistas aos profissionais da assistência ao final de cada turno de plantão. Os rastreadores identificados por meio dessa fonte levaram a confirmação de 127 dos 176 EAs do padrão referência (72,2%), sendo que eles foram a única fonte para identificação de 103 (87 EAs com dano E, 10 com F, 2 com G e 4 com H).</w:t>
      </w:r>
    </w:p>
    <w:p w14:paraId="2FD4501E" w14:textId="77777777" w:rsidR="002E30A8" w:rsidRDefault="002E30A8" w:rsidP="002E30A8"/>
    <w:p w14:paraId="50826A1F" w14:textId="51ED3BBF" w:rsidR="00AF19F8" w:rsidRDefault="002E30A8" w:rsidP="00AF19F8">
      <w:r>
        <w:t xml:space="preserve">O método padrão referência utilizado neste protocolo de pesquisa também apresenta limitações que interferiram na avaliação da validade do </w:t>
      </w:r>
      <w:r>
        <w:rPr>
          <w:i/>
          <w:iCs/>
        </w:rPr>
        <w:t xml:space="preserve">GTT. </w:t>
      </w:r>
      <w:r>
        <w:t xml:space="preserve">A mais importante se refere ao fato de que ele falhou em identificar 57 </w:t>
      </w:r>
      <w:r w:rsidR="00183600">
        <w:t>EAs</w:t>
      </w:r>
      <w:r>
        <w:t xml:space="preserve"> em 25 internações. Apesar de corresponderem a EAs corretamente identificados pelo </w:t>
      </w:r>
      <w:r>
        <w:rPr>
          <w:i/>
        </w:rPr>
        <w:t>GTT</w:t>
      </w:r>
      <w:r>
        <w:t xml:space="preserve">, essas situações foram consideradas como “falsos positivos” para o cálculo da validade. Isso significa que os dados de sensibilidade, especificidade e acurácia global do </w:t>
      </w:r>
      <w:r>
        <w:rPr>
          <w:i/>
          <w:iCs/>
        </w:rPr>
        <w:t xml:space="preserve">GTT </w:t>
      </w:r>
      <w:r>
        <w:t xml:space="preserve">podem ser melhores do que os apresentados. </w:t>
      </w:r>
      <w:r w:rsidR="00FD0608">
        <w:t xml:space="preserve">Além disso, a decisão final sobre o dano ser atribuído ao cuidado em saúde e não a evolução da doença ficou a cargo de um revisor médico e está sujeita a vieses de interpretação e de </w:t>
      </w:r>
      <w:r w:rsidR="00FD0608" w:rsidRPr="00AF19F8">
        <w:t xml:space="preserve">registro. Tentamos reduzir a subjetividade desse julgamento acrescentando a </w:t>
      </w:r>
      <w:r w:rsidR="00AF19F8" w:rsidRPr="00AF19F8">
        <w:t xml:space="preserve">escala de confiança </w:t>
      </w:r>
      <w:r w:rsidR="00AF19F8">
        <w:t xml:space="preserve">sobre a existência de um EA e as </w:t>
      </w:r>
      <w:r w:rsidR="00AF19F8" w:rsidRPr="00076D06">
        <w:t>perguntas</w:t>
      </w:r>
      <w:r w:rsidR="00AF19F8">
        <w:t xml:space="preserve"> </w:t>
      </w:r>
      <w:r w:rsidR="00AF19F8" w:rsidRPr="00076D06">
        <w:t>para guiar o raciocínio do médico revisor.</w:t>
      </w:r>
      <w:r w:rsidR="00AF19F8">
        <w:t xml:space="preserve">  </w:t>
      </w:r>
    </w:p>
    <w:p w14:paraId="2DB3E4C0" w14:textId="77777777" w:rsidR="00183600" w:rsidRDefault="00183600" w:rsidP="008B3979"/>
    <w:p w14:paraId="581247B3" w14:textId="6761527D" w:rsidR="008B3979" w:rsidRDefault="00183600" w:rsidP="008B3979">
      <w:r>
        <w:t>É importante destacar também que</w:t>
      </w:r>
      <w:r w:rsidR="002E30A8">
        <w:t xml:space="preserve"> esse</w:t>
      </w:r>
      <w:r w:rsidR="008B3979">
        <w:t xml:space="preserve"> estudo foi desenvolvido em um hospital de referência para pacientes de cuidado terciário e quaternário no estado de Minas Gerais, incluindo transplante</w:t>
      </w:r>
      <w:r w:rsidR="00144119">
        <w:t>s e oncohematologia</w:t>
      </w:r>
      <w:r w:rsidR="008B3979">
        <w:t xml:space="preserve">. Trata-se de um hospital universitário, que tem se esforçado nos últimos anos para alcançar metas de qualidade internacionais, tanto no cuidado, quanto no registro em prontuário. </w:t>
      </w:r>
      <w:r w:rsidR="002E30A8">
        <w:t>Essas características, tanto relacionadas a</w:t>
      </w:r>
      <w:r>
        <w:t>o perfil de gravidade dos</w:t>
      </w:r>
      <w:r w:rsidR="002E30A8">
        <w:t xml:space="preserve"> pacientes, quanto ao modelo de cuidado da instituição</w:t>
      </w:r>
      <w:r>
        <w:t>,</w:t>
      </w:r>
      <w:r w:rsidR="002E30A8">
        <w:t xml:space="preserve"> pode</w:t>
      </w:r>
      <w:r>
        <w:t>m</w:t>
      </w:r>
      <w:r w:rsidR="002E30A8">
        <w:t xml:space="preserve"> ter interferido nos resultados obtidos, inclusive com impacto na avaliação da validade da ferramenta. </w:t>
      </w:r>
    </w:p>
    <w:p w14:paraId="6CDB45E5" w14:textId="78C69EBD" w:rsidR="00F774D3" w:rsidRDefault="00F774D3" w:rsidP="00F774D3"/>
    <w:p w14:paraId="7F53C922" w14:textId="545CB38D" w:rsidR="00144119" w:rsidRDefault="00144119" w:rsidP="00144119">
      <w:r>
        <w:t>Outra limitação do estudo diz respeito a divergências na taxonomia em segurança do paciente e falta de consenso em definições</w:t>
      </w:r>
      <w:r w:rsidR="003D3FBC">
        <w:t xml:space="preserve"> e classificações</w:t>
      </w:r>
      <w:r>
        <w:t xml:space="preserve">. Essa limitação, descrita também por outros pesquisadores (Naessens et al, 2009; Mull </w:t>
      </w:r>
      <w:r>
        <w:lastRenderedPageBreak/>
        <w:t>et al, 2015</w:t>
      </w:r>
      <w:r w:rsidR="003D3FBC">
        <w:t xml:space="preserve">; </w:t>
      </w:r>
      <w:r w:rsidR="003D3FBC" w:rsidRPr="00646E2B">
        <w:t>Shojania e Marang-van de Mheen, 2020)</w:t>
      </w:r>
      <w:r>
        <w:t>, dificulta a comparação de dados entre estudos e interfere no aprendizado global em segurança do paciente. Destaca-se, por exemplo, a ausência de um sistema de classificação de EAs por natureza que seja simples e de fácil interpretação. Considerando-se os objetivos deste estudo, optamos por utilizar uma classificação própria que permitisse a compreensão dos E</w:t>
      </w:r>
      <w:r w:rsidR="00FD0608">
        <w:t>A</w:t>
      </w:r>
      <w:r>
        <w:t xml:space="preserve">s mais frequentemente identificados ou perdidos pelo </w:t>
      </w:r>
      <w:r>
        <w:rPr>
          <w:i/>
          <w:iCs/>
        </w:rPr>
        <w:t xml:space="preserve">GTT. </w:t>
      </w:r>
      <w:r>
        <w:t xml:space="preserve"> </w:t>
      </w:r>
    </w:p>
    <w:p w14:paraId="687BC479" w14:textId="77777777" w:rsidR="00144119" w:rsidRDefault="00144119" w:rsidP="00144119"/>
    <w:p w14:paraId="7B695472" w14:textId="79169868" w:rsidR="008E325B" w:rsidRPr="008E325B" w:rsidRDefault="004A396E" w:rsidP="00F774D3">
      <w:r>
        <w:t xml:space="preserve">Apesar de terem sido </w:t>
      </w:r>
      <w:r w:rsidR="008E325B">
        <w:t>empreg</w:t>
      </w:r>
      <w:r w:rsidR="006107FA">
        <w:t>a</w:t>
      </w:r>
      <w:r>
        <w:t>dos</w:t>
      </w:r>
      <w:r w:rsidR="008E325B">
        <w:t xml:space="preserve"> revisores primários com pouca experiência na aplicação do </w:t>
      </w:r>
      <w:r w:rsidR="008E325B">
        <w:rPr>
          <w:i/>
          <w:iCs/>
        </w:rPr>
        <w:t>GTT</w:t>
      </w:r>
      <w:r>
        <w:rPr>
          <w:i/>
          <w:iCs/>
        </w:rPr>
        <w:t xml:space="preserve">, </w:t>
      </w:r>
      <w:r>
        <w:t>não consideramos isso como um ponto fraco</w:t>
      </w:r>
      <w:r w:rsidR="008E325B">
        <w:rPr>
          <w:i/>
          <w:iCs/>
        </w:rPr>
        <w:t xml:space="preserve">. </w:t>
      </w:r>
      <w:r w:rsidR="008E325B">
        <w:t xml:space="preserve">Estudos </w:t>
      </w:r>
      <w:r w:rsidR="006107FA">
        <w:t xml:space="preserve">demonstraram que treinamento e experiência dos revisores aumentam a confiabilidade entre eles (Adler et al, 2008; Naessens et al, 2010; Schildmeijer et al, 2012), o que pode impactar também na validade da ferramenta. Contudo, a confiabilidade interexaminador dessa dupla de revisores primários constituída por acadêmicos de medicina, algo não </w:t>
      </w:r>
      <w:r w:rsidR="001D2523">
        <w:t>descrito até o momento</w:t>
      </w:r>
      <w:r w:rsidR="006107FA">
        <w:t xml:space="preserve">, foi </w:t>
      </w:r>
      <w:r>
        <w:t>descrita anteriormente</w:t>
      </w:r>
      <w:r w:rsidR="00144119">
        <w:t xml:space="preserve"> </w:t>
      </w:r>
      <w:r w:rsidR="006107FA">
        <w:t>com resultado</w:t>
      </w:r>
      <w:r w:rsidR="001D2523">
        <w:t>s</w:t>
      </w:r>
      <w:r w:rsidR="006107FA">
        <w:t xml:space="preserve"> de confiabilidade</w:t>
      </w:r>
      <w:r w:rsidR="001D2523">
        <w:t xml:space="preserve"> substancial</w:t>
      </w:r>
      <w:r w:rsidR="006107FA">
        <w:t xml:space="preserve"> </w:t>
      </w:r>
      <w:r w:rsidR="001D2523">
        <w:t xml:space="preserve">para identificação de internações com EAs entre </w:t>
      </w:r>
      <w:r w:rsidR="00183600">
        <w:t>um acadêmico e outro</w:t>
      </w:r>
      <w:r w:rsidR="001D2523">
        <w:t xml:space="preserve"> e em relação a uma dupla de enfermeiros experientes e moderada em relação ao revisor médico</w:t>
      </w:r>
      <w:r>
        <w:t xml:space="preserve"> (Moraes et al, 2021)</w:t>
      </w:r>
      <w:r w:rsidR="006820D0">
        <w:t xml:space="preserve">, </w:t>
      </w:r>
      <w:r w:rsidR="001D2523">
        <w:t xml:space="preserve">o que é comparável a outros estudos que avaliaram a performance de revisores experientes (Sharek et al, 2011; Schildmaijer et al, 2021; Mattsson et al 2013). </w:t>
      </w:r>
    </w:p>
    <w:p w14:paraId="6F148194" w14:textId="62D67C31" w:rsidR="008E325B" w:rsidRDefault="008E325B" w:rsidP="00F774D3"/>
    <w:p w14:paraId="0DD3D98B" w14:textId="2762A7F9" w:rsidR="00F774D3" w:rsidRDefault="00144119" w:rsidP="00F774D3">
      <w:r>
        <w:t>Por fim, e</w:t>
      </w:r>
      <w:r w:rsidR="00F774D3">
        <w:t xml:space="preserve">mbora o </w:t>
      </w:r>
      <w:r w:rsidR="00F774D3">
        <w:rPr>
          <w:i/>
          <w:iCs/>
        </w:rPr>
        <w:t xml:space="preserve">GTT </w:t>
      </w:r>
      <w:r w:rsidR="00F774D3" w:rsidRPr="0099417D">
        <w:t>tenha se mostrado válido</w:t>
      </w:r>
      <w:r w:rsidR="00F774D3">
        <w:rPr>
          <w:i/>
          <w:iCs/>
        </w:rPr>
        <w:t xml:space="preserve"> </w:t>
      </w:r>
      <w:r w:rsidR="00F774D3">
        <w:t xml:space="preserve">para identificação de EAs, em especial os de maior gravidade, outras propriedades do método que não foram abordadas neste estudo precisam ser consideradas para que o </w:t>
      </w:r>
      <w:r w:rsidR="00F774D3">
        <w:rPr>
          <w:i/>
          <w:iCs/>
        </w:rPr>
        <w:t>GTT</w:t>
      </w:r>
      <w:r w:rsidR="00F774D3">
        <w:t xml:space="preserve"> possa ser visto como uma estratégia adequada de medição em melhoria. Alguns estudiosos já demonstraram preocupação quanto ao impacto que a pequena amostra quinzenal </w:t>
      </w:r>
      <w:r w:rsidR="00F774D3" w:rsidRPr="007B7328">
        <w:rPr>
          <w:highlight w:val="yellow"/>
        </w:rPr>
        <w:t>(Ref)</w:t>
      </w:r>
      <w:r w:rsidR="00F774D3">
        <w:t xml:space="preserve"> e que a moderada confiabilidade intra e interexaminadores obtida na maioria dos estudos que avaliaram reprodutibilidade </w:t>
      </w:r>
      <w:r w:rsidR="00F774D3" w:rsidRPr="007B7328">
        <w:rPr>
          <w:highlight w:val="yellow"/>
        </w:rPr>
        <w:t>(Ref)</w:t>
      </w:r>
      <w:r w:rsidR="00F774D3">
        <w:t xml:space="preserve"> poderia ter nas conclusões das análises da evolução das taxas de EAs obtidas ao longo do tempo em programas de melhoria da segurança do paciente. </w:t>
      </w:r>
    </w:p>
    <w:p w14:paraId="2161BFEC" w14:textId="3E0C763C" w:rsidR="00183600" w:rsidRDefault="00183600" w:rsidP="004A396E">
      <w:pPr>
        <w:shd w:val="clear" w:color="auto" w:fill="FFFFFF"/>
        <w:spacing w:before="120" w:line="240" w:lineRule="auto"/>
        <w:jc w:val="left"/>
        <w:textAlignment w:val="baseline"/>
        <w:rPr>
          <w:color w:val="FF0000"/>
        </w:rPr>
      </w:pPr>
    </w:p>
    <w:p w14:paraId="56F657D9" w14:textId="77777777" w:rsidR="003306AE" w:rsidRPr="00965AD9" w:rsidRDefault="003306AE" w:rsidP="003306AE">
      <w:pPr>
        <w:numPr>
          <w:ilvl w:val="0"/>
          <w:numId w:val="14"/>
        </w:numPr>
        <w:shd w:val="clear" w:color="auto" w:fill="FFFFFF"/>
        <w:spacing w:before="120" w:after="120" w:line="240" w:lineRule="auto"/>
        <w:jc w:val="left"/>
        <w:textAlignment w:val="baseline"/>
        <w:rPr>
          <w:lang w:val="en-AU"/>
        </w:rPr>
      </w:pPr>
      <w:bookmarkStart w:id="24" w:name="_Hlk68853041"/>
      <w:r w:rsidRPr="00965AD9">
        <w:rPr>
          <w:lang w:val="en-AU"/>
        </w:rPr>
        <w:lastRenderedPageBreak/>
        <w:t>Implications for policy, practice and research</w:t>
      </w:r>
      <w:bookmarkEnd w:id="24"/>
    </w:p>
    <w:p w14:paraId="439510F9" w14:textId="77777777" w:rsidR="003306AE" w:rsidRPr="00965AD9" w:rsidRDefault="003306AE" w:rsidP="003306AE">
      <w:pPr>
        <w:rPr>
          <w:lang w:val="en-AU"/>
        </w:rPr>
      </w:pPr>
    </w:p>
    <w:p w14:paraId="48B904F0" w14:textId="63D32848" w:rsidR="003306AE" w:rsidRDefault="00144119" w:rsidP="003306AE">
      <w:r>
        <w:t xml:space="preserve">Se por um lado os nossos resultados reforçam a validade do </w:t>
      </w:r>
      <w:r>
        <w:rPr>
          <w:i/>
          <w:iCs/>
        </w:rPr>
        <w:t>GTT</w:t>
      </w:r>
      <w:r>
        <w:t xml:space="preserve"> para identificação de EAs mais graves, </w:t>
      </w:r>
      <w:r w:rsidR="00FD14F5">
        <w:t xml:space="preserve">por outro </w:t>
      </w:r>
      <w:r>
        <w:t xml:space="preserve">eles </w:t>
      </w:r>
      <w:r w:rsidR="00FD14F5">
        <w:t>ressaltam</w:t>
      </w:r>
      <w:r>
        <w:t xml:space="preserve"> </w:t>
      </w:r>
      <w:r w:rsidR="00FD14F5">
        <w:t>a sua fragilidade para a identificação de EAs que geram menor dano ao paciente. Esses eventos</w:t>
      </w:r>
      <w:r w:rsidR="003306AE">
        <w:t xml:space="preserve">, embora causem pontualmente um menor impacto ao paciente e aos sistemas de saúde, </w:t>
      </w:r>
      <w:r w:rsidR="00FD14F5">
        <w:t xml:space="preserve">podem se </w:t>
      </w:r>
      <w:r w:rsidR="003306AE">
        <w:t>torna</w:t>
      </w:r>
      <w:r w:rsidR="00FD14F5">
        <w:t>r extremamente</w:t>
      </w:r>
      <w:r w:rsidR="003306AE">
        <w:t xml:space="preserve"> relevantes pela frequência que acontecem. Nes</w:t>
      </w:r>
      <w:r w:rsidR="00DC1E6A">
        <w:t>t</w:t>
      </w:r>
      <w:r w:rsidR="003306AE">
        <w:t>e estudo, por exemplo, os eventos</w:t>
      </w:r>
      <w:r w:rsidR="003306AE" w:rsidRPr="0044457C">
        <w:t xml:space="preserve"> relacionados a acessos venosos </w:t>
      </w:r>
      <w:r w:rsidR="003306AE">
        <w:t>periféricos e a c</w:t>
      </w:r>
      <w:r w:rsidR="003306AE" w:rsidRPr="0044457C">
        <w:t>ateteres gástricos</w:t>
      </w:r>
      <w:r w:rsidR="003306AE">
        <w:t>/</w:t>
      </w:r>
      <w:r w:rsidR="003306AE" w:rsidRPr="0044457C">
        <w:t>entéricos</w:t>
      </w:r>
      <w:r w:rsidR="003306AE">
        <w:t xml:space="preserve"> somados correspondem a 35,6% de todos os EAs identificados </w:t>
      </w:r>
      <w:r w:rsidR="003306AE" w:rsidRPr="0044457C">
        <w:t>e</w:t>
      </w:r>
      <w:r w:rsidR="003306AE">
        <w:t>, portanto,</w:t>
      </w:r>
      <w:r w:rsidR="003306AE" w:rsidRPr="0044457C">
        <w:t xml:space="preserve"> devem ser </w:t>
      </w:r>
      <w:r w:rsidR="003306AE">
        <w:t>vistos</w:t>
      </w:r>
      <w:r w:rsidR="003306AE" w:rsidRPr="0044457C">
        <w:t xml:space="preserve"> como indicadores de cuidado de má qualidade</w:t>
      </w:r>
      <w:r w:rsidR="003306AE">
        <w:t xml:space="preserve"> e alvo de ações de melhoria, o que inclui estratégias de medição adequadas. </w:t>
      </w:r>
    </w:p>
    <w:p w14:paraId="7CFF34EA" w14:textId="77777777" w:rsidR="003306AE" w:rsidRDefault="003306AE" w:rsidP="003306AE"/>
    <w:p w14:paraId="6C4A670C" w14:textId="554D0FF7" w:rsidR="00634258" w:rsidRDefault="003306AE" w:rsidP="003306AE">
      <w:r>
        <w:t xml:space="preserve">Apesar de não ser nosso objeto de estudo, a análise dos EAs identificados pelas diferentes fontes de rastreadores no método padrão referência permite inferências sobre possíveis métodos complementares para identificação de determinados grupos de EAs que são geralmente perdidos pelo </w:t>
      </w:r>
      <w:r>
        <w:rPr>
          <w:i/>
          <w:iCs/>
        </w:rPr>
        <w:t xml:space="preserve">GTT. </w:t>
      </w:r>
      <w:r w:rsidRPr="00835137">
        <w:t xml:space="preserve">Um exemplo é </w:t>
      </w:r>
      <w:r>
        <w:t xml:space="preserve">a busca por rastreadores </w:t>
      </w:r>
      <w:r w:rsidR="00CD537F">
        <w:t xml:space="preserve">quase </w:t>
      </w:r>
      <w:r>
        <w:t xml:space="preserve">em tempo real por meio de entrevista com os profissionais que prestam assistência direta ao paciente ao final de cada turno de plantão para identificação de EAs relacionados aos cuidados de enfermagem. </w:t>
      </w:r>
      <w:r w:rsidRPr="00634258">
        <w:rPr>
          <w:highlight w:val="yellow"/>
        </w:rPr>
        <w:t>Esse método pode ser uma alternativa à observação direta, que, apesar de muito sensível, é um método caro e pouco factível para a maior parte das instituições, com possíveis ganhos em cultura de segurança pelo maior envolvimento dos profissionais da assistência direta</w:t>
      </w:r>
      <w:r w:rsidR="00CD537F" w:rsidRPr="00634258">
        <w:rPr>
          <w:highlight w:val="yellow"/>
        </w:rPr>
        <w:t xml:space="preserve"> (Shojania e Marang-van de Mheen, 2020)</w:t>
      </w:r>
      <w:r w:rsidRPr="00634258">
        <w:rPr>
          <w:highlight w:val="yellow"/>
        </w:rPr>
        <w:t>.</w:t>
      </w:r>
      <w:r>
        <w:t xml:space="preserve"> Contudo, mais estudos são necessários sobre</w:t>
      </w:r>
      <w:r w:rsidR="00FD14F5">
        <w:t xml:space="preserve"> o</w:t>
      </w:r>
      <w:r>
        <w:t xml:space="preserve"> potencial desse método identificar diferentes tipos de EAs, estratégias de amostragem, possíveis vieses e custos envolvidos. </w:t>
      </w:r>
    </w:p>
    <w:p w14:paraId="03D9C53B" w14:textId="77777777" w:rsidR="00634258" w:rsidRDefault="00634258" w:rsidP="003306AE"/>
    <w:p w14:paraId="28C79104" w14:textId="791F6882" w:rsidR="003306AE" w:rsidRPr="006C3B0B" w:rsidRDefault="00FD14F5" w:rsidP="003306AE">
      <w:r>
        <w:t xml:space="preserve">Analisando-se os </w:t>
      </w:r>
      <w:r w:rsidR="003306AE">
        <w:t xml:space="preserve">EAs classificados como F-I quanto a gravidade do dano, o </w:t>
      </w:r>
      <w:r w:rsidR="003306AE">
        <w:rPr>
          <w:i/>
          <w:iCs/>
        </w:rPr>
        <w:t>GTT</w:t>
      </w:r>
      <w:r w:rsidR="003306AE">
        <w:t xml:space="preserve"> não </w:t>
      </w:r>
      <w:r>
        <w:t>detectou</w:t>
      </w:r>
      <w:r w:rsidR="003306AE">
        <w:t xml:space="preserve"> apenas 8 </w:t>
      </w:r>
      <w:r>
        <w:t>dos 73 identificados</w:t>
      </w:r>
      <w:r w:rsidR="003306AE">
        <w:t>, sendo 4 classificados como “Atraso na assistência”. Esses EAs se referem a</w:t>
      </w:r>
      <w:r>
        <w:t>o</w:t>
      </w:r>
      <w:r w:rsidR="003306AE">
        <w:t xml:space="preserve"> aumento da permanência hospitalar devido a espera para agendamento e realização de exames ou procedimentos indicados no tratamento. Isso pode ser justificado pela ausência de um trigger específico para esse tipo de EA, que é mais comum em serviços públicos </w:t>
      </w:r>
      <w:r w:rsidR="006C3B0B">
        <w:t xml:space="preserve">de </w:t>
      </w:r>
      <w:r w:rsidR="006C3B0B">
        <w:lastRenderedPageBreak/>
        <w:t xml:space="preserve">saúde </w:t>
      </w:r>
      <w:r w:rsidR="003306AE">
        <w:t>de países com menos recursos.</w:t>
      </w:r>
      <w:r w:rsidR="006C3B0B">
        <w:t xml:space="preserve"> Situações como essa poderiam ser contornadas pela inclusão de </w:t>
      </w:r>
      <w:r w:rsidR="006C3B0B">
        <w:rPr>
          <w:i/>
          <w:iCs/>
        </w:rPr>
        <w:t>triggers</w:t>
      </w:r>
      <w:r w:rsidR="006C3B0B">
        <w:t xml:space="preserve"> na perspectiva de cada contexto local, como já descrito por outros serviços de saúde </w:t>
      </w:r>
      <w:r w:rsidR="006C3B0B" w:rsidRPr="006C3B0B">
        <w:rPr>
          <w:highlight w:val="yellow"/>
        </w:rPr>
        <w:t>(Ref)</w:t>
      </w:r>
      <w:r w:rsidR="006C3B0B">
        <w:t>.</w:t>
      </w:r>
    </w:p>
    <w:p w14:paraId="2E229C44" w14:textId="0E6A3824" w:rsidR="00C32BC0" w:rsidRPr="00DC1E6A" w:rsidRDefault="00C32BC0" w:rsidP="003306AE"/>
    <w:p w14:paraId="7BABA670" w14:textId="0FA5784E" w:rsidR="006C3B0B" w:rsidRPr="00DC1E6A" w:rsidRDefault="00C32BC0" w:rsidP="006C3B0B">
      <w:r w:rsidRPr="00DC1E6A">
        <w:t xml:space="preserve">Apesar de demandar recursos de tempo e profissionais treinados e experientes para revisão manual dos prontuários, o que implica em custos, o </w:t>
      </w:r>
      <w:r w:rsidRPr="00DC1E6A">
        <w:rPr>
          <w:i/>
          <w:iCs/>
        </w:rPr>
        <w:t xml:space="preserve">GTT </w:t>
      </w:r>
      <w:r w:rsidRPr="00DC1E6A">
        <w:t xml:space="preserve">é o método, entre os mais sensíveis, que requer menores esforços e que apresenta maior potencial de sustentabilidade a longo prazo (Naessens et al, 2010). Adler e colaboradores estimaram que o custo para a implementação do </w:t>
      </w:r>
      <w:r w:rsidRPr="00DC1E6A">
        <w:rPr>
          <w:i/>
          <w:iCs/>
        </w:rPr>
        <w:t>GTT</w:t>
      </w:r>
      <w:r w:rsidRPr="00DC1E6A">
        <w:t xml:space="preserve"> em um sistema de saúde nos Estados Unidos foi de 710 dólares para o treinamento inicial da equipe de revisores e de 611 dólares ao mês por hospital para manutenção das atividades de revisão (Adler et al, 2008). Nossa experiência em empregar acadêmicos de medicina de anos finais do curso como revisores primários mostrou-se uma alternativa de menor custo, com bons resultados de confiabilidade quando comparados a enfermeiros experientes (Moraes et al, 2021). </w:t>
      </w:r>
      <w:r w:rsidR="00DC1E6A" w:rsidRPr="00DC1E6A">
        <w:t>Entretanto,</w:t>
      </w:r>
      <w:r w:rsidR="006C3B0B" w:rsidRPr="00DC1E6A">
        <w:t xml:space="preserve"> a detecção adequada da incidência de EAs corresponde apenas a uma pequena parcela das atividades para melhoria da qualidade dos cuidados. É fundamental que os programas de segurança do </w:t>
      </w:r>
      <w:r w:rsidR="00DC1E6A" w:rsidRPr="00DC1E6A">
        <w:t xml:space="preserve">paciente </w:t>
      </w:r>
      <w:r w:rsidR="006C3B0B" w:rsidRPr="00DC1E6A">
        <w:t>criem estratégias para transformar os dados em aprendizado</w:t>
      </w:r>
      <w:r w:rsidR="00DC1E6A" w:rsidRPr="00DC1E6A">
        <w:t xml:space="preserve"> e melhorar os</w:t>
      </w:r>
      <w:r w:rsidR="006C3B0B" w:rsidRPr="00DC1E6A">
        <w:t xml:space="preserve"> cuidados</w:t>
      </w:r>
      <w:r w:rsidR="00DC1E6A" w:rsidRPr="00DC1E6A">
        <w:t xml:space="preserve"> e os</w:t>
      </w:r>
      <w:r w:rsidR="006C3B0B" w:rsidRPr="00DC1E6A">
        <w:t xml:space="preserve"> resultados para os pacientes</w:t>
      </w:r>
      <w:r w:rsidR="00DC1E6A" w:rsidRPr="00DC1E6A">
        <w:t xml:space="preserve"> </w:t>
      </w:r>
      <w:r w:rsidR="006C3B0B" w:rsidRPr="00DC1E6A">
        <w:t xml:space="preserve">(Klein et al, 2020). </w:t>
      </w:r>
      <w:r w:rsidR="00DC1E6A" w:rsidRPr="00DC1E6A">
        <w:t xml:space="preserve">Qualquer avaliação de custo-efetividade deve considerar não só os custos de implementação da ferramenta, mas também os benefícios das atividades em melhoria da qualidade associadas (Mull et al, 2015).  </w:t>
      </w:r>
    </w:p>
    <w:p w14:paraId="1BF8686C" w14:textId="77777777" w:rsidR="00C32BC0" w:rsidRPr="00210406" w:rsidRDefault="00C32BC0" w:rsidP="003306AE"/>
    <w:p w14:paraId="5DEB147A" w14:textId="4EDA89AD" w:rsidR="00094EDC" w:rsidRDefault="0044457C" w:rsidP="0044457C">
      <w:pPr>
        <w:pStyle w:val="PargrafodaLista"/>
        <w:numPr>
          <w:ilvl w:val="0"/>
          <w:numId w:val="15"/>
        </w:numPr>
        <w:shd w:val="clear" w:color="auto" w:fill="FFFFFF"/>
        <w:spacing w:before="120"/>
        <w:textAlignment w:val="baseline"/>
      </w:pPr>
      <w:r>
        <w:t>Conclusions</w:t>
      </w:r>
    </w:p>
    <w:p w14:paraId="6CDFBEA8" w14:textId="18E09998" w:rsidR="00195EEA" w:rsidRDefault="003D3FBC" w:rsidP="003D3FBC">
      <w:pPr>
        <w:shd w:val="clear" w:color="auto" w:fill="FFFFFF"/>
        <w:spacing w:before="120"/>
        <w:textAlignment w:val="baseline"/>
      </w:pPr>
      <w:r>
        <w:t xml:space="preserve">O </w:t>
      </w:r>
      <w:r>
        <w:rPr>
          <w:i/>
          <w:iCs/>
        </w:rPr>
        <w:t>GTT</w:t>
      </w:r>
      <w:r>
        <w:t xml:space="preserve"> mostrou ser um método válido para identificação de EAs em pacientes adultos internados. Contudo, ele não </w:t>
      </w:r>
      <w:r w:rsidR="003A6C13">
        <w:t>foi capaz de id</w:t>
      </w:r>
      <w:r>
        <w:t>entifica</w:t>
      </w:r>
      <w:r w:rsidR="003A6C13">
        <w:t>r</w:t>
      </w:r>
      <w:r>
        <w:t xml:space="preserve"> todos o</w:t>
      </w:r>
      <w:r w:rsidR="00195EEA">
        <w:t>s</w:t>
      </w:r>
      <w:r>
        <w:t xml:space="preserve"> EAs, deixando de detectar principalmente </w:t>
      </w:r>
      <w:r w:rsidR="00195EEA">
        <w:t>aqueles</w:t>
      </w:r>
      <w:r>
        <w:t xml:space="preserve"> </w:t>
      </w:r>
      <w:r w:rsidR="003A6C13">
        <w:t>classificados como dano E e os relacionados a</w:t>
      </w:r>
      <w:r w:rsidR="00630FCA">
        <w:t xml:space="preserve"> alguns</w:t>
      </w:r>
      <w:r w:rsidR="003A6C13">
        <w:t xml:space="preserve"> cuidados de enfermagem. Por isso, não recomendamos que o </w:t>
      </w:r>
      <w:r w:rsidR="003A6C13">
        <w:rPr>
          <w:i/>
          <w:iCs/>
        </w:rPr>
        <w:t xml:space="preserve">GTT </w:t>
      </w:r>
      <w:r w:rsidR="003A6C13">
        <w:t>seja utilizado como método único de identificação de EAs. Outr</w:t>
      </w:r>
      <w:r w:rsidR="00195EEA">
        <w:t>a</w:t>
      </w:r>
      <w:r w:rsidR="006E1C15">
        <w:t xml:space="preserve">s </w:t>
      </w:r>
      <w:r w:rsidR="00195EEA">
        <w:t>ferramentas</w:t>
      </w:r>
      <w:r w:rsidR="006E1C15">
        <w:t xml:space="preserve"> </w:t>
      </w:r>
      <w:r w:rsidR="003A6C13">
        <w:t>de medição devem ser associad</w:t>
      </w:r>
      <w:r w:rsidR="00195EEA">
        <w:t>a</w:t>
      </w:r>
      <w:r w:rsidR="003A6C13">
        <w:t>s a ele para alcançar resultados representativos do perfil de segurança e qualidade nos cuidados em saúde oferecidos</w:t>
      </w:r>
      <w:r w:rsidR="00195EEA">
        <w:t xml:space="preserve"> e, assim, orientar as melhores estratégias para melhoria</w:t>
      </w:r>
      <w:r w:rsidR="003A6C13">
        <w:t>.</w:t>
      </w:r>
      <w:r w:rsidR="006E1C15">
        <w:t xml:space="preserve"> </w:t>
      </w:r>
    </w:p>
    <w:p w14:paraId="0E1BC76A" w14:textId="77777777" w:rsidR="00195EEA" w:rsidRDefault="00195EEA" w:rsidP="003D3FBC">
      <w:pPr>
        <w:shd w:val="clear" w:color="auto" w:fill="FFFFFF"/>
        <w:spacing w:before="120"/>
        <w:textAlignment w:val="baseline"/>
      </w:pPr>
    </w:p>
    <w:p w14:paraId="43035969" w14:textId="7799829B" w:rsidR="00221568" w:rsidRPr="00221568" w:rsidRDefault="00221568" w:rsidP="003D3FBC">
      <w:pPr>
        <w:shd w:val="clear" w:color="auto" w:fill="FFFFFF"/>
        <w:spacing w:before="120"/>
        <w:textAlignment w:val="baseline"/>
      </w:pPr>
      <w:r>
        <w:t>As limitações inerentes aos diferentes métodos de identificação de EAs desqualifica métricas abrangentes de segurança do paciente, como as taxas gerais de EAs</w:t>
      </w:r>
      <w:r w:rsidR="00630FCA">
        <w:t xml:space="preserve"> geradas individualmente por cada um deles</w:t>
      </w:r>
      <w:r>
        <w:t xml:space="preserve">. </w:t>
      </w:r>
      <w:r w:rsidR="006E1C15">
        <w:t>Medidas personalizadas para danos específicos ao paciente</w:t>
      </w:r>
      <w:r w:rsidR="00960EAA">
        <w:t>,</w:t>
      </w:r>
      <w:r w:rsidRPr="00221568">
        <w:t xml:space="preserve"> </w:t>
      </w:r>
      <w:r>
        <w:t>que valorizam a compreensão da ocorrência de EAs por natureza,</w:t>
      </w:r>
      <w:r w:rsidR="006E1C15">
        <w:t xml:space="preserve"> tem sido propostas </w:t>
      </w:r>
      <w:r>
        <w:t xml:space="preserve">para detectar </w:t>
      </w:r>
      <w:r w:rsidR="00161ED7" w:rsidRPr="00195EEA">
        <w:t>o progresso ao longo do tempo</w:t>
      </w:r>
      <w:r w:rsidR="00161ED7">
        <w:t xml:space="preserve"> e </w:t>
      </w:r>
      <w:r w:rsidRPr="00195EEA">
        <w:t>diferenças na segurança</w:t>
      </w:r>
      <w:r w:rsidR="00161ED7">
        <w:t xml:space="preserve"> do cuidado oferecido</w:t>
      </w:r>
      <w:r w:rsidRPr="00195EEA">
        <w:t xml:space="preserve"> entre as instituições</w:t>
      </w:r>
      <w:r>
        <w:t xml:space="preserve"> (</w:t>
      </w:r>
      <w:r w:rsidRPr="00646E2B">
        <w:t>Shojania e Marang-van de Mheen, 2020)</w:t>
      </w:r>
      <w:r>
        <w:t xml:space="preserve">. Nesse sentido, </w:t>
      </w:r>
      <w:r w:rsidR="00630FCA">
        <w:t xml:space="preserve">desde que sejam seguidas definições e classificações padronizadas em segurança do paciente, </w:t>
      </w:r>
      <w:r>
        <w:t xml:space="preserve">o </w:t>
      </w:r>
      <w:r>
        <w:rPr>
          <w:i/>
          <w:iCs/>
        </w:rPr>
        <w:t xml:space="preserve">GTT </w:t>
      </w:r>
      <w:r>
        <w:t xml:space="preserve">pode </w:t>
      </w:r>
      <w:r w:rsidR="00960EAA">
        <w:t>representar uma das fontes de dados par</w:t>
      </w:r>
      <w:r w:rsidR="00630FCA">
        <w:t>a</w:t>
      </w:r>
      <w:r w:rsidR="00960EAA">
        <w:t xml:space="preserve"> a medida de eventos específicos de interesse.</w:t>
      </w:r>
    </w:p>
    <w:p w14:paraId="768A152C" w14:textId="376A3C6C" w:rsidR="008506E0" w:rsidRDefault="008506E0">
      <w:pPr>
        <w:spacing w:after="200" w:line="276" w:lineRule="auto"/>
        <w:jc w:val="left"/>
        <w:rPr>
          <w:rFonts w:ascii="Times New Roman" w:eastAsia="Times New Roman" w:hAnsi="Times New Roman" w:cs="Times New Roman"/>
          <w:sz w:val="22"/>
          <w:lang w:val="en-US" w:eastAsia="en-US"/>
        </w:rPr>
      </w:pPr>
    </w:p>
    <w:sectPr w:rsidR="008506E0" w:rsidSect="007F48E2">
      <w:pgSz w:w="11906" w:h="16838"/>
      <w:pgMar w:top="1417" w:right="1701" w:bottom="1417" w:left="1701" w:header="708"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ra Moraes" w:date="2021-04-01T10:53:00Z" w:initials="SM">
    <w:p w14:paraId="4A234954" w14:textId="06B95164" w:rsidR="00606B13" w:rsidRDefault="00606B13">
      <w:pPr>
        <w:pStyle w:val="Textodecomentrio"/>
        <w:rPr>
          <w:lang w:val="pt-BR"/>
        </w:rPr>
      </w:pPr>
      <w:r>
        <w:rPr>
          <w:rStyle w:val="Refdecomentrio"/>
        </w:rPr>
        <w:annotationRef/>
      </w:r>
      <w:bookmarkStart w:id="2" w:name="_Hlk72068910"/>
      <w:r>
        <w:rPr>
          <w:lang w:val="pt-BR"/>
        </w:rPr>
        <w:t>Máximo 5 imagens. No momento:</w:t>
      </w:r>
    </w:p>
    <w:p w14:paraId="54D1E37E" w14:textId="77777777" w:rsidR="00606B13" w:rsidRDefault="00606B13">
      <w:pPr>
        <w:pStyle w:val="Textodecomentrio"/>
        <w:rPr>
          <w:lang w:val="pt-BR"/>
        </w:rPr>
      </w:pPr>
      <w:r>
        <w:rPr>
          <w:lang w:val="pt-BR"/>
        </w:rPr>
        <w:t>Figura 1: Amostra</w:t>
      </w:r>
    </w:p>
    <w:p w14:paraId="514382DE" w14:textId="77777777" w:rsidR="00606B13" w:rsidRDefault="00606B13">
      <w:pPr>
        <w:pStyle w:val="Textodecomentrio"/>
        <w:rPr>
          <w:lang w:val="pt-BR"/>
        </w:rPr>
      </w:pPr>
      <w:r>
        <w:rPr>
          <w:lang w:val="pt-BR"/>
        </w:rPr>
        <w:t>Tabela 1: Rastreadores</w:t>
      </w:r>
    </w:p>
    <w:p w14:paraId="35ABF33D" w14:textId="77777777" w:rsidR="00606B13" w:rsidRDefault="00606B13">
      <w:pPr>
        <w:pStyle w:val="Textodecomentrio"/>
        <w:rPr>
          <w:lang w:val="pt-BR"/>
        </w:rPr>
      </w:pPr>
      <w:r>
        <w:rPr>
          <w:lang w:val="pt-BR"/>
        </w:rPr>
        <w:t>Tabela 2: EA por gravidade</w:t>
      </w:r>
    </w:p>
    <w:p w14:paraId="09CFEF83" w14:textId="77777777" w:rsidR="00606B13" w:rsidRDefault="00606B13">
      <w:pPr>
        <w:pStyle w:val="Textodecomentrio"/>
        <w:rPr>
          <w:lang w:val="pt-BR"/>
        </w:rPr>
      </w:pPr>
      <w:r>
        <w:rPr>
          <w:lang w:val="pt-BR"/>
        </w:rPr>
        <w:t>Tabela 3: EV por natureza</w:t>
      </w:r>
    </w:p>
    <w:p w14:paraId="1BF90502" w14:textId="6EEABCD9" w:rsidR="00606B13" w:rsidRPr="00940A9F" w:rsidRDefault="00606B13">
      <w:pPr>
        <w:pStyle w:val="Textodecomentrio"/>
        <w:rPr>
          <w:lang w:val="pt-BR"/>
        </w:rPr>
      </w:pPr>
      <w:r>
        <w:rPr>
          <w:lang w:val="pt-BR"/>
        </w:rPr>
        <w:t>Tabela 4: Acurácia</w:t>
      </w:r>
      <w:bookmarkEnd w:id="2"/>
    </w:p>
  </w:comment>
  <w:comment w:id="5" w:author="Alline Beleigoli" w:date="2021-05-13T22:17:00Z" w:initials="AB">
    <w:p w14:paraId="2AF81B07" w14:textId="7530E047" w:rsidR="00606B13" w:rsidRPr="00412507" w:rsidRDefault="00606B13">
      <w:pPr>
        <w:pStyle w:val="Textodecomentrio"/>
        <w:rPr>
          <w:lang w:val="pt-BR"/>
        </w:rPr>
      </w:pPr>
      <w:r>
        <w:rPr>
          <w:rStyle w:val="Refdecomentrio"/>
        </w:rPr>
        <w:annotationRef/>
      </w:r>
      <w:r w:rsidRPr="00412507">
        <w:rPr>
          <w:lang w:val="pt-BR"/>
        </w:rPr>
        <w:t>Precisamos de ta</w:t>
      </w:r>
      <w:r>
        <w:rPr>
          <w:lang w:val="pt-BR"/>
        </w:rPr>
        <w:t>bela para esses dados. Acho que esses paragrafos longos com a descricao da pop do estudo sao muito entendiantes...</w:t>
      </w:r>
    </w:p>
  </w:comment>
  <w:comment w:id="6" w:author="Sara Moraes" w:date="2021-04-01T09:10:00Z" w:initials="SM">
    <w:p w14:paraId="54E44F3E" w14:textId="7E3E120B" w:rsidR="00606B13" w:rsidRPr="005E28C7" w:rsidRDefault="00606B13">
      <w:pPr>
        <w:pStyle w:val="Textodecomentrio"/>
        <w:rPr>
          <w:lang w:val="pt-BR"/>
        </w:rPr>
      </w:pPr>
      <w:r>
        <w:rPr>
          <w:rStyle w:val="Refdecomentrio"/>
        </w:rPr>
        <w:annotationRef/>
      </w:r>
      <w:r>
        <w:rPr>
          <w:lang w:val="pt-BR"/>
        </w:rPr>
        <w:t>Cálculo estatístico</w:t>
      </w:r>
    </w:p>
  </w:comment>
  <w:comment w:id="8" w:author="Alline Beleigoli" w:date="2021-05-13T22:19:00Z" w:initials="AB">
    <w:p w14:paraId="64C49E1B" w14:textId="11D9EF66" w:rsidR="00606B13" w:rsidRPr="0081017E" w:rsidRDefault="00606B13">
      <w:pPr>
        <w:pStyle w:val="Textodecomentrio"/>
        <w:rPr>
          <w:lang w:val="pt-BR"/>
        </w:rPr>
      </w:pPr>
      <w:r>
        <w:rPr>
          <w:rStyle w:val="Refdecomentrio"/>
        </w:rPr>
        <w:annotationRef/>
      </w:r>
      <w:r w:rsidRPr="0081017E">
        <w:rPr>
          <w:lang w:val="pt-BR"/>
        </w:rPr>
        <w:t xml:space="preserve">Acho que </w:t>
      </w:r>
      <w:r>
        <w:rPr>
          <w:lang w:val="pt-BR"/>
        </w:rPr>
        <w:t>os estatisticos poderiam ajudar a ter um grafico legal para mostrar isso</w:t>
      </w:r>
    </w:p>
  </w:comment>
  <w:comment w:id="9" w:author="Alline Beleigoli" w:date="2021-05-13T22:20:00Z" w:initials="AB">
    <w:p w14:paraId="43A56CDD" w14:textId="7408FBFE" w:rsidR="00606B13" w:rsidRPr="003F2D79" w:rsidRDefault="00606B13">
      <w:pPr>
        <w:pStyle w:val="Textodecomentrio"/>
        <w:rPr>
          <w:lang w:val="pt-BR"/>
        </w:rPr>
      </w:pPr>
      <w:r>
        <w:rPr>
          <w:rStyle w:val="Refdecomentrio"/>
        </w:rPr>
        <w:annotationRef/>
      </w:r>
      <w:r>
        <w:rPr>
          <w:lang w:val="pt-BR"/>
        </w:rPr>
        <w:t>Eh necessario incluir as porcentagens entre parenteses</w:t>
      </w:r>
    </w:p>
  </w:comment>
  <w:comment w:id="12" w:author="Sara Moraes" w:date="2021-04-01T09:18:00Z" w:initials="SM">
    <w:p w14:paraId="7A154165" w14:textId="77777777" w:rsidR="00606B13" w:rsidRPr="003B08D0" w:rsidRDefault="00606B13" w:rsidP="003B08D0">
      <w:pPr>
        <w:pStyle w:val="Textodecomentrio"/>
        <w:rPr>
          <w:lang w:val="pt-BR"/>
        </w:rPr>
      </w:pPr>
      <w:r>
        <w:rPr>
          <w:rStyle w:val="Refdecomentrio"/>
        </w:rPr>
        <w:annotationRef/>
      </w:r>
      <w:r>
        <w:rPr>
          <w:lang w:val="pt-BR"/>
        </w:rPr>
        <w:t>Não sei se posso afirmar isso sem aplicar um teste estatístico.</w:t>
      </w:r>
    </w:p>
  </w:comment>
  <w:comment w:id="13" w:author="Alline Beleigoli" w:date="2021-05-13T21:54:00Z" w:initials="AB">
    <w:p w14:paraId="5B6FB66C" w14:textId="486D482E" w:rsidR="00606B13" w:rsidRPr="00BA1671" w:rsidRDefault="00606B13">
      <w:pPr>
        <w:pStyle w:val="Textodecomentrio"/>
        <w:rPr>
          <w:lang w:val="pt-BR"/>
        </w:rPr>
      </w:pPr>
      <w:r>
        <w:rPr>
          <w:rStyle w:val="Refdecomentrio"/>
        </w:rPr>
        <w:annotationRef/>
      </w:r>
      <w:r w:rsidRPr="00BA1671">
        <w:rPr>
          <w:lang w:val="pt-BR"/>
        </w:rPr>
        <w:t>Necessario teste estatistico par</w:t>
      </w:r>
      <w:r>
        <w:rPr>
          <w:lang w:val="pt-BR"/>
        </w:rPr>
        <w:t>a comparacao as proporcoes de eventos de cada tipo identificado pelo padrao vs GTT. Teste qui-quadrado se aplica</w:t>
      </w:r>
    </w:p>
  </w:comment>
  <w:comment w:id="15" w:author="Alline Beleigoli" w:date="2021-05-13T21:59:00Z" w:initials="AB">
    <w:p w14:paraId="76AFFBC1" w14:textId="66AE0905" w:rsidR="00606B13" w:rsidRPr="003D698C" w:rsidRDefault="00606B13">
      <w:pPr>
        <w:pStyle w:val="Textodecomentrio"/>
        <w:rPr>
          <w:lang w:val="pt-BR"/>
        </w:rPr>
      </w:pPr>
      <w:r>
        <w:rPr>
          <w:rStyle w:val="Refdecomentrio"/>
        </w:rPr>
        <w:annotationRef/>
      </w:r>
      <w:r w:rsidRPr="003D698C">
        <w:rPr>
          <w:lang w:val="pt-BR"/>
        </w:rPr>
        <w:t>Sug</w:t>
      </w:r>
      <w:r>
        <w:rPr>
          <w:lang w:val="pt-BR"/>
        </w:rPr>
        <w:t>iro ac</w:t>
      </w:r>
      <w:r w:rsidRPr="003D698C">
        <w:rPr>
          <w:lang w:val="pt-BR"/>
        </w:rPr>
        <w:t xml:space="preserve">rescentar a </w:t>
      </w:r>
      <w:r>
        <w:rPr>
          <w:lang w:val="pt-BR"/>
        </w:rPr>
        <w:t>% que cada numero absoluto desse equivale em relacao ao total. O mesmo para tabelas. Em relacao ao teste, acho que o interessante seria comparar sensibilidade, especificidade, VPP, VPN para cada um desses eventos. Talvez comparar as areas das curvas ROC para cada um desses tipos de eventos? Eh uma boa pergunta para os estatisticos</w:t>
      </w:r>
    </w:p>
  </w:comment>
  <w:comment w:id="16" w:author="Sara Moraes" w:date="2021-04-01T10:17:00Z" w:initials="SM">
    <w:p w14:paraId="5DC2EC3B" w14:textId="3CA4B198" w:rsidR="00606B13" w:rsidRPr="00DE5C9E" w:rsidRDefault="00606B13">
      <w:pPr>
        <w:pStyle w:val="Textodecomentrio"/>
        <w:rPr>
          <w:lang w:val="pt-BR"/>
        </w:rPr>
      </w:pPr>
      <w:r>
        <w:rPr>
          <w:rStyle w:val="Refdecomentrio"/>
        </w:rPr>
        <w:annotationRef/>
      </w:r>
      <w:r>
        <w:rPr>
          <w:lang w:val="pt-BR"/>
        </w:rPr>
        <w:t>Caberia algum tipo de teste estatístico aqui?</w:t>
      </w:r>
    </w:p>
  </w:comment>
  <w:comment w:id="19" w:author="Sara Moraes" w:date="2021-04-23T16:51:00Z" w:initials="SM">
    <w:p w14:paraId="14E07FAD" w14:textId="66776EFB" w:rsidR="00606B13" w:rsidRPr="00D908A7" w:rsidRDefault="00606B13">
      <w:pPr>
        <w:pStyle w:val="Textodecomentrio"/>
        <w:rPr>
          <w:lang w:val="pt-BR"/>
        </w:rPr>
      </w:pPr>
      <w:r>
        <w:rPr>
          <w:rStyle w:val="Refdecomentrio"/>
        </w:rPr>
        <w:annotationRef/>
      </w:r>
      <w:r>
        <w:rPr>
          <w:lang w:val="pt-BR"/>
        </w:rPr>
        <w:t>Estatística</w:t>
      </w:r>
    </w:p>
  </w:comment>
  <w:comment w:id="20" w:author="Sara Moraes" w:date="2021-04-03T09:16:00Z" w:initials="SM">
    <w:p w14:paraId="4EA1DF6F" w14:textId="38929693" w:rsidR="00606B13" w:rsidRDefault="00606B13">
      <w:pPr>
        <w:pStyle w:val="Textodecomentrio"/>
      </w:pPr>
      <w:r>
        <w:rPr>
          <w:rStyle w:val="Refdecomentrio"/>
        </w:rPr>
        <w:annotationRef/>
      </w:r>
      <w:r>
        <w:rPr>
          <w:lang w:val="pt-BR"/>
        </w:rPr>
        <w:t>Os dados de validade podem também ser apresentados como essa figura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F90502" w15:done="0"/>
  <w15:commentEx w15:paraId="2AF81B07" w15:done="0"/>
  <w15:commentEx w15:paraId="54E44F3E" w15:done="0"/>
  <w15:commentEx w15:paraId="64C49E1B" w15:done="0"/>
  <w15:commentEx w15:paraId="43A56CDD" w15:done="0"/>
  <w15:commentEx w15:paraId="7A154165" w15:done="0"/>
  <w15:commentEx w15:paraId="5B6FB66C" w15:paraIdParent="7A154165" w15:done="0"/>
  <w15:commentEx w15:paraId="76AFFBC1" w15:done="0"/>
  <w15:commentEx w15:paraId="5DC2EC3B" w15:done="0"/>
  <w15:commentEx w15:paraId="14E07FAD" w15:done="0"/>
  <w15:commentEx w15:paraId="4EA1DF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024A9" w16cex:dateUtc="2021-04-01T13:53:00Z"/>
  <w16cex:commentExtensible w16cex:durableId="24100CA1" w16cex:dateUtc="2021-04-01T12:10:00Z"/>
  <w16cex:commentExtensible w16cex:durableId="24100E71" w16cex:dateUtc="2021-04-01T12:18:00Z"/>
  <w16cex:commentExtensible w16cex:durableId="24101C41" w16cex:dateUtc="2021-04-01T13:17:00Z"/>
  <w16cex:commentExtensible w16cex:durableId="242D7988" w16cex:dateUtc="2021-04-23T19:51:00Z"/>
  <w16cex:commentExtensible w16cex:durableId="2412B0F6" w16cex:dateUtc="2021-04-03T1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F90502" w16cid:durableId="241024A9"/>
  <w16cid:commentId w16cid:paraId="2AF81B07" w16cid:durableId="244823F8"/>
  <w16cid:commentId w16cid:paraId="54E44F3E" w16cid:durableId="24100CA1"/>
  <w16cid:commentId w16cid:paraId="64C49E1B" w16cid:durableId="24482470"/>
  <w16cid:commentId w16cid:paraId="43A56CDD" w16cid:durableId="24482490"/>
  <w16cid:commentId w16cid:paraId="7A154165" w16cid:durableId="24100E71"/>
  <w16cid:commentId w16cid:paraId="5B6FB66C" w16cid:durableId="24481E90"/>
  <w16cid:commentId w16cid:paraId="76AFFBC1" w16cid:durableId="24481FBB"/>
  <w16cid:commentId w16cid:paraId="5DC2EC3B" w16cid:durableId="24101C41"/>
  <w16cid:commentId w16cid:paraId="14E07FAD" w16cid:durableId="242D7988"/>
  <w16cid:commentId w16cid:paraId="4EA1DF6F" w16cid:durableId="2412B0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B2D9F" w14:textId="77777777" w:rsidR="001E4B39" w:rsidRDefault="001E4B39" w:rsidP="00666FD6">
      <w:pPr>
        <w:spacing w:line="240" w:lineRule="auto"/>
      </w:pPr>
      <w:r>
        <w:separator/>
      </w:r>
    </w:p>
  </w:endnote>
  <w:endnote w:type="continuationSeparator" w:id="0">
    <w:p w14:paraId="6F7C87B7" w14:textId="77777777" w:rsidR="001E4B39" w:rsidRDefault="001E4B39" w:rsidP="00666F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1F0A3" w14:textId="77777777" w:rsidR="00606B13" w:rsidRDefault="00606B1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920F1" w14:textId="77777777" w:rsidR="001E4B39" w:rsidRDefault="001E4B39" w:rsidP="00666FD6">
      <w:pPr>
        <w:spacing w:line="240" w:lineRule="auto"/>
      </w:pPr>
      <w:r>
        <w:separator/>
      </w:r>
    </w:p>
  </w:footnote>
  <w:footnote w:type="continuationSeparator" w:id="0">
    <w:p w14:paraId="4461FDE5" w14:textId="77777777" w:rsidR="001E4B39" w:rsidRDefault="001E4B39" w:rsidP="00666F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941459"/>
      <w:docPartObj>
        <w:docPartGallery w:val="Page Numbers (Top of Page)"/>
        <w:docPartUnique/>
      </w:docPartObj>
    </w:sdtPr>
    <w:sdtEndPr/>
    <w:sdtContent>
      <w:p w14:paraId="1AAAB22F" w14:textId="77777777" w:rsidR="00606B13" w:rsidRDefault="00606B13">
        <w:pPr>
          <w:pStyle w:val="Cabealho"/>
          <w:jc w:val="right"/>
        </w:pPr>
        <w:r>
          <w:fldChar w:fldCharType="begin"/>
        </w:r>
        <w:r>
          <w:instrText>PAGE   \* MERGEFORMAT</w:instrText>
        </w:r>
        <w:r>
          <w:fldChar w:fldCharType="separate"/>
        </w:r>
        <w:r>
          <w:rPr>
            <w:noProof/>
          </w:rPr>
          <w:t>116</w:t>
        </w:r>
        <w:r>
          <w:rPr>
            <w:noProof/>
          </w:rPr>
          <w:fldChar w:fldCharType="end"/>
        </w:r>
      </w:p>
    </w:sdtContent>
  </w:sdt>
  <w:p w14:paraId="21828866" w14:textId="77777777" w:rsidR="00606B13" w:rsidRDefault="00606B1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75A"/>
    <w:multiLevelType w:val="hybridMultilevel"/>
    <w:tmpl w:val="F8C65766"/>
    <w:lvl w:ilvl="0" w:tplc="6C62796A">
      <w:start w:val="1"/>
      <w:numFmt w:val="lowerLetter"/>
      <w:lvlText w:val="%1)"/>
      <w:lvlJc w:val="left"/>
      <w:pPr>
        <w:ind w:left="1854" w:hanging="360"/>
      </w:pPr>
      <w:rPr>
        <w:rFonts w:ascii="Arial" w:eastAsiaTheme="minorHAnsi" w:hAnsi="Arial" w:cstheme="minorBidi"/>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 w15:restartNumberingAfterBreak="0">
    <w:nsid w:val="170A14A1"/>
    <w:multiLevelType w:val="hybridMultilevel"/>
    <w:tmpl w:val="5476C778"/>
    <w:lvl w:ilvl="0" w:tplc="E8AEE16C">
      <w:start w:val="1"/>
      <w:numFmt w:val="decimal"/>
      <w:lvlText w:val="%1)"/>
      <w:lvlJc w:val="left"/>
      <w:pPr>
        <w:ind w:left="1428" w:hanging="360"/>
      </w:pPr>
      <w:rPr>
        <w:rFonts w:ascii="Arial" w:eastAsiaTheme="minorHAnsi" w:hAnsi="Arial" w:cstheme="minorBidi"/>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19C13EEB"/>
    <w:multiLevelType w:val="hybridMultilevel"/>
    <w:tmpl w:val="5C882A00"/>
    <w:lvl w:ilvl="0" w:tplc="51C465A8">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 w15:restartNumberingAfterBreak="0">
    <w:nsid w:val="1F96072E"/>
    <w:multiLevelType w:val="multilevel"/>
    <w:tmpl w:val="427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54E2F"/>
    <w:multiLevelType w:val="hybridMultilevel"/>
    <w:tmpl w:val="FFA4BD22"/>
    <w:lvl w:ilvl="0" w:tplc="6A0CECD8">
      <w:start w:val="1"/>
      <w:numFmt w:val="lowerLetter"/>
      <w:lvlText w:val="%1)"/>
      <w:lvlJc w:val="left"/>
      <w:pPr>
        <w:ind w:left="360" w:hanging="360"/>
      </w:pPr>
      <w:rPr>
        <w:rFonts w:ascii="Arial" w:eastAsiaTheme="minorHAnsi" w:hAnsi="Arial" w:cstheme="minorBidi"/>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35F52735"/>
    <w:multiLevelType w:val="hybridMultilevel"/>
    <w:tmpl w:val="C802AC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B3A5C6A"/>
    <w:multiLevelType w:val="multilevel"/>
    <w:tmpl w:val="335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797D41"/>
    <w:multiLevelType w:val="hybridMultilevel"/>
    <w:tmpl w:val="7F40318C"/>
    <w:lvl w:ilvl="0" w:tplc="04160017">
      <w:start w:val="1"/>
      <w:numFmt w:val="lowerLetter"/>
      <w:lvlText w:val="%1)"/>
      <w:lvlJc w:val="left"/>
      <w:pPr>
        <w:ind w:left="-2622" w:hanging="360"/>
      </w:pPr>
      <w:rPr>
        <w:rFonts w:hint="default"/>
      </w:rPr>
    </w:lvl>
    <w:lvl w:ilvl="1" w:tplc="04160019" w:tentative="1">
      <w:start w:val="1"/>
      <w:numFmt w:val="lowerLetter"/>
      <w:lvlText w:val="%2."/>
      <w:lvlJc w:val="left"/>
      <w:pPr>
        <w:ind w:left="-1902" w:hanging="360"/>
      </w:pPr>
    </w:lvl>
    <w:lvl w:ilvl="2" w:tplc="0416001B" w:tentative="1">
      <w:start w:val="1"/>
      <w:numFmt w:val="lowerRoman"/>
      <w:lvlText w:val="%3."/>
      <w:lvlJc w:val="right"/>
      <w:pPr>
        <w:ind w:left="-1182" w:hanging="180"/>
      </w:pPr>
    </w:lvl>
    <w:lvl w:ilvl="3" w:tplc="0416000F" w:tentative="1">
      <w:start w:val="1"/>
      <w:numFmt w:val="decimal"/>
      <w:lvlText w:val="%4."/>
      <w:lvlJc w:val="left"/>
      <w:pPr>
        <w:ind w:left="-462" w:hanging="360"/>
      </w:pPr>
    </w:lvl>
    <w:lvl w:ilvl="4" w:tplc="04160019" w:tentative="1">
      <w:start w:val="1"/>
      <w:numFmt w:val="lowerLetter"/>
      <w:lvlText w:val="%5."/>
      <w:lvlJc w:val="left"/>
      <w:pPr>
        <w:ind w:left="258" w:hanging="360"/>
      </w:pPr>
    </w:lvl>
    <w:lvl w:ilvl="5" w:tplc="0416001B" w:tentative="1">
      <w:start w:val="1"/>
      <w:numFmt w:val="lowerRoman"/>
      <w:lvlText w:val="%6."/>
      <w:lvlJc w:val="right"/>
      <w:pPr>
        <w:ind w:left="978" w:hanging="180"/>
      </w:pPr>
    </w:lvl>
    <w:lvl w:ilvl="6" w:tplc="0416000F" w:tentative="1">
      <w:start w:val="1"/>
      <w:numFmt w:val="decimal"/>
      <w:lvlText w:val="%7."/>
      <w:lvlJc w:val="left"/>
      <w:pPr>
        <w:ind w:left="1698" w:hanging="360"/>
      </w:pPr>
    </w:lvl>
    <w:lvl w:ilvl="7" w:tplc="04160019" w:tentative="1">
      <w:start w:val="1"/>
      <w:numFmt w:val="lowerLetter"/>
      <w:lvlText w:val="%8."/>
      <w:lvlJc w:val="left"/>
      <w:pPr>
        <w:ind w:left="2418" w:hanging="360"/>
      </w:pPr>
    </w:lvl>
    <w:lvl w:ilvl="8" w:tplc="0416001B" w:tentative="1">
      <w:start w:val="1"/>
      <w:numFmt w:val="lowerRoman"/>
      <w:lvlText w:val="%9."/>
      <w:lvlJc w:val="right"/>
      <w:pPr>
        <w:ind w:left="3138" w:hanging="180"/>
      </w:pPr>
    </w:lvl>
  </w:abstractNum>
  <w:abstractNum w:abstractNumId="8" w15:restartNumberingAfterBreak="0">
    <w:nsid w:val="521D57E2"/>
    <w:multiLevelType w:val="hybridMultilevel"/>
    <w:tmpl w:val="8C1A3090"/>
    <w:lvl w:ilvl="0" w:tplc="5BDA409A">
      <w:start w:val="1"/>
      <w:numFmt w:val="lowerLetter"/>
      <w:lvlText w:val="%1)"/>
      <w:lvlJc w:val="left"/>
      <w:pPr>
        <w:ind w:left="1854" w:hanging="360"/>
      </w:pPr>
      <w:rPr>
        <w:rFonts w:ascii="Arial" w:eastAsiaTheme="minorHAnsi" w:hAnsi="Arial" w:cstheme="minorBidi"/>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15:restartNumberingAfterBreak="0">
    <w:nsid w:val="542E2C51"/>
    <w:multiLevelType w:val="hybridMultilevel"/>
    <w:tmpl w:val="1C9AB100"/>
    <w:lvl w:ilvl="0" w:tplc="525E4C36">
      <w:start w:val="1"/>
      <w:numFmt w:val="lowerLetter"/>
      <w:lvlText w:val="%1)"/>
      <w:lvlJc w:val="left"/>
      <w:pPr>
        <w:ind w:left="720" w:hanging="360"/>
      </w:pPr>
      <w:rPr>
        <w:rFonts w:hint="default"/>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9085853"/>
    <w:multiLevelType w:val="hybridMultilevel"/>
    <w:tmpl w:val="FF3AEE4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9F411B7"/>
    <w:multiLevelType w:val="hybridMultilevel"/>
    <w:tmpl w:val="D7F6AE76"/>
    <w:lvl w:ilvl="0" w:tplc="2DCC528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78245113"/>
    <w:multiLevelType w:val="hybridMultilevel"/>
    <w:tmpl w:val="85BCEF5E"/>
    <w:lvl w:ilvl="0" w:tplc="54C8E0FA">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3" w15:restartNumberingAfterBreak="0">
    <w:nsid w:val="7C807DB0"/>
    <w:multiLevelType w:val="hybridMultilevel"/>
    <w:tmpl w:val="44AE16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FA06B83"/>
    <w:multiLevelType w:val="multilevel"/>
    <w:tmpl w:val="AEAC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0"/>
  </w:num>
  <w:num w:numId="4">
    <w:abstractNumId w:val="12"/>
  </w:num>
  <w:num w:numId="5">
    <w:abstractNumId w:val="2"/>
  </w:num>
  <w:num w:numId="6">
    <w:abstractNumId w:val="1"/>
  </w:num>
  <w:num w:numId="7">
    <w:abstractNumId w:val="4"/>
  </w:num>
  <w:num w:numId="8">
    <w:abstractNumId w:val="13"/>
  </w:num>
  <w:num w:numId="9">
    <w:abstractNumId w:val="10"/>
  </w:num>
  <w:num w:numId="10">
    <w:abstractNumId w:val="6"/>
  </w:num>
  <w:num w:numId="11">
    <w:abstractNumId w:val="14"/>
  </w:num>
  <w:num w:numId="12">
    <w:abstractNumId w:val="7"/>
  </w:num>
  <w:num w:numId="13">
    <w:abstractNumId w:val="9"/>
  </w:num>
  <w:num w:numId="14">
    <w:abstractNumId w:val="3"/>
  </w:num>
  <w:num w:numId="15">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 Moraes">
    <w15:presenceInfo w15:providerId="Windows Live" w15:userId="917fc696fcba2a88"/>
  </w15:person>
  <w15:person w15:author="Alline Beleigoli">
    <w15:presenceInfo w15:providerId="AD" w15:userId="S::bele0009@flinders.edu.au::85cc0391-c5f0-48e7-a86b-9f86ff3626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BNT (Author-Dat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52EC1"/>
    <w:rsid w:val="0000045B"/>
    <w:rsid w:val="00001381"/>
    <w:rsid w:val="00001E27"/>
    <w:rsid w:val="00001FAF"/>
    <w:rsid w:val="000022C8"/>
    <w:rsid w:val="000039B2"/>
    <w:rsid w:val="00004CFF"/>
    <w:rsid w:val="000066F4"/>
    <w:rsid w:val="00007718"/>
    <w:rsid w:val="00007765"/>
    <w:rsid w:val="000104B6"/>
    <w:rsid w:val="00010E15"/>
    <w:rsid w:val="00011575"/>
    <w:rsid w:val="000132BC"/>
    <w:rsid w:val="000133FB"/>
    <w:rsid w:val="00013846"/>
    <w:rsid w:val="00016CBF"/>
    <w:rsid w:val="00017847"/>
    <w:rsid w:val="000179A3"/>
    <w:rsid w:val="00017E0B"/>
    <w:rsid w:val="000202D4"/>
    <w:rsid w:val="00021A66"/>
    <w:rsid w:val="0002222E"/>
    <w:rsid w:val="00024115"/>
    <w:rsid w:val="00025210"/>
    <w:rsid w:val="000256E7"/>
    <w:rsid w:val="000264CF"/>
    <w:rsid w:val="00026D6C"/>
    <w:rsid w:val="0002734B"/>
    <w:rsid w:val="000302D2"/>
    <w:rsid w:val="00030C3D"/>
    <w:rsid w:val="00031F97"/>
    <w:rsid w:val="00032BE3"/>
    <w:rsid w:val="000345EC"/>
    <w:rsid w:val="00037185"/>
    <w:rsid w:val="000371A7"/>
    <w:rsid w:val="0003756A"/>
    <w:rsid w:val="00040209"/>
    <w:rsid w:val="000424E9"/>
    <w:rsid w:val="00042856"/>
    <w:rsid w:val="00044EBA"/>
    <w:rsid w:val="00046A6D"/>
    <w:rsid w:val="00046CC1"/>
    <w:rsid w:val="000477F6"/>
    <w:rsid w:val="00047C59"/>
    <w:rsid w:val="000511BA"/>
    <w:rsid w:val="00055702"/>
    <w:rsid w:val="00055CB9"/>
    <w:rsid w:val="00056CC9"/>
    <w:rsid w:val="00057EF9"/>
    <w:rsid w:val="00060AA8"/>
    <w:rsid w:val="000610BC"/>
    <w:rsid w:val="0006352C"/>
    <w:rsid w:val="00063715"/>
    <w:rsid w:val="0007089A"/>
    <w:rsid w:val="00070B2E"/>
    <w:rsid w:val="000715AE"/>
    <w:rsid w:val="00071961"/>
    <w:rsid w:val="00071BCF"/>
    <w:rsid w:val="00072465"/>
    <w:rsid w:val="000754A8"/>
    <w:rsid w:val="00075ED1"/>
    <w:rsid w:val="00076D06"/>
    <w:rsid w:val="00077588"/>
    <w:rsid w:val="00080615"/>
    <w:rsid w:val="00080964"/>
    <w:rsid w:val="00081AFC"/>
    <w:rsid w:val="00081E09"/>
    <w:rsid w:val="000835E1"/>
    <w:rsid w:val="000840BD"/>
    <w:rsid w:val="00084399"/>
    <w:rsid w:val="0008463B"/>
    <w:rsid w:val="0008565C"/>
    <w:rsid w:val="00085A80"/>
    <w:rsid w:val="00086004"/>
    <w:rsid w:val="00086652"/>
    <w:rsid w:val="00086F8A"/>
    <w:rsid w:val="00090B43"/>
    <w:rsid w:val="000910E7"/>
    <w:rsid w:val="00093B05"/>
    <w:rsid w:val="0009464C"/>
    <w:rsid w:val="00094EDC"/>
    <w:rsid w:val="0009752E"/>
    <w:rsid w:val="00097C1E"/>
    <w:rsid w:val="000A0F9C"/>
    <w:rsid w:val="000A1280"/>
    <w:rsid w:val="000A23E7"/>
    <w:rsid w:val="000A5901"/>
    <w:rsid w:val="000A6695"/>
    <w:rsid w:val="000A798B"/>
    <w:rsid w:val="000B15DF"/>
    <w:rsid w:val="000B178B"/>
    <w:rsid w:val="000B28D1"/>
    <w:rsid w:val="000B30AC"/>
    <w:rsid w:val="000B3D53"/>
    <w:rsid w:val="000B49AC"/>
    <w:rsid w:val="000B5C5B"/>
    <w:rsid w:val="000B68AC"/>
    <w:rsid w:val="000B7010"/>
    <w:rsid w:val="000B781D"/>
    <w:rsid w:val="000C00E5"/>
    <w:rsid w:val="000C0A5C"/>
    <w:rsid w:val="000C0E56"/>
    <w:rsid w:val="000C12F0"/>
    <w:rsid w:val="000C18D0"/>
    <w:rsid w:val="000C1FBB"/>
    <w:rsid w:val="000C2DDF"/>
    <w:rsid w:val="000C33A5"/>
    <w:rsid w:val="000C34A8"/>
    <w:rsid w:val="000C3DC9"/>
    <w:rsid w:val="000C6345"/>
    <w:rsid w:val="000C7294"/>
    <w:rsid w:val="000C79F7"/>
    <w:rsid w:val="000C7B4B"/>
    <w:rsid w:val="000C7D86"/>
    <w:rsid w:val="000D24FB"/>
    <w:rsid w:val="000D2AA2"/>
    <w:rsid w:val="000D2D0A"/>
    <w:rsid w:val="000D354D"/>
    <w:rsid w:val="000D5338"/>
    <w:rsid w:val="000E0068"/>
    <w:rsid w:val="000E07B7"/>
    <w:rsid w:val="000E3683"/>
    <w:rsid w:val="000E463A"/>
    <w:rsid w:val="000E5F27"/>
    <w:rsid w:val="000E6974"/>
    <w:rsid w:val="000E7786"/>
    <w:rsid w:val="000F1C98"/>
    <w:rsid w:val="000F1EF9"/>
    <w:rsid w:val="000F1FAA"/>
    <w:rsid w:val="000F263C"/>
    <w:rsid w:val="000F346C"/>
    <w:rsid w:val="000F43DF"/>
    <w:rsid w:val="000F6381"/>
    <w:rsid w:val="000F6DA9"/>
    <w:rsid w:val="00100296"/>
    <w:rsid w:val="001007A4"/>
    <w:rsid w:val="00101AFA"/>
    <w:rsid w:val="001021C7"/>
    <w:rsid w:val="00103B49"/>
    <w:rsid w:val="0010642A"/>
    <w:rsid w:val="00106DBA"/>
    <w:rsid w:val="00106FAD"/>
    <w:rsid w:val="001074E7"/>
    <w:rsid w:val="00107A65"/>
    <w:rsid w:val="00107C7F"/>
    <w:rsid w:val="00110893"/>
    <w:rsid w:val="0011194C"/>
    <w:rsid w:val="0011523E"/>
    <w:rsid w:val="00116456"/>
    <w:rsid w:val="00116819"/>
    <w:rsid w:val="00116E7A"/>
    <w:rsid w:val="00117247"/>
    <w:rsid w:val="0011780F"/>
    <w:rsid w:val="001204FE"/>
    <w:rsid w:val="001220E0"/>
    <w:rsid w:val="001228F4"/>
    <w:rsid w:val="00122D33"/>
    <w:rsid w:val="00123BEA"/>
    <w:rsid w:val="00124146"/>
    <w:rsid w:val="001243D5"/>
    <w:rsid w:val="00126C06"/>
    <w:rsid w:val="00126D46"/>
    <w:rsid w:val="00126EFA"/>
    <w:rsid w:val="0013111A"/>
    <w:rsid w:val="00132FE7"/>
    <w:rsid w:val="00133D0F"/>
    <w:rsid w:val="00133FE1"/>
    <w:rsid w:val="001363C7"/>
    <w:rsid w:val="00136465"/>
    <w:rsid w:val="00137E20"/>
    <w:rsid w:val="00142165"/>
    <w:rsid w:val="00143AD7"/>
    <w:rsid w:val="00143DDA"/>
    <w:rsid w:val="00144119"/>
    <w:rsid w:val="00144621"/>
    <w:rsid w:val="00145D1B"/>
    <w:rsid w:val="0014729F"/>
    <w:rsid w:val="00147BC2"/>
    <w:rsid w:val="0015261B"/>
    <w:rsid w:val="00154058"/>
    <w:rsid w:val="001554D1"/>
    <w:rsid w:val="00155645"/>
    <w:rsid w:val="00157331"/>
    <w:rsid w:val="00157CA1"/>
    <w:rsid w:val="00157F54"/>
    <w:rsid w:val="0016046D"/>
    <w:rsid w:val="00161ED7"/>
    <w:rsid w:val="00164761"/>
    <w:rsid w:val="001652E2"/>
    <w:rsid w:val="00166006"/>
    <w:rsid w:val="00166A2B"/>
    <w:rsid w:val="00167A80"/>
    <w:rsid w:val="001719DA"/>
    <w:rsid w:val="001740BB"/>
    <w:rsid w:val="00175451"/>
    <w:rsid w:val="00175691"/>
    <w:rsid w:val="0017614A"/>
    <w:rsid w:val="0017642A"/>
    <w:rsid w:val="001767EB"/>
    <w:rsid w:val="00176BD8"/>
    <w:rsid w:val="00176D10"/>
    <w:rsid w:val="0018095D"/>
    <w:rsid w:val="00180DA7"/>
    <w:rsid w:val="001831FA"/>
    <w:rsid w:val="00183600"/>
    <w:rsid w:val="00183662"/>
    <w:rsid w:val="00183B34"/>
    <w:rsid w:val="00184848"/>
    <w:rsid w:val="00185E69"/>
    <w:rsid w:val="00186C87"/>
    <w:rsid w:val="00186EA4"/>
    <w:rsid w:val="00190332"/>
    <w:rsid w:val="001920EC"/>
    <w:rsid w:val="00193F41"/>
    <w:rsid w:val="00195EEA"/>
    <w:rsid w:val="00197D18"/>
    <w:rsid w:val="001A1136"/>
    <w:rsid w:val="001A11C3"/>
    <w:rsid w:val="001A17E5"/>
    <w:rsid w:val="001A4DBA"/>
    <w:rsid w:val="001A5382"/>
    <w:rsid w:val="001A5766"/>
    <w:rsid w:val="001B04B2"/>
    <w:rsid w:val="001B1AF5"/>
    <w:rsid w:val="001B2572"/>
    <w:rsid w:val="001B58A0"/>
    <w:rsid w:val="001B5FC1"/>
    <w:rsid w:val="001C04EA"/>
    <w:rsid w:val="001C2BFA"/>
    <w:rsid w:val="001C301D"/>
    <w:rsid w:val="001C3B93"/>
    <w:rsid w:val="001C3C76"/>
    <w:rsid w:val="001C40F2"/>
    <w:rsid w:val="001C424A"/>
    <w:rsid w:val="001C46EB"/>
    <w:rsid w:val="001C4EDD"/>
    <w:rsid w:val="001C5D00"/>
    <w:rsid w:val="001C7E3C"/>
    <w:rsid w:val="001D0473"/>
    <w:rsid w:val="001D1C14"/>
    <w:rsid w:val="001D2523"/>
    <w:rsid w:val="001D3AC5"/>
    <w:rsid w:val="001D412D"/>
    <w:rsid w:val="001D43B5"/>
    <w:rsid w:val="001D566B"/>
    <w:rsid w:val="001D599D"/>
    <w:rsid w:val="001E01D8"/>
    <w:rsid w:val="001E1013"/>
    <w:rsid w:val="001E321E"/>
    <w:rsid w:val="001E4B39"/>
    <w:rsid w:val="001E54E7"/>
    <w:rsid w:val="001E5AA4"/>
    <w:rsid w:val="001E6D54"/>
    <w:rsid w:val="001F1567"/>
    <w:rsid w:val="001F163A"/>
    <w:rsid w:val="001F29E3"/>
    <w:rsid w:val="001F3E52"/>
    <w:rsid w:val="001F4003"/>
    <w:rsid w:val="001F4786"/>
    <w:rsid w:val="001F4EBA"/>
    <w:rsid w:val="001F5A97"/>
    <w:rsid w:val="001F5BF3"/>
    <w:rsid w:val="001F77AA"/>
    <w:rsid w:val="002044F6"/>
    <w:rsid w:val="00205127"/>
    <w:rsid w:val="00205B09"/>
    <w:rsid w:val="00206959"/>
    <w:rsid w:val="002100E1"/>
    <w:rsid w:val="00210125"/>
    <w:rsid w:val="00210406"/>
    <w:rsid w:val="00211EBE"/>
    <w:rsid w:val="00212358"/>
    <w:rsid w:val="00216024"/>
    <w:rsid w:val="0021691D"/>
    <w:rsid w:val="0022140A"/>
    <w:rsid w:val="00221568"/>
    <w:rsid w:val="0022244D"/>
    <w:rsid w:val="002224A5"/>
    <w:rsid w:val="00222954"/>
    <w:rsid w:val="00224D13"/>
    <w:rsid w:val="002256BC"/>
    <w:rsid w:val="0022613E"/>
    <w:rsid w:val="00226255"/>
    <w:rsid w:val="00226546"/>
    <w:rsid w:val="00226D6B"/>
    <w:rsid w:val="00226E5E"/>
    <w:rsid w:val="002279B1"/>
    <w:rsid w:val="00227EE5"/>
    <w:rsid w:val="00230BF2"/>
    <w:rsid w:val="0023179C"/>
    <w:rsid w:val="00231909"/>
    <w:rsid w:val="002325EC"/>
    <w:rsid w:val="002333CA"/>
    <w:rsid w:val="00236716"/>
    <w:rsid w:val="002368A4"/>
    <w:rsid w:val="00236CAD"/>
    <w:rsid w:val="002413DA"/>
    <w:rsid w:val="0024168C"/>
    <w:rsid w:val="0024251C"/>
    <w:rsid w:val="0024266E"/>
    <w:rsid w:val="00243DBD"/>
    <w:rsid w:val="00250065"/>
    <w:rsid w:val="00250FBF"/>
    <w:rsid w:val="002513AF"/>
    <w:rsid w:val="00252801"/>
    <w:rsid w:val="00253DDB"/>
    <w:rsid w:val="00255C96"/>
    <w:rsid w:val="00257295"/>
    <w:rsid w:val="0026204F"/>
    <w:rsid w:val="002654C3"/>
    <w:rsid w:val="00267F80"/>
    <w:rsid w:val="00270D22"/>
    <w:rsid w:val="002718C5"/>
    <w:rsid w:val="0027227D"/>
    <w:rsid w:val="00273F1F"/>
    <w:rsid w:val="00274D6B"/>
    <w:rsid w:val="0027543F"/>
    <w:rsid w:val="0027559E"/>
    <w:rsid w:val="002769DE"/>
    <w:rsid w:val="00276FC8"/>
    <w:rsid w:val="00280DB7"/>
    <w:rsid w:val="00281A5E"/>
    <w:rsid w:val="00281D6F"/>
    <w:rsid w:val="00281EB6"/>
    <w:rsid w:val="00281FD4"/>
    <w:rsid w:val="002829EC"/>
    <w:rsid w:val="00282A00"/>
    <w:rsid w:val="00282A7A"/>
    <w:rsid w:val="00282A80"/>
    <w:rsid w:val="00282F37"/>
    <w:rsid w:val="00283730"/>
    <w:rsid w:val="00290734"/>
    <w:rsid w:val="00290D86"/>
    <w:rsid w:val="002918AE"/>
    <w:rsid w:val="00292241"/>
    <w:rsid w:val="0029319E"/>
    <w:rsid w:val="00293F5D"/>
    <w:rsid w:val="00295672"/>
    <w:rsid w:val="002A194E"/>
    <w:rsid w:val="002A30B2"/>
    <w:rsid w:val="002A3225"/>
    <w:rsid w:val="002A4911"/>
    <w:rsid w:val="002A7A9A"/>
    <w:rsid w:val="002B0CEF"/>
    <w:rsid w:val="002B1297"/>
    <w:rsid w:val="002B25D1"/>
    <w:rsid w:val="002B2E0D"/>
    <w:rsid w:val="002B2ED6"/>
    <w:rsid w:val="002B31AA"/>
    <w:rsid w:val="002B4233"/>
    <w:rsid w:val="002B4E55"/>
    <w:rsid w:val="002B5DF2"/>
    <w:rsid w:val="002B6583"/>
    <w:rsid w:val="002B6698"/>
    <w:rsid w:val="002B725F"/>
    <w:rsid w:val="002B79D9"/>
    <w:rsid w:val="002C16A1"/>
    <w:rsid w:val="002C21FA"/>
    <w:rsid w:val="002C2ED6"/>
    <w:rsid w:val="002C587B"/>
    <w:rsid w:val="002C611E"/>
    <w:rsid w:val="002C6309"/>
    <w:rsid w:val="002C7176"/>
    <w:rsid w:val="002C797C"/>
    <w:rsid w:val="002C7E72"/>
    <w:rsid w:val="002D0C98"/>
    <w:rsid w:val="002D2F07"/>
    <w:rsid w:val="002D4722"/>
    <w:rsid w:val="002D4FDF"/>
    <w:rsid w:val="002D6615"/>
    <w:rsid w:val="002D68A7"/>
    <w:rsid w:val="002D6DED"/>
    <w:rsid w:val="002D7511"/>
    <w:rsid w:val="002D79C8"/>
    <w:rsid w:val="002E07E4"/>
    <w:rsid w:val="002E0BDD"/>
    <w:rsid w:val="002E1ACC"/>
    <w:rsid w:val="002E224C"/>
    <w:rsid w:val="002E2750"/>
    <w:rsid w:val="002E27C1"/>
    <w:rsid w:val="002E30A8"/>
    <w:rsid w:val="002E3E81"/>
    <w:rsid w:val="002E48C6"/>
    <w:rsid w:val="002E5419"/>
    <w:rsid w:val="002E639D"/>
    <w:rsid w:val="002E65A6"/>
    <w:rsid w:val="002E6843"/>
    <w:rsid w:val="002E6BB8"/>
    <w:rsid w:val="002E70DA"/>
    <w:rsid w:val="002F172D"/>
    <w:rsid w:val="002F29AD"/>
    <w:rsid w:val="002F2E22"/>
    <w:rsid w:val="002F3142"/>
    <w:rsid w:val="002F32DC"/>
    <w:rsid w:val="002F4F3B"/>
    <w:rsid w:val="002F57C0"/>
    <w:rsid w:val="002F64FB"/>
    <w:rsid w:val="002F6FEA"/>
    <w:rsid w:val="00302074"/>
    <w:rsid w:val="00302F97"/>
    <w:rsid w:val="00302FDD"/>
    <w:rsid w:val="0030503F"/>
    <w:rsid w:val="00307B65"/>
    <w:rsid w:val="003100DA"/>
    <w:rsid w:val="00310220"/>
    <w:rsid w:val="00311A81"/>
    <w:rsid w:val="0031229B"/>
    <w:rsid w:val="00312325"/>
    <w:rsid w:val="00313573"/>
    <w:rsid w:val="00313A29"/>
    <w:rsid w:val="00313B3F"/>
    <w:rsid w:val="00315240"/>
    <w:rsid w:val="00316271"/>
    <w:rsid w:val="00316438"/>
    <w:rsid w:val="00317013"/>
    <w:rsid w:val="0031767B"/>
    <w:rsid w:val="00322451"/>
    <w:rsid w:val="003225DF"/>
    <w:rsid w:val="00322779"/>
    <w:rsid w:val="003229D9"/>
    <w:rsid w:val="00322D4F"/>
    <w:rsid w:val="00322FEA"/>
    <w:rsid w:val="00323E64"/>
    <w:rsid w:val="0032521D"/>
    <w:rsid w:val="003306AE"/>
    <w:rsid w:val="00330B2F"/>
    <w:rsid w:val="00331B88"/>
    <w:rsid w:val="00332FF0"/>
    <w:rsid w:val="003344DE"/>
    <w:rsid w:val="003344EE"/>
    <w:rsid w:val="00336018"/>
    <w:rsid w:val="003367FD"/>
    <w:rsid w:val="0034103D"/>
    <w:rsid w:val="00344803"/>
    <w:rsid w:val="00344937"/>
    <w:rsid w:val="0034502F"/>
    <w:rsid w:val="003450A1"/>
    <w:rsid w:val="00345709"/>
    <w:rsid w:val="00345DFE"/>
    <w:rsid w:val="0034630B"/>
    <w:rsid w:val="00351654"/>
    <w:rsid w:val="00351AB1"/>
    <w:rsid w:val="0035208F"/>
    <w:rsid w:val="00352EC1"/>
    <w:rsid w:val="00352FF6"/>
    <w:rsid w:val="003530D9"/>
    <w:rsid w:val="003531D2"/>
    <w:rsid w:val="003537A2"/>
    <w:rsid w:val="0035409B"/>
    <w:rsid w:val="00355E83"/>
    <w:rsid w:val="00357A98"/>
    <w:rsid w:val="00360071"/>
    <w:rsid w:val="003638EB"/>
    <w:rsid w:val="00364261"/>
    <w:rsid w:val="003647E0"/>
    <w:rsid w:val="00365163"/>
    <w:rsid w:val="00367B5F"/>
    <w:rsid w:val="00370A3B"/>
    <w:rsid w:val="00371591"/>
    <w:rsid w:val="0037207C"/>
    <w:rsid w:val="00372DDF"/>
    <w:rsid w:val="00373B60"/>
    <w:rsid w:val="00375104"/>
    <w:rsid w:val="0037742A"/>
    <w:rsid w:val="0038025F"/>
    <w:rsid w:val="00380A49"/>
    <w:rsid w:val="00380F1B"/>
    <w:rsid w:val="00381A4F"/>
    <w:rsid w:val="00382277"/>
    <w:rsid w:val="0038258B"/>
    <w:rsid w:val="003858F0"/>
    <w:rsid w:val="00385ADB"/>
    <w:rsid w:val="0038699F"/>
    <w:rsid w:val="00386F80"/>
    <w:rsid w:val="00393E88"/>
    <w:rsid w:val="003951F9"/>
    <w:rsid w:val="00395665"/>
    <w:rsid w:val="003963C3"/>
    <w:rsid w:val="003975F2"/>
    <w:rsid w:val="00397AB4"/>
    <w:rsid w:val="00397FDB"/>
    <w:rsid w:val="003A040A"/>
    <w:rsid w:val="003A24AB"/>
    <w:rsid w:val="003A2625"/>
    <w:rsid w:val="003A4000"/>
    <w:rsid w:val="003A40E3"/>
    <w:rsid w:val="003A4BFB"/>
    <w:rsid w:val="003A6C13"/>
    <w:rsid w:val="003A7FDB"/>
    <w:rsid w:val="003B00B9"/>
    <w:rsid w:val="003B039B"/>
    <w:rsid w:val="003B08D0"/>
    <w:rsid w:val="003B191E"/>
    <w:rsid w:val="003B2ADD"/>
    <w:rsid w:val="003B2D8D"/>
    <w:rsid w:val="003B2F28"/>
    <w:rsid w:val="003B5008"/>
    <w:rsid w:val="003B5295"/>
    <w:rsid w:val="003B73CB"/>
    <w:rsid w:val="003C1ABB"/>
    <w:rsid w:val="003C1D5E"/>
    <w:rsid w:val="003C232D"/>
    <w:rsid w:val="003C5A1B"/>
    <w:rsid w:val="003C64C2"/>
    <w:rsid w:val="003C7054"/>
    <w:rsid w:val="003D01E7"/>
    <w:rsid w:val="003D0B36"/>
    <w:rsid w:val="003D1747"/>
    <w:rsid w:val="003D2FB5"/>
    <w:rsid w:val="003D3444"/>
    <w:rsid w:val="003D3A08"/>
    <w:rsid w:val="003D3F90"/>
    <w:rsid w:val="003D3FBC"/>
    <w:rsid w:val="003D45AE"/>
    <w:rsid w:val="003D647F"/>
    <w:rsid w:val="003D698C"/>
    <w:rsid w:val="003D749E"/>
    <w:rsid w:val="003E19C8"/>
    <w:rsid w:val="003E1D8C"/>
    <w:rsid w:val="003E2FAE"/>
    <w:rsid w:val="003E4B6C"/>
    <w:rsid w:val="003E572A"/>
    <w:rsid w:val="003E6005"/>
    <w:rsid w:val="003E6DEE"/>
    <w:rsid w:val="003E6FEE"/>
    <w:rsid w:val="003F11B0"/>
    <w:rsid w:val="003F2D79"/>
    <w:rsid w:val="003F3416"/>
    <w:rsid w:val="003F3BD1"/>
    <w:rsid w:val="003F4D65"/>
    <w:rsid w:val="003F5A55"/>
    <w:rsid w:val="003F5C31"/>
    <w:rsid w:val="003F705E"/>
    <w:rsid w:val="00400F37"/>
    <w:rsid w:val="00401615"/>
    <w:rsid w:val="0040230D"/>
    <w:rsid w:val="00402606"/>
    <w:rsid w:val="00406D62"/>
    <w:rsid w:val="00406E98"/>
    <w:rsid w:val="00410AA3"/>
    <w:rsid w:val="00412507"/>
    <w:rsid w:val="00412737"/>
    <w:rsid w:val="004128A5"/>
    <w:rsid w:val="00412CC9"/>
    <w:rsid w:val="00413259"/>
    <w:rsid w:val="004134DB"/>
    <w:rsid w:val="004140A9"/>
    <w:rsid w:val="00414D43"/>
    <w:rsid w:val="00420A1C"/>
    <w:rsid w:val="004212B2"/>
    <w:rsid w:val="00422CCE"/>
    <w:rsid w:val="00422DD0"/>
    <w:rsid w:val="00423FB7"/>
    <w:rsid w:val="004256BE"/>
    <w:rsid w:val="004267CD"/>
    <w:rsid w:val="0042685A"/>
    <w:rsid w:val="00430588"/>
    <w:rsid w:val="004309AE"/>
    <w:rsid w:val="00430D69"/>
    <w:rsid w:val="00431401"/>
    <w:rsid w:val="00432F94"/>
    <w:rsid w:val="00433358"/>
    <w:rsid w:val="004356C4"/>
    <w:rsid w:val="00435AA9"/>
    <w:rsid w:val="00436DC8"/>
    <w:rsid w:val="0043706B"/>
    <w:rsid w:val="004410E1"/>
    <w:rsid w:val="004423B5"/>
    <w:rsid w:val="0044285B"/>
    <w:rsid w:val="004428C3"/>
    <w:rsid w:val="0044457C"/>
    <w:rsid w:val="0044484A"/>
    <w:rsid w:val="004450FF"/>
    <w:rsid w:val="004461EE"/>
    <w:rsid w:val="00446362"/>
    <w:rsid w:val="004477ED"/>
    <w:rsid w:val="0045076E"/>
    <w:rsid w:val="004508EC"/>
    <w:rsid w:val="00450DEF"/>
    <w:rsid w:val="00450E17"/>
    <w:rsid w:val="00452728"/>
    <w:rsid w:val="00452741"/>
    <w:rsid w:val="004531DF"/>
    <w:rsid w:val="00453B02"/>
    <w:rsid w:val="004547A5"/>
    <w:rsid w:val="00454D12"/>
    <w:rsid w:val="00455CBF"/>
    <w:rsid w:val="00456717"/>
    <w:rsid w:val="00456B94"/>
    <w:rsid w:val="00456E34"/>
    <w:rsid w:val="00457AE3"/>
    <w:rsid w:val="0046058C"/>
    <w:rsid w:val="00461080"/>
    <w:rsid w:val="004617B0"/>
    <w:rsid w:val="00461E1D"/>
    <w:rsid w:val="00463A3D"/>
    <w:rsid w:val="00463D40"/>
    <w:rsid w:val="00464972"/>
    <w:rsid w:val="004654FC"/>
    <w:rsid w:val="00466206"/>
    <w:rsid w:val="00466263"/>
    <w:rsid w:val="004708DC"/>
    <w:rsid w:val="00470A3B"/>
    <w:rsid w:val="00470AF1"/>
    <w:rsid w:val="00470B68"/>
    <w:rsid w:val="004715DA"/>
    <w:rsid w:val="00472622"/>
    <w:rsid w:val="00475AED"/>
    <w:rsid w:val="00477799"/>
    <w:rsid w:val="00480CF7"/>
    <w:rsid w:val="00480F1D"/>
    <w:rsid w:val="00482B00"/>
    <w:rsid w:val="0048381C"/>
    <w:rsid w:val="00483D00"/>
    <w:rsid w:val="00487031"/>
    <w:rsid w:val="0048718C"/>
    <w:rsid w:val="004877C1"/>
    <w:rsid w:val="004917D4"/>
    <w:rsid w:val="0049197C"/>
    <w:rsid w:val="00491B04"/>
    <w:rsid w:val="0049215F"/>
    <w:rsid w:val="004937FC"/>
    <w:rsid w:val="00494148"/>
    <w:rsid w:val="004946BC"/>
    <w:rsid w:val="00495083"/>
    <w:rsid w:val="00495974"/>
    <w:rsid w:val="00496430"/>
    <w:rsid w:val="00496468"/>
    <w:rsid w:val="00496A6D"/>
    <w:rsid w:val="00496B80"/>
    <w:rsid w:val="00496C01"/>
    <w:rsid w:val="004A1AAD"/>
    <w:rsid w:val="004A2109"/>
    <w:rsid w:val="004A2A8A"/>
    <w:rsid w:val="004A3687"/>
    <w:rsid w:val="004A396E"/>
    <w:rsid w:val="004A6A50"/>
    <w:rsid w:val="004A6C54"/>
    <w:rsid w:val="004B402E"/>
    <w:rsid w:val="004B5B58"/>
    <w:rsid w:val="004B6151"/>
    <w:rsid w:val="004B7B32"/>
    <w:rsid w:val="004C1D7B"/>
    <w:rsid w:val="004C33AF"/>
    <w:rsid w:val="004C354E"/>
    <w:rsid w:val="004C3FB2"/>
    <w:rsid w:val="004C4150"/>
    <w:rsid w:val="004C56B7"/>
    <w:rsid w:val="004C5A42"/>
    <w:rsid w:val="004C7EF8"/>
    <w:rsid w:val="004D18B1"/>
    <w:rsid w:val="004D4118"/>
    <w:rsid w:val="004D4DB4"/>
    <w:rsid w:val="004D51CB"/>
    <w:rsid w:val="004D6237"/>
    <w:rsid w:val="004D7962"/>
    <w:rsid w:val="004E1F1C"/>
    <w:rsid w:val="004E51F8"/>
    <w:rsid w:val="004E6BAC"/>
    <w:rsid w:val="004E7A42"/>
    <w:rsid w:val="004E7E2D"/>
    <w:rsid w:val="004F085F"/>
    <w:rsid w:val="004F08CD"/>
    <w:rsid w:val="004F37E7"/>
    <w:rsid w:val="004F786F"/>
    <w:rsid w:val="004F7AFC"/>
    <w:rsid w:val="004F7C94"/>
    <w:rsid w:val="004F7FA1"/>
    <w:rsid w:val="00500C78"/>
    <w:rsid w:val="0050136C"/>
    <w:rsid w:val="00502877"/>
    <w:rsid w:val="00502880"/>
    <w:rsid w:val="00503299"/>
    <w:rsid w:val="0050536E"/>
    <w:rsid w:val="00506F79"/>
    <w:rsid w:val="00507314"/>
    <w:rsid w:val="00507A5A"/>
    <w:rsid w:val="00510197"/>
    <w:rsid w:val="005104C3"/>
    <w:rsid w:val="00513D6B"/>
    <w:rsid w:val="00513E9A"/>
    <w:rsid w:val="00516CB6"/>
    <w:rsid w:val="00516D4C"/>
    <w:rsid w:val="0051772A"/>
    <w:rsid w:val="00517D9F"/>
    <w:rsid w:val="00520A60"/>
    <w:rsid w:val="00523328"/>
    <w:rsid w:val="00524801"/>
    <w:rsid w:val="00524F99"/>
    <w:rsid w:val="00525CFE"/>
    <w:rsid w:val="005276BB"/>
    <w:rsid w:val="00527726"/>
    <w:rsid w:val="0053199E"/>
    <w:rsid w:val="00532B47"/>
    <w:rsid w:val="005352E5"/>
    <w:rsid w:val="0053601B"/>
    <w:rsid w:val="0054051E"/>
    <w:rsid w:val="00540766"/>
    <w:rsid w:val="0054080D"/>
    <w:rsid w:val="00542E7E"/>
    <w:rsid w:val="00542F38"/>
    <w:rsid w:val="0054447B"/>
    <w:rsid w:val="00546299"/>
    <w:rsid w:val="00550325"/>
    <w:rsid w:val="005509C0"/>
    <w:rsid w:val="00551C65"/>
    <w:rsid w:val="00551FF5"/>
    <w:rsid w:val="00552F8E"/>
    <w:rsid w:val="00553FAE"/>
    <w:rsid w:val="0055416D"/>
    <w:rsid w:val="0055512D"/>
    <w:rsid w:val="0055575D"/>
    <w:rsid w:val="005559F4"/>
    <w:rsid w:val="00555BD9"/>
    <w:rsid w:val="005563BF"/>
    <w:rsid w:val="005568CF"/>
    <w:rsid w:val="00560596"/>
    <w:rsid w:val="00560C2B"/>
    <w:rsid w:val="00560DB0"/>
    <w:rsid w:val="00562349"/>
    <w:rsid w:val="00563520"/>
    <w:rsid w:val="00564FD9"/>
    <w:rsid w:val="00567601"/>
    <w:rsid w:val="0057049E"/>
    <w:rsid w:val="00573C1F"/>
    <w:rsid w:val="005744AE"/>
    <w:rsid w:val="005753CA"/>
    <w:rsid w:val="00575BE7"/>
    <w:rsid w:val="00580C53"/>
    <w:rsid w:val="00582635"/>
    <w:rsid w:val="005834A8"/>
    <w:rsid w:val="0058517B"/>
    <w:rsid w:val="00587BA7"/>
    <w:rsid w:val="005904EE"/>
    <w:rsid w:val="00590D70"/>
    <w:rsid w:val="005918DC"/>
    <w:rsid w:val="00593414"/>
    <w:rsid w:val="00595AFA"/>
    <w:rsid w:val="005960A0"/>
    <w:rsid w:val="00596807"/>
    <w:rsid w:val="00597413"/>
    <w:rsid w:val="005974CC"/>
    <w:rsid w:val="005A1065"/>
    <w:rsid w:val="005A25E2"/>
    <w:rsid w:val="005A371C"/>
    <w:rsid w:val="005A4720"/>
    <w:rsid w:val="005A4741"/>
    <w:rsid w:val="005A4DEA"/>
    <w:rsid w:val="005A5830"/>
    <w:rsid w:val="005A5DE8"/>
    <w:rsid w:val="005A732E"/>
    <w:rsid w:val="005A7ACD"/>
    <w:rsid w:val="005B0321"/>
    <w:rsid w:val="005B1C36"/>
    <w:rsid w:val="005B1CA0"/>
    <w:rsid w:val="005B2D9B"/>
    <w:rsid w:val="005B35F1"/>
    <w:rsid w:val="005B378A"/>
    <w:rsid w:val="005B47F3"/>
    <w:rsid w:val="005B5295"/>
    <w:rsid w:val="005B5579"/>
    <w:rsid w:val="005B592E"/>
    <w:rsid w:val="005B5A8A"/>
    <w:rsid w:val="005B75D9"/>
    <w:rsid w:val="005C12CC"/>
    <w:rsid w:val="005C35FB"/>
    <w:rsid w:val="005C499F"/>
    <w:rsid w:val="005C54CD"/>
    <w:rsid w:val="005C6313"/>
    <w:rsid w:val="005C6FE8"/>
    <w:rsid w:val="005C776C"/>
    <w:rsid w:val="005D0240"/>
    <w:rsid w:val="005D155F"/>
    <w:rsid w:val="005D209B"/>
    <w:rsid w:val="005D27C0"/>
    <w:rsid w:val="005D2D02"/>
    <w:rsid w:val="005D3739"/>
    <w:rsid w:val="005D5242"/>
    <w:rsid w:val="005D52D9"/>
    <w:rsid w:val="005D6A18"/>
    <w:rsid w:val="005D7199"/>
    <w:rsid w:val="005D74CB"/>
    <w:rsid w:val="005E0CDD"/>
    <w:rsid w:val="005E16C7"/>
    <w:rsid w:val="005E27C1"/>
    <w:rsid w:val="005E28C7"/>
    <w:rsid w:val="005E320B"/>
    <w:rsid w:val="005E4F8A"/>
    <w:rsid w:val="005E6D10"/>
    <w:rsid w:val="005F0019"/>
    <w:rsid w:val="005F0D75"/>
    <w:rsid w:val="005F1296"/>
    <w:rsid w:val="005F1AA2"/>
    <w:rsid w:val="005F4BFD"/>
    <w:rsid w:val="005F6D37"/>
    <w:rsid w:val="005F70AD"/>
    <w:rsid w:val="005F729D"/>
    <w:rsid w:val="005F7DA7"/>
    <w:rsid w:val="00600061"/>
    <w:rsid w:val="006008A0"/>
    <w:rsid w:val="00601E17"/>
    <w:rsid w:val="00606B13"/>
    <w:rsid w:val="006107FA"/>
    <w:rsid w:val="00610865"/>
    <w:rsid w:val="00611367"/>
    <w:rsid w:val="00614F74"/>
    <w:rsid w:val="0061526F"/>
    <w:rsid w:val="006158AA"/>
    <w:rsid w:val="0061621E"/>
    <w:rsid w:val="00616235"/>
    <w:rsid w:val="006162C3"/>
    <w:rsid w:val="00616418"/>
    <w:rsid w:val="00616EE8"/>
    <w:rsid w:val="006176E8"/>
    <w:rsid w:val="0062262E"/>
    <w:rsid w:val="006226E4"/>
    <w:rsid w:val="00622913"/>
    <w:rsid w:val="00623BCD"/>
    <w:rsid w:val="006243D7"/>
    <w:rsid w:val="00627056"/>
    <w:rsid w:val="00627EAC"/>
    <w:rsid w:val="00630BBC"/>
    <w:rsid w:val="00630CD5"/>
    <w:rsid w:val="00630FCA"/>
    <w:rsid w:val="00632DF7"/>
    <w:rsid w:val="00634258"/>
    <w:rsid w:val="006351AF"/>
    <w:rsid w:val="00636472"/>
    <w:rsid w:val="006371C3"/>
    <w:rsid w:val="00637271"/>
    <w:rsid w:val="00637EE8"/>
    <w:rsid w:val="0064034C"/>
    <w:rsid w:val="0064149D"/>
    <w:rsid w:val="0064152E"/>
    <w:rsid w:val="006426B6"/>
    <w:rsid w:val="00644F80"/>
    <w:rsid w:val="00646270"/>
    <w:rsid w:val="00646A1F"/>
    <w:rsid w:val="00646E2B"/>
    <w:rsid w:val="0065031D"/>
    <w:rsid w:val="00650AFF"/>
    <w:rsid w:val="00652375"/>
    <w:rsid w:val="00652848"/>
    <w:rsid w:val="00652EC3"/>
    <w:rsid w:val="00656529"/>
    <w:rsid w:val="00660393"/>
    <w:rsid w:val="00660581"/>
    <w:rsid w:val="00661FFA"/>
    <w:rsid w:val="0066354B"/>
    <w:rsid w:val="00664115"/>
    <w:rsid w:val="00664D6E"/>
    <w:rsid w:val="00666BBB"/>
    <w:rsid w:val="00666FD6"/>
    <w:rsid w:val="006673AA"/>
    <w:rsid w:val="00670146"/>
    <w:rsid w:val="00670754"/>
    <w:rsid w:val="00670909"/>
    <w:rsid w:val="00672421"/>
    <w:rsid w:val="006740C3"/>
    <w:rsid w:val="00675989"/>
    <w:rsid w:val="00677710"/>
    <w:rsid w:val="00680C53"/>
    <w:rsid w:val="006814B8"/>
    <w:rsid w:val="00681846"/>
    <w:rsid w:val="006820D0"/>
    <w:rsid w:val="00682B1E"/>
    <w:rsid w:val="00682D57"/>
    <w:rsid w:val="006830A7"/>
    <w:rsid w:val="0068459A"/>
    <w:rsid w:val="006853A2"/>
    <w:rsid w:val="00685555"/>
    <w:rsid w:val="00685B8A"/>
    <w:rsid w:val="0068607D"/>
    <w:rsid w:val="0068750D"/>
    <w:rsid w:val="00690370"/>
    <w:rsid w:val="00690A0D"/>
    <w:rsid w:val="00690DC8"/>
    <w:rsid w:val="00690F20"/>
    <w:rsid w:val="0069139F"/>
    <w:rsid w:val="00691687"/>
    <w:rsid w:val="00694E66"/>
    <w:rsid w:val="006959CA"/>
    <w:rsid w:val="00696627"/>
    <w:rsid w:val="006969BF"/>
    <w:rsid w:val="006A02E8"/>
    <w:rsid w:val="006A0CEF"/>
    <w:rsid w:val="006A174D"/>
    <w:rsid w:val="006A1DDE"/>
    <w:rsid w:val="006A2276"/>
    <w:rsid w:val="006A32A6"/>
    <w:rsid w:val="006A4F05"/>
    <w:rsid w:val="006A6E24"/>
    <w:rsid w:val="006B18CB"/>
    <w:rsid w:val="006B19AE"/>
    <w:rsid w:val="006B1C5D"/>
    <w:rsid w:val="006B2768"/>
    <w:rsid w:val="006B40AE"/>
    <w:rsid w:val="006B4EDB"/>
    <w:rsid w:val="006B5145"/>
    <w:rsid w:val="006B55AE"/>
    <w:rsid w:val="006B5C3D"/>
    <w:rsid w:val="006B731F"/>
    <w:rsid w:val="006C0C3A"/>
    <w:rsid w:val="006C0CF4"/>
    <w:rsid w:val="006C26B5"/>
    <w:rsid w:val="006C3488"/>
    <w:rsid w:val="006C3B0B"/>
    <w:rsid w:val="006C50ED"/>
    <w:rsid w:val="006C6157"/>
    <w:rsid w:val="006C63DF"/>
    <w:rsid w:val="006C76DC"/>
    <w:rsid w:val="006D1562"/>
    <w:rsid w:val="006D1C5F"/>
    <w:rsid w:val="006D1F22"/>
    <w:rsid w:val="006D326F"/>
    <w:rsid w:val="006D3BC8"/>
    <w:rsid w:val="006D5660"/>
    <w:rsid w:val="006D5726"/>
    <w:rsid w:val="006E1899"/>
    <w:rsid w:val="006E1C15"/>
    <w:rsid w:val="006E243D"/>
    <w:rsid w:val="006E3327"/>
    <w:rsid w:val="006E4ED3"/>
    <w:rsid w:val="006E60C2"/>
    <w:rsid w:val="006E7EFC"/>
    <w:rsid w:val="006F074F"/>
    <w:rsid w:val="006F13CB"/>
    <w:rsid w:val="006F2F03"/>
    <w:rsid w:val="006F3EF7"/>
    <w:rsid w:val="006F470D"/>
    <w:rsid w:val="006F4A53"/>
    <w:rsid w:val="006F61FA"/>
    <w:rsid w:val="006F67BD"/>
    <w:rsid w:val="006F7DA4"/>
    <w:rsid w:val="00700B19"/>
    <w:rsid w:val="00701A45"/>
    <w:rsid w:val="00704F1C"/>
    <w:rsid w:val="00705450"/>
    <w:rsid w:val="00713927"/>
    <w:rsid w:val="00714A0A"/>
    <w:rsid w:val="0071540F"/>
    <w:rsid w:val="00716220"/>
    <w:rsid w:val="0072008E"/>
    <w:rsid w:val="00720871"/>
    <w:rsid w:val="007208D7"/>
    <w:rsid w:val="00721A7B"/>
    <w:rsid w:val="00721EA6"/>
    <w:rsid w:val="00724B14"/>
    <w:rsid w:val="00724E2A"/>
    <w:rsid w:val="0072646C"/>
    <w:rsid w:val="00730481"/>
    <w:rsid w:val="0073077F"/>
    <w:rsid w:val="0073110E"/>
    <w:rsid w:val="00731463"/>
    <w:rsid w:val="00731A8F"/>
    <w:rsid w:val="0073243C"/>
    <w:rsid w:val="0073390B"/>
    <w:rsid w:val="007349A7"/>
    <w:rsid w:val="007359D0"/>
    <w:rsid w:val="00736045"/>
    <w:rsid w:val="00737335"/>
    <w:rsid w:val="00741D34"/>
    <w:rsid w:val="00744C05"/>
    <w:rsid w:val="00746140"/>
    <w:rsid w:val="00746DDA"/>
    <w:rsid w:val="007470A9"/>
    <w:rsid w:val="00750E17"/>
    <w:rsid w:val="007517CB"/>
    <w:rsid w:val="00751B93"/>
    <w:rsid w:val="0075212D"/>
    <w:rsid w:val="007526F9"/>
    <w:rsid w:val="00752D19"/>
    <w:rsid w:val="007541A0"/>
    <w:rsid w:val="007541A9"/>
    <w:rsid w:val="00754EB5"/>
    <w:rsid w:val="00755618"/>
    <w:rsid w:val="00755DC1"/>
    <w:rsid w:val="00760266"/>
    <w:rsid w:val="00760AF7"/>
    <w:rsid w:val="0076165A"/>
    <w:rsid w:val="00762244"/>
    <w:rsid w:val="007622BC"/>
    <w:rsid w:val="007625B9"/>
    <w:rsid w:val="007648B4"/>
    <w:rsid w:val="00765DAD"/>
    <w:rsid w:val="007677B7"/>
    <w:rsid w:val="0077079F"/>
    <w:rsid w:val="007738D1"/>
    <w:rsid w:val="00773AF1"/>
    <w:rsid w:val="0077497B"/>
    <w:rsid w:val="0077588E"/>
    <w:rsid w:val="00776B0F"/>
    <w:rsid w:val="007801C3"/>
    <w:rsid w:val="0078057D"/>
    <w:rsid w:val="0078284C"/>
    <w:rsid w:val="0078325E"/>
    <w:rsid w:val="00783D31"/>
    <w:rsid w:val="007841B0"/>
    <w:rsid w:val="00784B7C"/>
    <w:rsid w:val="00784DD7"/>
    <w:rsid w:val="00785D5E"/>
    <w:rsid w:val="00786235"/>
    <w:rsid w:val="007865BD"/>
    <w:rsid w:val="00786605"/>
    <w:rsid w:val="007879BF"/>
    <w:rsid w:val="00792878"/>
    <w:rsid w:val="00792E1C"/>
    <w:rsid w:val="007938B4"/>
    <w:rsid w:val="00794A5E"/>
    <w:rsid w:val="007968A5"/>
    <w:rsid w:val="00797148"/>
    <w:rsid w:val="007A0345"/>
    <w:rsid w:val="007A0EEF"/>
    <w:rsid w:val="007A1114"/>
    <w:rsid w:val="007A1385"/>
    <w:rsid w:val="007A2881"/>
    <w:rsid w:val="007A45BB"/>
    <w:rsid w:val="007A5950"/>
    <w:rsid w:val="007A5C13"/>
    <w:rsid w:val="007A605D"/>
    <w:rsid w:val="007A617D"/>
    <w:rsid w:val="007B28CA"/>
    <w:rsid w:val="007B2B0F"/>
    <w:rsid w:val="007B3046"/>
    <w:rsid w:val="007B3740"/>
    <w:rsid w:val="007B53F7"/>
    <w:rsid w:val="007B65F8"/>
    <w:rsid w:val="007B7328"/>
    <w:rsid w:val="007C3C76"/>
    <w:rsid w:val="007C6312"/>
    <w:rsid w:val="007C7AE3"/>
    <w:rsid w:val="007D2F65"/>
    <w:rsid w:val="007D358C"/>
    <w:rsid w:val="007D3C46"/>
    <w:rsid w:val="007D4422"/>
    <w:rsid w:val="007D533F"/>
    <w:rsid w:val="007D59EC"/>
    <w:rsid w:val="007D5B0E"/>
    <w:rsid w:val="007D6416"/>
    <w:rsid w:val="007D6422"/>
    <w:rsid w:val="007D6BDC"/>
    <w:rsid w:val="007E0260"/>
    <w:rsid w:val="007E1821"/>
    <w:rsid w:val="007E32D8"/>
    <w:rsid w:val="007E3F25"/>
    <w:rsid w:val="007E406E"/>
    <w:rsid w:val="007E4959"/>
    <w:rsid w:val="007E5FA7"/>
    <w:rsid w:val="007E6918"/>
    <w:rsid w:val="007E76B6"/>
    <w:rsid w:val="007E7E5C"/>
    <w:rsid w:val="007F0D13"/>
    <w:rsid w:val="007F0F2C"/>
    <w:rsid w:val="007F10F9"/>
    <w:rsid w:val="007F1A6B"/>
    <w:rsid w:val="007F1EDE"/>
    <w:rsid w:val="007F2C77"/>
    <w:rsid w:val="007F3106"/>
    <w:rsid w:val="007F3363"/>
    <w:rsid w:val="007F48E2"/>
    <w:rsid w:val="007F52CA"/>
    <w:rsid w:val="007F5FE2"/>
    <w:rsid w:val="007F779A"/>
    <w:rsid w:val="00800261"/>
    <w:rsid w:val="008009D3"/>
    <w:rsid w:val="00800E16"/>
    <w:rsid w:val="00801FA5"/>
    <w:rsid w:val="008054DB"/>
    <w:rsid w:val="008069D0"/>
    <w:rsid w:val="00806DB0"/>
    <w:rsid w:val="008072BA"/>
    <w:rsid w:val="008074D1"/>
    <w:rsid w:val="00807865"/>
    <w:rsid w:val="00807CDB"/>
    <w:rsid w:val="0081017E"/>
    <w:rsid w:val="00810415"/>
    <w:rsid w:val="00810D3A"/>
    <w:rsid w:val="0081232D"/>
    <w:rsid w:val="00812AB3"/>
    <w:rsid w:val="008133D3"/>
    <w:rsid w:val="00813A0E"/>
    <w:rsid w:val="00817932"/>
    <w:rsid w:val="00817BCF"/>
    <w:rsid w:val="008209D8"/>
    <w:rsid w:val="00821164"/>
    <w:rsid w:val="00821C36"/>
    <w:rsid w:val="00821E25"/>
    <w:rsid w:val="00821F74"/>
    <w:rsid w:val="008222D6"/>
    <w:rsid w:val="00822B4D"/>
    <w:rsid w:val="00824635"/>
    <w:rsid w:val="00824C99"/>
    <w:rsid w:val="008259E2"/>
    <w:rsid w:val="00825BC3"/>
    <w:rsid w:val="00826D8F"/>
    <w:rsid w:val="008271FA"/>
    <w:rsid w:val="00827270"/>
    <w:rsid w:val="00832949"/>
    <w:rsid w:val="0083330F"/>
    <w:rsid w:val="00835137"/>
    <w:rsid w:val="00836274"/>
    <w:rsid w:val="008369F3"/>
    <w:rsid w:val="00837637"/>
    <w:rsid w:val="00837DA4"/>
    <w:rsid w:val="0084095C"/>
    <w:rsid w:val="008419F8"/>
    <w:rsid w:val="00842920"/>
    <w:rsid w:val="00842B27"/>
    <w:rsid w:val="00843185"/>
    <w:rsid w:val="0084418E"/>
    <w:rsid w:val="008441CC"/>
    <w:rsid w:val="00844752"/>
    <w:rsid w:val="008456AF"/>
    <w:rsid w:val="0084653C"/>
    <w:rsid w:val="00850296"/>
    <w:rsid w:val="008506E0"/>
    <w:rsid w:val="008510B9"/>
    <w:rsid w:val="00851BA1"/>
    <w:rsid w:val="00851E7D"/>
    <w:rsid w:val="008524E1"/>
    <w:rsid w:val="00854020"/>
    <w:rsid w:val="00854082"/>
    <w:rsid w:val="00854ACD"/>
    <w:rsid w:val="0085572B"/>
    <w:rsid w:val="008569BE"/>
    <w:rsid w:val="00857D4D"/>
    <w:rsid w:val="00861B99"/>
    <w:rsid w:val="00863480"/>
    <w:rsid w:val="00863B89"/>
    <w:rsid w:val="0086427D"/>
    <w:rsid w:val="008650FB"/>
    <w:rsid w:val="0087198C"/>
    <w:rsid w:val="0087334D"/>
    <w:rsid w:val="00873BBA"/>
    <w:rsid w:val="008745AE"/>
    <w:rsid w:val="00880756"/>
    <w:rsid w:val="008834C5"/>
    <w:rsid w:val="00884024"/>
    <w:rsid w:val="008853B6"/>
    <w:rsid w:val="008855D0"/>
    <w:rsid w:val="00887639"/>
    <w:rsid w:val="00890516"/>
    <w:rsid w:val="0089328E"/>
    <w:rsid w:val="0089370D"/>
    <w:rsid w:val="0089436B"/>
    <w:rsid w:val="00894AC0"/>
    <w:rsid w:val="0089570B"/>
    <w:rsid w:val="008959AB"/>
    <w:rsid w:val="00896547"/>
    <w:rsid w:val="00896BF0"/>
    <w:rsid w:val="00897A0D"/>
    <w:rsid w:val="008A0713"/>
    <w:rsid w:val="008A0D3B"/>
    <w:rsid w:val="008A1ECE"/>
    <w:rsid w:val="008A29B5"/>
    <w:rsid w:val="008A5806"/>
    <w:rsid w:val="008A5CEE"/>
    <w:rsid w:val="008A755D"/>
    <w:rsid w:val="008B16F8"/>
    <w:rsid w:val="008B1808"/>
    <w:rsid w:val="008B1CDD"/>
    <w:rsid w:val="008B1D5C"/>
    <w:rsid w:val="008B2AC0"/>
    <w:rsid w:val="008B379F"/>
    <w:rsid w:val="008B3979"/>
    <w:rsid w:val="008B4957"/>
    <w:rsid w:val="008B6F79"/>
    <w:rsid w:val="008B6F82"/>
    <w:rsid w:val="008B7B91"/>
    <w:rsid w:val="008B7C2E"/>
    <w:rsid w:val="008C0057"/>
    <w:rsid w:val="008C08F3"/>
    <w:rsid w:val="008C1B9A"/>
    <w:rsid w:val="008C2634"/>
    <w:rsid w:val="008C3D4B"/>
    <w:rsid w:val="008C4BF2"/>
    <w:rsid w:val="008C67BD"/>
    <w:rsid w:val="008C6A58"/>
    <w:rsid w:val="008D1F3D"/>
    <w:rsid w:val="008D227A"/>
    <w:rsid w:val="008D240D"/>
    <w:rsid w:val="008D2BB6"/>
    <w:rsid w:val="008D2C2B"/>
    <w:rsid w:val="008D2DC1"/>
    <w:rsid w:val="008D51C8"/>
    <w:rsid w:val="008D5825"/>
    <w:rsid w:val="008D626D"/>
    <w:rsid w:val="008D670E"/>
    <w:rsid w:val="008D6A35"/>
    <w:rsid w:val="008D7A47"/>
    <w:rsid w:val="008E2753"/>
    <w:rsid w:val="008E3185"/>
    <w:rsid w:val="008E325B"/>
    <w:rsid w:val="008E4CE6"/>
    <w:rsid w:val="008E5115"/>
    <w:rsid w:val="008E561D"/>
    <w:rsid w:val="008E7DD3"/>
    <w:rsid w:val="008F05B1"/>
    <w:rsid w:val="008F19CB"/>
    <w:rsid w:val="008F2672"/>
    <w:rsid w:val="008F2F1F"/>
    <w:rsid w:val="008F386B"/>
    <w:rsid w:val="008F390C"/>
    <w:rsid w:val="008F3AD3"/>
    <w:rsid w:val="008F4424"/>
    <w:rsid w:val="008F4D8E"/>
    <w:rsid w:val="008F4DC6"/>
    <w:rsid w:val="008F6D81"/>
    <w:rsid w:val="008F6E89"/>
    <w:rsid w:val="008F72CF"/>
    <w:rsid w:val="008F751D"/>
    <w:rsid w:val="0090097E"/>
    <w:rsid w:val="009010DD"/>
    <w:rsid w:val="00901EE1"/>
    <w:rsid w:val="009021C9"/>
    <w:rsid w:val="009035F3"/>
    <w:rsid w:val="00905EFF"/>
    <w:rsid w:val="00906EF5"/>
    <w:rsid w:val="009104DA"/>
    <w:rsid w:val="00910B7A"/>
    <w:rsid w:val="00913B76"/>
    <w:rsid w:val="00914BC1"/>
    <w:rsid w:val="00916F12"/>
    <w:rsid w:val="009176C3"/>
    <w:rsid w:val="00920F15"/>
    <w:rsid w:val="00920F77"/>
    <w:rsid w:val="009210D5"/>
    <w:rsid w:val="0092173C"/>
    <w:rsid w:val="0092309E"/>
    <w:rsid w:val="00923189"/>
    <w:rsid w:val="00924362"/>
    <w:rsid w:val="009244D5"/>
    <w:rsid w:val="00924E16"/>
    <w:rsid w:val="0092539E"/>
    <w:rsid w:val="009256D1"/>
    <w:rsid w:val="00926BA5"/>
    <w:rsid w:val="00926EFB"/>
    <w:rsid w:val="00926F7A"/>
    <w:rsid w:val="00927025"/>
    <w:rsid w:val="00927C67"/>
    <w:rsid w:val="00927D07"/>
    <w:rsid w:val="009302D4"/>
    <w:rsid w:val="00930860"/>
    <w:rsid w:val="009310D1"/>
    <w:rsid w:val="00931512"/>
    <w:rsid w:val="00931E69"/>
    <w:rsid w:val="0093275D"/>
    <w:rsid w:val="00932AB0"/>
    <w:rsid w:val="00932D45"/>
    <w:rsid w:val="009340B0"/>
    <w:rsid w:val="00934609"/>
    <w:rsid w:val="00934634"/>
    <w:rsid w:val="00936997"/>
    <w:rsid w:val="009408F7"/>
    <w:rsid w:val="00940A9F"/>
    <w:rsid w:val="009410D6"/>
    <w:rsid w:val="009429ED"/>
    <w:rsid w:val="009433C8"/>
    <w:rsid w:val="009433D3"/>
    <w:rsid w:val="009477BF"/>
    <w:rsid w:val="009477C9"/>
    <w:rsid w:val="00951136"/>
    <w:rsid w:val="0095292E"/>
    <w:rsid w:val="00953814"/>
    <w:rsid w:val="00953E4A"/>
    <w:rsid w:val="00954182"/>
    <w:rsid w:val="009547CC"/>
    <w:rsid w:val="00954BF9"/>
    <w:rsid w:val="0095510F"/>
    <w:rsid w:val="00956821"/>
    <w:rsid w:val="009569C6"/>
    <w:rsid w:val="00960EAA"/>
    <w:rsid w:val="00962318"/>
    <w:rsid w:val="00962CE8"/>
    <w:rsid w:val="009634C1"/>
    <w:rsid w:val="00963BE8"/>
    <w:rsid w:val="00965505"/>
    <w:rsid w:val="00965AD9"/>
    <w:rsid w:val="00965BB6"/>
    <w:rsid w:val="0096609E"/>
    <w:rsid w:val="00966636"/>
    <w:rsid w:val="0096678A"/>
    <w:rsid w:val="00970471"/>
    <w:rsid w:val="00970DCC"/>
    <w:rsid w:val="0097191B"/>
    <w:rsid w:val="00971CF2"/>
    <w:rsid w:val="009730E3"/>
    <w:rsid w:val="00973C88"/>
    <w:rsid w:val="009744E7"/>
    <w:rsid w:val="0097522A"/>
    <w:rsid w:val="00975281"/>
    <w:rsid w:val="009772A6"/>
    <w:rsid w:val="009801D8"/>
    <w:rsid w:val="00982E6F"/>
    <w:rsid w:val="00983966"/>
    <w:rsid w:val="0098425F"/>
    <w:rsid w:val="00985856"/>
    <w:rsid w:val="00986ABB"/>
    <w:rsid w:val="00986DA3"/>
    <w:rsid w:val="0098700F"/>
    <w:rsid w:val="009877E4"/>
    <w:rsid w:val="00990811"/>
    <w:rsid w:val="00990FCA"/>
    <w:rsid w:val="00991B5C"/>
    <w:rsid w:val="00991BCF"/>
    <w:rsid w:val="0099256B"/>
    <w:rsid w:val="00992CE6"/>
    <w:rsid w:val="0099417D"/>
    <w:rsid w:val="00994A98"/>
    <w:rsid w:val="009954BE"/>
    <w:rsid w:val="009955FA"/>
    <w:rsid w:val="0099575A"/>
    <w:rsid w:val="009963BF"/>
    <w:rsid w:val="009969C3"/>
    <w:rsid w:val="0099741E"/>
    <w:rsid w:val="009A21AA"/>
    <w:rsid w:val="009A358F"/>
    <w:rsid w:val="009A3987"/>
    <w:rsid w:val="009A59D4"/>
    <w:rsid w:val="009A7CBB"/>
    <w:rsid w:val="009B274A"/>
    <w:rsid w:val="009B341E"/>
    <w:rsid w:val="009B4A35"/>
    <w:rsid w:val="009B4DA3"/>
    <w:rsid w:val="009B4ED1"/>
    <w:rsid w:val="009B607D"/>
    <w:rsid w:val="009B6094"/>
    <w:rsid w:val="009B71FF"/>
    <w:rsid w:val="009B7251"/>
    <w:rsid w:val="009B7B56"/>
    <w:rsid w:val="009C03B1"/>
    <w:rsid w:val="009C0503"/>
    <w:rsid w:val="009C4F27"/>
    <w:rsid w:val="009C5C74"/>
    <w:rsid w:val="009C6A88"/>
    <w:rsid w:val="009C7853"/>
    <w:rsid w:val="009D084E"/>
    <w:rsid w:val="009D1381"/>
    <w:rsid w:val="009D18FA"/>
    <w:rsid w:val="009D1B94"/>
    <w:rsid w:val="009D21A7"/>
    <w:rsid w:val="009D3EC9"/>
    <w:rsid w:val="009D52DC"/>
    <w:rsid w:val="009D662A"/>
    <w:rsid w:val="009D6F96"/>
    <w:rsid w:val="009D7507"/>
    <w:rsid w:val="009E0C21"/>
    <w:rsid w:val="009E0E85"/>
    <w:rsid w:val="009E1DCC"/>
    <w:rsid w:val="009E2C33"/>
    <w:rsid w:val="009E2DCC"/>
    <w:rsid w:val="009E3328"/>
    <w:rsid w:val="009E33E0"/>
    <w:rsid w:val="009E5293"/>
    <w:rsid w:val="009E5447"/>
    <w:rsid w:val="009E58AB"/>
    <w:rsid w:val="009F03F7"/>
    <w:rsid w:val="009F0D25"/>
    <w:rsid w:val="009F1649"/>
    <w:rsid w:val="009F2275"/>
    <w:rsid w:val="009F486E"/>
    <w:rsid w:val="009F5B3A"/>
    <w:rsid w:val="00A00AAA"/>
    <w:rsid w:val="00A00C37"/>
    <w:rsid w:val="00A022C3"/>
    <w:rsid w:val="00A029B4"/>
    <w:rsid w:val="00A030B9"/>
    <w:rsid w:val="00A05102"/>
    <w:rsid w:val="00A06ACE"/>
    <w:rsid w:val="00A110CC"/>
    <w:rsid w:val="00A11796"/>
    <w:rsid w:val="00A11FE4"/>
    <w:rsid w:val="00A12416"/>
    <w:rsid w:val="00A124FE"/>
    <w:rsid w:val="00A12AE8"/>
    <w:rsid w:val="00A12C16"/>
    <w:rsid w:val="00A14E9F"/>
    <w:rsid w:val="00A14FF3"/>
    <w:rsid w:val="00A15951"/>
    <w:rsid w:val="00A16FB8"/>
    <w:rsid w:val="00A2384A"/>
    <w:rsid w:val="00A24BC5"/>
    <w:rsid w:val="00A24EE6"/>
    <w:rsid w:val="00A259F2"/>
    <w:rsid w:val="00A25FC2"/>
    <w:rsid w:val="00A2663E"/>
    <w:rsid w:val="00A2672B"/>
    <w:rsid w:val="00A26A10"/>
    <w:rsid w:val="00A26E1E"/>
    <w:rsid w:val="00A302C2"/>
    <w:rsid w:val="00A31129"/>
    <w:rsid w:val="00A3158C"/>
    <w:rsid w:val="00A31707"/>
    <w:rsid w:val="00A32608"/>
    <w:rsid w:val="00A32971"/>
    <w:rsid w:val="00A33768"/>
    <w:rsid w:val="00A34A6B"/>
    <w:rsid w:val="00A35EF4"/>
    <w:rsid w:val="00A35FB7"/>
    <w:rsid w:val="00A36143"/>
    <w:rsid w:val="00A36DDD"/>
    <w:rsid w:val="00A37FE4"/>
    <w:rsid w:val="00A41404"/>
    <w:rsid w:val="00A4143F"/>
    <w:rsid w:val="00A42F33"/>
    <w:rsid w:val="00A44465"/>
    <w:rsid w:val="00A44519"/>
    <w:rsid w:val="00A446E7"/>
    <w:rsid w:val="00A45C65"/>
    <w:rsid w:val="00A4620C"/>
    <w:rsid w:val="00A46235"/>
    <w:rsid w:val="00A464E1"/>
    <w:rsid w:val="00A46F61"/>
    <w:rsid w:val="00A4776C"/>
    <w:rsid w:val="00A51214"/>
    <w:rsid w:val="00A51802"/>
    <w:rsid w:val="00A5202F"/>
    <w:rsid w:val="00A533DF"/>
    <w:rsid w:val="00A54FC7"/>
    <w:rsid w:val="00A55B7D"/>
    <w:rsid w:val="00A55D70"/>
    <w:rsid w:val="00A5622C"/>
    <w:rsid w:val="00A60F47"/>
    <w:rsid w:val="00A610B7"/>
    <w:rsid w:val="00A62030"/>
    <w:rsid w:val="00A6250B"/>
    <w:rsid w:val="00A62820"/>
    <w:rsid w:val="00A64032"/>
    <w:rsid w:val="00A641DC"/>
    <w:rsid w:val="00A64853"/>
    <w:rsid w:val="00A64FA4"/>
    <w:rsid w:val="00A65770"/>
    <w:rsid w:val="00A66B20"/>
    <w:rsid w:val="00A66E52"/>
    <w:rsid w:val="00A67626"/>
    <w:rsid w:val="00A712F6"/>
    <w:rsid w:val="00A71A3E"/>
    <w:rsid w:val="00A729A3"/>
    <w:rsid w:val="00A72DD1"/>
    <w:rsid w:val="00A737DF"/>
    <w:rsid w:val="00A73D5E"/>
    <w:rsid w:val="00A75425"/>
    <w:rsid w:val="00A760A6"/>
    <w:rsid w:val="00A76EB9"/>
    <w:rsid w:val="00A80CD9"/>
    <w:rsid w:val="00A80F19"/>
    <w:rsid w:val="00A80F32"/>
    <w:rsid w:val="00A81DD6"/>
    <w:rsid w:val="00A82741"/>
    <w:rsid w:val="00A83579"/>
    <w:rsid w:val="00A83DCD"/>
    <w:rsid w:val="00A83F82"/>
    <w:rsid w:val="00A8587B"/>
    <w:rsid w:val="00A85A01"/>
    <w:rsid w:val="00A87B59"/>
    <w:rsid w:val="00A87C0F"/>
    <w:rsid w:val="00A901D3"/>
    <w:rsid w:val="00A9061E"/>
    <w:rsid w:val="00A936A2"/>
    <w:rsid w:val="00A941D5"/>
    <w:rsid w:val="00A9454E"/>
    <w:rsid w:val="00A95FDE"/>
    <w:rsid w:val="00A97483"/>
    <w:rsid w:val="00AA0917"/>
    <w:rsid w:val="00AA133F"/>
    <w:rsid w:val="00AA1629"/>
    <w:rsid w:val="00AA23BD"/>
    <w:rsid w:val="00AA43C8"/>
    <w:rsid w:val="00AA5B14"/>
    <w:rsid w:val="00AA6DC8"/>
    <w:rsid w:val="00AB02DA"/>
    <w:rsid w:val="00AB05FC"/>
    <w:rsid w:val="00AB0A36"/>
    <w:rsid w:val="00AB234F"/>
    <w:rsid w:val="00AB24A9"/>
    <w:rsid w:val="00AB3FFC"/>
    <w:rsid w:val="00AB45A2"/>
    <w:rsid w:val="00AB6307"/>
    <w:rsid w:val="00AB655D"/>
    <w:rsid w:val="00AB6819"/>
    <w:rsid w:val="00AB7223"/>
    <w:rsid w:val="00AB7A6C"/>
    <w:rsid w:val="00AC011C"/>
    <w:rsid w:val="00AC102D"/>
    <w:rsid w:val="00AC1DFC"/>
    <w:rsid w:val="00AC1F16"/>
    <w:rsid w:val="00AC2C5A"/>
    <w:rsid w:val="00AC3DC0"/>
    <w:rsid w:val="00AC40C1"/>
    <w:rsid w:val="00AC52FB"/>
    <w:rsid w:val="00AC5503"/>
    <w:rsid w:val="00AC551C"/>
    <w:rsid w:val="00AC628B"/>
    <w:rsid w:val="00AC6374"/>
    <w:rsid w:val="00AC6400"/>
    <w:rsid w:val="00AC691E"/>
    <w:rsid w:val="00AC7DC4"/>
    <w:rsid w:val="00AD3272"/>
    <w:rsid w:val="00AD3D30"/>
    <w:rsid w:val="00AD6ABC"/>
    <w:rsid w:val="00AD71B9"/>
    <w:rsid w:val="00AE030B"/>
    <w:rsid w:val="00AE076F"/>
    <w:rsid w:val="00AE1E12"/>
    <w:rsid w:val="00AE3356"/>
    <w:rsid w:val="00AE496D"/>
    <w:rsid w:val="00AE49C1"/>
    <w:rsid w:val="00AE542F"/>
    <w:rsid w:val="00AE6CEE"/>
    <w:rsid w:val="00AE7B08"/>
    <w:rsid w:val="00AF009C"/>
    <w:rsid w:val="00AF0B2C"/>
    <w:rsid w:val="00AF19F8"/>
    <w:rsid w:val="00AF59F0"/>
    <w:rsid w:val="00AF6AF5"/>
    <w:rsid w:val="00AF6EED"/>
    <w:rsid w:val="00AF77C6"/>
    <w:rsid w:val="00B000DC"/>
    <w:rsid w:val="00B00419"/>
    <w:rsid w:val="00B01174"/>
    <w:rsid w:val="00B012FD"/>
    <w:rsid w:val="00B014A5"/>
    <w:rsid w:val="00B01A14"/>
    <w:rsid w:val="00B01D5D"/>
    <w:rsid w:val="00B02FD0"/>
    <w:rsid w:val="00B047E4"/>
    <w:rsid w:val="00B04857"/>
    <w:rsid w:val="00B04F1B"/>
    <w:rsid w:val="00B05270"/>
    <w:rsid w:val="00B0672A"/>
    <w:rsid w:val="00B06774"/>
    <w:rsid w:val="00B06FB7"/>
    <w:rsid w:val="00B10D00"/>
    <w:rsid w:val="00B11018"/>
    <w:rsid w:val="00B12445"/>
    <w:rsid w:val="00B138B4"/>
    <w:rsid w:val="00B146E1"/>
    <w:rsid w:val="00B14E57"/>
    <w:rsid w:val="00B1561C"/>
    <w:rsid w:val="00B1584F"/>
    <w:rsid w:val="00B15B74"/>
    <w:rsid w:val="00B1644B"/>
    <w:rsid w:val="00B16992"/>
    <w:rsid w:val="00B173AD"/>
    <w:rsid w:val="00B204DF"/>
    <w:rsid w:val="00B21547"/>
    <w:rsid w:val="00B215C3"/>
    <w:rsid w:val="00B21FCE"/>
    <w:rsid w:val="00B239C0"/>
    <w:rsid w:val="00B2513C"/>
    <w:rsid w:val="00B31341"/>
    <w:rsid w:val="00B31CF5"/>
    <w:rsid w:val="00B32AF3"/>
    <w:rsid w:val="00B357F7"/>
    <w:rsid w:val="00B35BCB"/>
    <w:rsid w:val="00B35FB8"/>
    <w:rsid w:val="00B4069D"/>
    <w:rsid w:val="00B40897"/>
    <w:rsid w:val="00B40BDD"/>
    <w:rsid w:val="00B41E85"/>
    <w:rsid w:val="00B43409"/>
    <w:rsid w:val="00B44334"/>
    <w:rsid w:val="00B470AF"/>
    <w:rsid w:val="00B47113"/>
    <w:rsid w:val="00B47DA7"/>
    <w:rsid w:val="00B47FE8"/>
    <w:rsid w:val="00B50538"/>
    <w:rsid w:val="00B52A00"/>
    <w:rsid w:val="00B561D7"/>
    <w:rsid w:val="00B57D82"/>
    <w:rsid w:val="00B60754"/>
    <w:rsid w:val="00B614E0"/>
    <w:rsid w:val="00B62955"/>
    <w:rsid w:val="00B640F5"/>
    <w:rsid w:val="00B64144"/>
    <w:rsid w:val="00B6758D"/>
    <w:rsid w:val="00B67658"/>
    <w:rsid w:val="00B71129"/>
    <w:rsid w:val="00B71B60"/>
    <w:rsid w:val="00B72211"/>
    <w:rsid w:val="00B72883"/>
    <w:rsid w:val="00B734FC"/>
    <w:rsid w:val="00B73C7F"/>
    <w:rsid w:val="00B74083"/>
    <w:rsid w:val="00B74163"/>
    <w:rsid w:val="00B74591"/>
    <w:rsid w:val="00B755D2"/>
    <w:rsid w:val="00B75A7E"/>
    <w:rsid w:val="00B76341"/>
    <w:rsid w:val="00B77C70"/>
    <w:rsid w:val="00B80DC2"/>
    <w:rsid w:val="00B81E79"/>
    <w:rsid w:val="00B823E9"/>
    <w:rsid w:val="00B8319F"/>
    <w:rsid w:val="00B83A03"/>
    <w:rsid w:val="00B87480"/>
    <w:rsid w:val="00B87FD0"/>
    <w:rsid w:val="00B92695"/>
    <w:rsid w:val="00B930C0"/>
    <w:rsid w:val="00B94923"/>
    <w:rsid w:val="00B951E2"/>
    <w:rsid w:val="00B97E8E"/>
    <w:rsid w:val="00BA1671"/>
    <w:rsid w:val="00BA1AC5"/>
    <w:rsid w:val="00BA28B9"/>
    <w:rsid w:val="00BA7A06"/>
    <w:rsid w:val="00BB0453"/>
    <w:rsid w:val="00BB1E30"/>
    <w:rsid w:val="00BB3901"/>
    <w:rsid w:val="00BB4E34"/>
    <w:rsid w:val="00BB5949"/>
    <w:rsid w:val="00BB78AF"/>
    <w:rsid w:val="00BB7A3B"/>
    <w:rsid w:val="00BB7E10"/>
    <w:rsid w:val="00BC09FD"/>
    <w:rsid w:val="00BC1D6E"/>
    <w:rsid w:val="00BC1F4D"/>
    <w:rsid w:val="00BC23E3"/>
    <w:rsid w:val="00BC7CD7"/>
    <w:rsid w:val="00BC7F03"/>
    <w:rsid w:val="00BD0E65"/>
    <w:rsid w:val="00BD191A"/>
    <w:rsid w:val="00BD1C32"/>
    <w:rsid w:val="00BD44FE"/>
    <w:rsid w:val="00BD66E8"/>
    <w:rsid w:val="00BD6883"/>
    <w:rsid w:val="00BE02F8"/>
    <w:rsid w:val="00BE3336"/>
    <w:rsid w:val="00BE6D39"/>
    <w:rsid w:val="00BE73C2"/>
    <w:rsid w:val="00BE7E6C"/>
    <w:rsid w:val="00BF1AD9"/>
    <w:rsid w:val="00BF31FC"/>
    <w:rsid w:val="00BF324A"/>
    <w:rsid w:val="00BF4207"/>
    <w:rsid w:val="00BF6712"/>
    <w:rsid w:val="00BF790A"/>
    <w:rsid w:val="00C00D76"/>
    <w:rsid w:val="00C0285F"/>
    <w:rsid w:val="00C039F9"/>
    <w:rsid w:val="00C05E50"/>
    <w:rsid w:val="00C063D3"/>
    <w:rsid w:val="00C07EAC"/>
    <w:rsid w:val="00C10B9F"/>
    <w:rsid w:val="00C13A0C"/>
    <w:rsid w:val="00C14886"/>
    <w:rsid w:val="00C14AF2"/>
    <w:rsid w:val="00C151E8"/>
    <w:rsid w:val="00C15EBB"/>
    <w:rsid w:val="00C15FBD"/>
    <w:rsid w:val="00C1660A"/>
    <w:rsid w:val="00C174D6"/>
    <w:rsid w:val="00C17CEC"/>
    <w:rsid w:val="00C2118D"/>
    <w:rsid w:val="00C21AEF"/>
    <w:rsid w:val="00C2217B"/>
    <w:rsid w:val="00C2269F"/>
    <w:rsid w:val="00C226AE"/>
    <w:rsid w:val="00C231BB"/>
    <w:rsid w:val="00C24114"/>
    <w:rsid w:val="00C24E39"/>
    <w:rsid w:val="00C25ABB"/>
    <w:rsid w:val="00C25C0B"/>
    <w:rsid w:val="00C25DCD"/>
    <w:rsid w:val="00C26F94"/>
    <w:rsid w:val="00C27270"/>
    <w:rsid w:val="00C30367"/>
    <w:rsid w:val="00C30B40"/>
    <w:rsid w:val="00C31FA8"/>
    <w:rsid w:val="00C32BC0"/>
    <w:rsid w:val="00C32CBB"/>
    <w:rsid w:val="00C330F5"/>
    <w:rsid w:val="00C3473E"/>
    <w:rsid w:val="00C35A31"/>
    <w:rsid w:val="00C362AE"/>
    <w:rsid w:val="00C40D0E"/>
    <w:rsid w:val="00C40D70"/>
    <w:rsid w:val="00C42141"/>
    <w:rsid w:val="00C421C6"/>
    <w:rsid w:val="00C42317"/>
    <w:rsid w:val="00C427BD"/>
    <w:rsid w:val="00C4317B"/>
    <w:rsid w:val="00C438A5"/>
    <w:rsid w:val="00C44F47"/>
    <w:rsid w:val="00C51401"/>
    <w:rsid w:val="00C54F79"/>
    <w:rsid w:val="00C56651"/>
    <w:rsid w:val="00C574ED"/>
    <w:rsid w:val="00C6012E"/>
    <w:rsid w:val="00C626D3"/>
    <w:rsid w:val="00C63912"/>
    <w:rsid w:val="00C63F9B"/>
    <w:rsid w:val="00C644B2"/>
    <w:rsid w:val="00C666B9"/>
    <w:rsid w:val="00C70CE8"/>
    <w:rsid w:val="00C714AE"/>
    <w:rsid w:val="00C728D7"/>
    <w:rsid w:val="00C72AE9"/>
    <w:rsid w:val="00C74277"/>
    <w:rsid w:val="00C74668"/>
    <w:rsid w:val="00C7698C"/>
    <w:rsid w:val="00C8097E"/>
    <w:rsid w:val="00C8279B"/>
    <w:rsid w:val="00C82967"/>
    <w:rsid w:val="00C83BEC"/>
    <w:rsid w:val="00C84BF9"/>
    <w:rsid w:val="00C90E1B"/>
    <w:rsid w:val="00C91443"/>
    <w:rsid w:val="00C91AAE"/>
    <w:rsid w:val="00C91E87"/>
    <w:rsid w:val="00C92035"/>
    <w:rsid w:val="00C927AB"/>
    <w:rsid w:val="00C92B73"/>
    <w:rsid w:val="00C930CB"/>
    <w:rsid w:val="00C948AB"/>
    <w:rsid w:val="00C96804"/>
    <w:rsid w:val="00C96EF2"/>
    <w:rsid w:val="00C970A7"/>
    <w:rsid w:val="00CA1B7D"/>
    <w:rsid w:val="00CA264C"/>
    <w:rsid w:val="00CA4965"/>
    <w:rsid w:val="00CA4A7D"/>
    <w:rsid w:val="00CA69F4"/>
    <w:rsid w:val="00CA6D50"/>
    <w:rsid w:val="00CA6F19"/>
    <w:rsid w:val="00CA7111"/>
    <w:rsid w:val="00CB1481"/>
    <w:rsid w:val="00CB2F3E"/>
    <w:rsid w:val="00CB4591"/>
    <w:rsid w:val="00CB4793"/>
    <w:rsid w:val="00CB48F4"/>
    <w:rsid w:val="00CB49B3"/>
    <w:rsid w:val="00CB5F44"/>
    <w:rsid w:val="00CB603A"/>
    <w:rsid w:val="00CB684A"/>
    <w:rsid w:val="00CC10E1"/>
    <w:rsid w:val="00CC25D6"/>
    <w:rsid w:val="00CC30EE"/>
    <w:rsid w:val="00CC55E1"/>
    <w:rsid w:val="00CC60E1"/>
    <w:rsid w:val="00CC6A02"/>
    <w:rsid w:val="00CC7A96"/>
    <w:rsid w:val="00CD011C"/>
    <w:rsid w:val="00CD1E49"/>
    <w:rsid w:val="00CD2004"/>
    <w:rsid w:val="00CD2E5D"/>
    <w:rsid w:val="00CD2F27"/>
    <w:rsid w:val="00CD3278"/>
    <w:rsid w:val="00CD4FFA"/>
    <w:rsid w:val="00CD52E6"/>
    <w:rsid w:val="00CD537F"/>
    <w:rsid w:val="00CD5BEF"/>
    <w:rsid w:val="00CD7545"/>
    <w:rsid w:val="00CE2F49"/>
    <w:rsid w:val="00CE4D70"/>
    <w:rsid w:val="00CE57D4"/>
    <w:rsid w:val="00CE6B76"/>
    <w:rsid w:val="00CE7E19"/>
    <w:rsid w:val="00CF08E9"/>
    <w:rsid w:val="00CF2A33"/>
    <w:rsid w:val="00CF2EF0"/>
    <w:rsid w:val="00CF5435"/>
    <w:rsid w:val="00CF63D8"/>
    <w:rsid w:val="00CF694F"/>
    <w:rsid w:val="00CF6D69"/>
    <w:rsid w:val="00D006B1"/>
    <w:rsid w:val="00D00890"/>
    <w:rsid w:val="00D02767"/>
    <w:rsid w:val="00D03462"/>
    <w:rsid w:val="00D04CEC"/>
    <w:rsid w:val="00D05BAF"/>
    <w:rsid w:val="00D07CE0"/>
    <w:rsid w:val="00D07F4F"/>
    <w:rsid w:val="00D10CE8"/>
    <w:rsid w:val="00D11509"/>
    <w:rsid w:val="00D11DC1"/>
    <w:rsid w:val="00D1467E"/>
    <w:rsid w:val="00D149C5"/>
    <w:rsid w:val="00D15811"/>
    <w:rsid w:val="00D15E4E"/>
    <w:rsid w:val="00D1714D"/>
    <w:rsid w:val="00D1776F"/>
    <w:rsid w:val="00D2041E"/>
    <w:rsid w:val="00D20785"/>
    <w:rsid w:val="00D23706"/>
    <w:rsid w:val="00D262EC"/>
    <w:rsid w:val="00D30B82"/>
    <w:rsid w:val="00D31DDE"/>
    <w:rsid w:val="00D32681"/>
    <w:rsid w:val="00D32771"/>
    <w:rsid w:val="00D32AA3"/>
    <w:rsid w:val="00D32D46"/>
    <w:rsid w:val="00D331F8"/>
    <w:rsid w:val="00D36A93"/>
    <w:rsid w:val="00D37313"/>
    <w:rsid w:val="00D376C1"/>
    <w:rsid w:val="00D400EC"/>
    <w:rsid w:val="00D404F7"/>
    <w:rsid w:val="00D42565"/>
    <w:rsid w:val="00D446ED"/>
    <w:rsid w:val="00D45946"/>
    <w:rsid w:val="00D45F7A"/>
    <w:rsid w:val="00D47908"/>
    <w:rsid w:val="00D47AC4"/>
    <w:rsid w:val="00D47D4C"/>
    <w:rsid w:val="00D51CCA"/>
    <w:rsid w:val="00D53BD6"/>
    <w:rsid w:val="00D53C80"/>
    <w:rsid w:val="00D5677A"/>
    <w:rsid w:val="00D57821"/>
    <w:rsid w:val="00D57BB0"/>
    <w:rsid w:val="00D60A8B"/>
    <w:rsid w:val="00D60F21"/>
    <w:rsid w:val="00D613C1"/>
    <w:rsid w:val="00D61780"/>
    <w:rsid w:val="00D62AF2"/>
    <w:rsid w:val="00D6467D"/>
    <w:rsid w:val="00D65B84"/>
    <w:rsid w:val="00D660E3"/>
    <w:rsid w:val="00D66956"/>
    <w:rsid w:val="00D67587"/>
    <w:rsid w:val="00D67AF5"/>
    <w:rsid w:val="00D708AF"/>
    <w:rsid w:val="00D7183E"/>
    <w:rsid w:val="00D71C7D"/>
    <w:rsid w:val="00D7334F"/>
    <w:rsid w:val="00D73AF2"/>
    <w:rsid w:val="00D744E0"/>
    <w:rsid w:val="00D7480E"/>
    <w:rsid w:val="00D76897"/>
    <w:rsid w:val="00D77157"/>
    <w:rsid w:val="00D77726"/>
    <w:rsid w:val="00D80717"/>
    <w:rsid w:val="00D81560"/>
    <w:rsid w:val="00D81665"/>
    <w:rsid w:val="00D830E5"/>
    <w:rsid w:val="00D83672"/>
    <w:rsid w:val="00D83E37"/>
    <w:rsid w:val="00D85426"/>
    <w:rsid w:val="00D85D8B"/>
    <w:rsid w:val="00D86B8C"/>
    <w:rsid w:val="00D87DF8"/>
    <w:rsid w:val="00D908A7"/>
    <w:rsid w:val="00D90B2C"/>
    <w:rsid w:val="00D92BB4"/>
    <w:rsid w:val="00D96BCE"/>
    <w:rsid w:val="00D97177"/>
    <w:rsid w:val="00D974D8"/>
    <w:rsid w:val="00D97624"/>
    <w:rsid w:val="00D97E39"/>
    <w:rsid w:val="00DA2392"/>
    <w:rsid w:val="00DA2D2C"/>
    <w:rsid w:val="00DA30F8"/>
    <w:rsid w:val="00DA4F54"/>
    <w:rsid w:val="00DA53B7"/>
    <w:rsid w:val="00DA574E"/>
    <w:rsid w:val="00DB277B"/>
    <w:rsid w:val="00DB3ABC"/>
    <w:rsid w:val="00DB3FB2"/>
    <w:rsid w:val="00DB66A0"/>
    <w:rsid w:val="00DB6DFB"/>
    <w:rsid w:val="00DB75AB"/>
    <w:rsid w:val="00DB7AF1"/>
    <w:rsid w:val="00DC0228"/>
    <w:rsid w:val="00DC0B5F"/>
    <w:rsid w:val="00DC1E6A"/>
    <w:rsid w:val="00DC1FFF"/>
    <w:rsid w:val="00DC219A"/>
    <w:rsid w:val="00DC220A"/>
    <w:rsid w:val="00DC290C"/>
    <w:rsid w:val="00DC5E7C"/>
    <w:rsid w:val="00DC5F79"/>
    <w:rsid w:val="00DD0332"/>
    <w:rsid w:val="00DD1A5C"/>
    <w:rsid w:val="00DD33FA"/>
    <w:rsid w:val="00DD51C7"/>
    <w:rsid w:val="00DD540D"/>
    <w:rsid w:val="00DD55AF"/>
    <w:rsid w:val="00DD568A"/>
    <w:rsid w:val="00DD5E44"/>
    <w:rsid w:val="00DD67D8"/>
    <w:rsid w:val="00DD68D1"/>
    <w:rsid w:val="00DE00E1"/>
    <w:rsid w:val="00DE07DB"/>
    <w:rsid w:val="00DE21C4"/>
    <w:rsid w:val="00DE4CF5"/>
    <w:rsid w:val="00DE5C9E"/>
    <w:rsid w:val="00DE6015"/>
    <w:rsid w:val="00DE617C"/>
    <w:rsid w:val="00DF0872"/>
    <w:rsid w:val="00DF1E60"/>
    <w:rsid w:val="00DF4184"/>
    <w:rsid w:val="00DF41E1"/>
    <w:rsid w:val="00DF5F86"/>
    <w:rsid w:val="00DF61D0"/>
    <w:rsid w:val="00DF6289"/>
    <w:rsid w:val="00DF7147"/>
    <w:rsid w:val="00DF784C"/>
    <w:rsid w:val="00E04A0E"/>
    <w:rsid w:val="00E068AC"/>
    <w:rsid w:val="00E0702E"/>
    <w:rsid w:val="00E079A8"/>
    <w:rsid w:val="00E1050C"/>
    <w:rsid w:val="00E11E55"/>
    <w:rsid w:val="00E12E7C"/>
    <w:rsid w:val="00E14051"/>
    <w:rsid w:val="00E14506"/>
    <w:rsid w:val="00E14FCE"/>
    <w:rsid w:val="00E16318"/>
    <w:rsid w:val="00E16786"/>
    <w:rsid w:val="00E208D4"/>
    <w:rsid w:val="00E22AC6"/>
    <w:rsid w:val="00E23623"/>
    <w:rsid w:val="00E2545F"/>
    <w:rsid w:val="00E26DC5"/>
    <w:rsid w:val="00E30DE4"/>
    <w:rsid w:val="00E3253E"/>
    <w:rsid w:val="00E3589A"/>
    <w:rsid w:val="00E35F9A"/>
    <w:rsid w:val="00E36C39"/>
    <w:rsid w:val="00E4530E"/>
    <w:rsid w:val="00E456D6"/>
    <w:rsid w:val="00E45D56"/>
    <w:rsid w:val="00E4672A"/>
    <w:rsid w:val="00E4753A"/>
    <w:rsid w:val="00E5070C"/>
    <w:rsid w:val="00E52A31"/>
    <w:rsid w:val="00E54B77"/>
    <w:rsid w:val="00E55769"/>
    <w:rsid w:val="00E57628"/>
    <w:rsid w:val="00E57815"/>
    <w:rsid w:val="00E60524"/>
    <w:rsid w:val="00E62416"/>
    <w:rsid w:val="00E62715"/>
    <w:rsid w:val="00E62C47"/>
    <w:rsid w:val="00E65539"/>
    <w:rsid w:val="00E67885"/>
    <w:rsid w:val="00E67D1F"/>
    <w:rsid w:val="00E71F6A"/>
    <w:rsid w:val="00E723D2"/>
    <w:rsid w:val="00E72F65"/>
    <w:rsid w:val="00E74393"/>
    <w:rsid w:val="00E75F46"/>
    <w:rsid w:val="00E76959"/>
    <w:rsid w:val="00E80563"/>
    <w:rsid w:val="00E828B0"/>
    <w:rsid w:val="00E82AAA"/>
    <w:rsid w:val="00E83486"/>
    <w:rsid w:val="00E85D20"/>
    <w:rsid w:val="00E86097"/>
    <w:rsid w:val="00E8646F"/>
    <w:rsid w:val="00E915B7"/>
    <w:rsid w:val="00E91BF2"/>
    <w:rsid w:val="00E944E9"/>
    <w:rsid w:val="00E95DA5"/>
    <w:rsid w:val="00E971CC"/>
    <w:rsid w:val="00E97253"/>
    <w:rsid w:val="00E978D1"/>
    <w:rsid w:val="00EA18BE"/>
    <w:rsid w:val="00EA2B2E"/>
    <w:rsid w:val="00EA31BA"/>
    <w:rsid w:val="00EA4867"/>
    <w:rsid w:val="00EA5CB3"/>
    <w:rsid w:val="00EA6A72"/>
    <w:rsid w:val="00EB1624"/>
    <w:rsid w:val="00EB30D3"/>
    <w:rsid w:val="00EB33FF"/>
    <w:rsid w:val="00EB6370"/>
    <w:rsid w:val="00EC1252"/>
    <w:rsid w:val="00EC189A"/>
    <w:rsid w:val="00EC2117"/>
    <w:rsid w:val="00EC38F8"/>
    <w:rsid w:val="00EC41E4"/>
    <w:rsid w:val="00EC4806"/>
    <w:rsid w:val="00EC4EE4"/>
    <w:rsid w:val="00EC770F"/>
    <w:rsid w:val="00EC791A"/>
    <w:rsid w:val="00ED0D57"/>
    <w:rsid w:val="00ED103F"/>
    <w:rsid w:val="00ED14F1"/>
    <w:rsid w:val="00ED2971"/>
    <w:rsid w:val="00ED3533"/>
    <w:rsid w:val="00ED3699"/>
    <w:rsid w:val="00ED3C3F"/>
    <w:rsid w:val="00ED5CA3"/>
    <w:rsid w:val="00ED5CF8"/>
    <w:rsid w:val="00EE13CD"/>
    <w:rsid w:val="00EE15E9"/>
    <w:rsid w:val="00EE2E50"/>
    <w:rsid w:val="00EE3927"/>
    <w:rsid w:val="00EE4396"/>
    <w:rsid w:val="00EE586A"/>
    <w:rsid w:val="00EE6994"/>
    <w:rsid w:val="00EE6B84"/>
    <w:rsid w:val="00EF0D28"/>
    <w:rsid w:val="00EF1E6F"/>
    <w:rsid w:val="00EF2C4D"/>
    <w:rsid w:val="00EF2D15"/>
    <w:rsid w:val="00EF3E98"/>
    <w:rsid w:val="00F0104B"/>
    <w:rsid w:val="00F027B8"/>
    <w:rsid w:val="00F05A78"/>
    <w:rsid w:val="00F06458"/>
    <w:rsid w:val="00F068C2"/>
    <w:rsid w:val="00F10650"/>
    <w:rsid w:val="00F12550"/>
    <w:rsid w:val="00F127F8"/>
    <w:rsid w:val="00F129E2"/>
    <w:rsid w:val="00F13700"/>
    <w:rsid w:val="00F142A3"/>
    <w:rsid w:val="00F1489D"/>
    <w:rsid w:val="00F1583C"/>
    <w:rsid w:val="00F1727D"/>
    <w:rsid w:val="00F172F5"/>
    <w:rsid w:val="00F2048B"/>
    <w:rsid w:val="00F20D8A"/>
    <w:rsid w:val="00F211EC"/>
    <w:rsid w:val="00F22A63"/>
    <w:rsid w:val="00F22B27"/>
    <w:rsid w:val="00F23181"/>
    <w:rsid w:val="00F23762"/>
    <w:rsid w:val="00F2417F"/>
    <w:rsid w:val="00F243AF"/>
    <w:rsid w:val="00F2471B"/>
    <w:rsid w:val="00F25CB8"/>
    <w:rsid w:val="00F2642C"/>
    <w:rsid w:val="00F30246"/>
    <w:rsid w:val="00F302BE"/>
    <w:rsid w:val="00F308C4"/>
    <w:rsid w:val="00F31B5B"/>
    <w:rsid w:val="00F31C9B"/>
    <w:rsid w:val="00F31CE8"/>
    <w:rsid w:val="00F31E57"/>
    <w:rsid w:val="00F32016"/>
    <w:rsid w:val="00F33A4A"/>
    <w:rsid w:val="00F345AC"/>
    <w:rsid w:val="00F37069"/>
    <w:rsid w:val="00F37DA0"/>
    <w:rsid w:val="00F40B2C"/>
    <w:rsid w:val="00F41246"/>
    <w:rsid w:val="00F4167F"/>
    <w:rsid w:val="00F41852"/>
    <w:rsid w:val="00F4201F"/>
    <w:rsid w:val="00F4203E"/>
    <w:rsid w:val="00F421C3"/>
    <w:rsid w:val="00F43735"/>
    <w:rsid w:val="00F43F53"/>
    <w:rsid w:val="00F44651"/>
    <w:rsid w:val="00F44C6D"/>
    <w:rsid w:val="00F45218"/>
    <w:rsid w:val="00F45CE8"/>
    <w:rsid w:val="00F462D7"/>
    <w:rsid w:val="00F47CD3"/>
    <w:rsid w:val="00F50236"/>
    <w:rsid w:val="00F50686"/>
    <w:rsid w:val="00F50A56"/>
    <w:rsid w:val="00F531E5"/>
    <w:rsid w:val="00F55D56"/>
    <w:rsid w:val="00F5787D"/>
    <w:rsid w:val="00F57C11"/>
    <w:rsid w:val="00F604BC"/>
    <w:rsid w:val="00F60547"/>
    <w:rsid w:val="00F645A0"/>
    <w:rsid w:val="00F67340"/>
    <w:rsid w:val="00F711A4"/>
    <w:rsid w:val="00F71CDF"/>
    <w:rsid w:val="00F73A6A"/>
    <w:rsid w:val="00F73CD9"/>
    <w:rsid w:val="00F73EE9"/>
    <w:rsid w:val="00F75195"/>
    <w:rsid w:val="00F7580B"/>
    <w:rsid w:val="00F76274"/>
    <w:rsid w:val="00F774D3"/>
    <w:rsid w:val="00F81353"/>
    <w:rsid w:val="00F817A0"/>
    <w:rsid w:val="00F81852"/>
    <w:rsid w:val="00F818F7"/>
    <w:rsid w:val="00F82079"/>
    <w:rsid w:val="00F84682"/>
    <w:rsid w:val="00F86C91"/>
    <w:rsid w:val="00F86ED8"/>
    <w:rsid w:val="00FA1360"/>
    <w:rsid w:val="00FA209D"/>
    <w:rsid w:val="00FA264E"/>
    <w:rsid w:val="00FA290F"/>
    <w:rsid w:val="00FA62C9"/>
    <w:rsid w:val="00FA6C3F"/>
    <w:rsid w:val="00FA7E1C"/>
    <w:rsid w:val="00FB0A52"/>
    <w:rsid w:val="00FB1A58"/>
    <w:rsid w:val="00FB209B"/>
    <w:rsid w:val="00FB252A"/>
    <w:rsid w:val="00FB2997"/>
    <w:rsid w:val="00FB2A32"/>
    <w:rsid w:val="00FB4D02"/>
    <w:rsid w:val="00FB6353"/>
    <w:rsid w:val="00FB7FC4"/>
    <w:rsid w:val="00FC0055"/>
    <w:rsid w:val="00FC09F7"/>
    <w:rsid w:val="00FC0E30"/>
    <w:rsid w:val="00FC22BF"/>
    <w:rsid w:val="00FC5E58"/>
    <w:rsid w:val="00FC5EB1"/>
    <w:rsid w:val="00FC68AF"/>
    <w:rsid w:val="00FC6EAF"/>
    <w:rsid w:val="00FD0608"/>
    <w:rsid w:val="00FD1241"/>
    <w:rsid w:val="00FD12B0"/>
    <w:rsid w:val="00FD14F5"/>
    <w:rsid w:val="00FD15EE"/>
    <w:rsid w:val="00FD1DD1"/>
    <w:rsid w:val="00FD1FE7"/>
    <w:rsid w:val="00FD2234"/>
    <w:rsid w:val="00FD2839"/>
    <w:rsid w:val="00FD2EBC"/>
    <w:rsid w:val="00FD301B"/>
    <w:rsid w:val="00FD3404"/>
    <w:rsid w:val="00FD35C7"/>
    <w:rsid w:val="00FD37E5"/>
    <w:rsid w:val="00FD5292"/>
    <w:rsid w:val="00FD5BE1"/>
    <w:rsid w:val="00FD720D"/>
    <w:rsid w:val="00FD77C1"/>
    <w:rsid w:val="00FD7BD0"/>
    <w:rsid w:val="00FE2B2A"/>
    <w:rsid w:val="00FE3F2D"/>
    <w:rsid w:val="00FE4BD7"/>
    <w:rsid w:val="00FE51A4"/>
    <w:rsid w:val="00FE55FC"/>
    <w:rsid w:val="00FE58B5"/>
    <w:rsid w:val="00FE5DD7"/>
    <w:rsid w:val="00FE5FE9"/>
    <w:rsid w:val="00FE6A23"/>
    <w:rsid w:val="00FE72C2"/>
    <w:rsid w:val="00FE7D89"/>
    <w:rsid w:val="00FF3C5F"/>
    <w:rsid w:val="00FF4003"/>
    <w:rsid w:val="00FF55AE"/>
    <w:rsid w:val="00FF5D2B"/>
    <w:rsid w:val="00FF6047"/>
    <w:rsid w:val="00FF641D"/>
    <w:rsid w:val="00FF74F7"/>
    <w:rsid w:val="00FF772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6DD691"/>
  <w15:docId w15:val="{6AACE872-4D33-4A70-BD59-A5CE35019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8C3"/>
    <w:pPr>
      <w:spacing w:after="0" w:line="360" w:lineRule="auto"/>
      <w:jc w:val="both"/>
    </w:pPr>
    <w:rPr>
      <w:rFonts w:ascii="Arial" w:hAnsi="Arial"/>
      <w:sz w:val="24"/>
    </w:rPr>
  </w:style>
  <w:style w:type="paragraph" w:styleId="Ttulo1">
    <w:name w:val="heading 1"/>
    <w:basedOn w:val="Normal"/>
    <w:next w:val="Normal"/>
    <w:link w:val="Ttulo1Char"/>
    <w:uiPriority w:val="9"/>
    <w:qFormat/>
    <w:rsid w:val="00A16FB8"/>
    <w:pPr>
      <w:keepLines/>
      <w:pageBreakBefore/>
      <w:widowControl w:val="0"/>
      <w:spacing w:after="240"/>
      <w:outlineLvl w:val="0"/>
    </w:pPr>
    <w:rPr>
      <w:rFonts w:eastAsiaTheme="majorEastAsia" w:cstheme="majorBidi"/>
      <w:b/>
      <w:bCs/>
      <w:caps/>
      <w:sz w:val="28"/>
      <w:szCs w:val="28"/>
    </w:rPr>
  </w:style>
  <w:style w:type="paragraph" w:styleId="Ttulo2">
    <w:name w:val="heading 2"/>
    <w:basedOn w:val="Normal"/>
    <w:next w:val="Normal"/>
    <w:link w:val="Ttulo2Char"/>
    <w:uiPriority w:val="9"/>
    <w:unhideWhenUsed/>
    <w:qFormat/>
    <w:rsid w:val="004F7FA1"/>
    <w:pPr>
      <w:keepNext/>
      <w:keepLines/>
      <w:widowControl w:val="0"/>
      <w:spacing w:before="480" w:after="240"/>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0D2D0A"/>
    <w:pPr>
      <w:keepNext/>
      <w:keepLines/>
      <w:spacing w:before="480" w:after="240" w:line="240" w:lineRule="auto"/>
      <w:outlineLvl w:val="2"/>
    </w:pPr>
    <w:rPr>
      <w:rFonts w:eastAsiaTheme="majorEastAsia" w:cstheme="majorBidi"/>
      <w:bCs/>
    </w:rPr>
  </w:style>
  <w:style w:type="paragraph" w:styleId="Ttulo4">
    <w:name w:val="heading 4"/>
    <w:basedOn w:val="Normal"/>
    <w:next w:val="Normal"/>
    <w:link w:val="Ttulo4Char"/>
    <w:uiPriority w:val="9"/>
    <w:unhideWhenUsed/>
    <w:qFormat/>
    <w:rsid w:val="00A11796"/>
    <w:pPr>
      <w:keepNext/>
      <w:keepLines/>
      <w:spacing w:before="200" w:after="120" w:line="276" w:lineRule="auto"/>
      <w:jc w:val="left"/>
      <w:outlineLvl w:val="3"/>
    </w:pPr>
    <w:rPr>
      <w:rFonts w:eastAsiaTheme="majorEastAsia" w:cstheme="majorBidi"/>
      <w:bCs/>
      <w:i/>
      <w:iCs/>
    </w:rPr>
  </w:style>
  <w:style w:type="paragraph" w:styleId="Ttulo5">
    <w:name w:val="heading 5"/>
    <w:basedOn w:val="Normal"/>
    <w:next w:val="Normal"/>
    <w:link w:val="Ttulo5Char"/>
    <w:uiPriority w:val="9"/>
    <w:unhideWhenUsed/>
    <w:qFormat/>
    <w:rsid w:val="004256BE"/>
    <w:pPr>
      <w:keepNext/>
      <w:keepLines/>
      <w:spacing w:before="20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Attribute0">
    <w:name w:val="ParaAttribute0"/>
    <w:rsid w:val="00352EC1"/>
    <w:pPr>
      <w:widowControl w:val="0"/>
      <w:wordWrap w:val="0"/>
    </w:pPr>
    <w:rPr>
      <w:rFonts w:ascii="Times New Roman" w:eastAsia="Batang" w:hAnsi="Times New Roman"/>
    </w:rPr>
  </w:style>
  <w:style w:type="character" w:customStyle="1" w:styleId="CharAttribute0">
    <w:name w:val="CharAttribute0"/>
    <w:rsid w:val="00352EC1"/>
    <w:rPr>
      <w:rFonts w:ascii="Times New Roman" w:eastAsia="Times New Roman" w:hAnsi="Times New Roman"/>
    </w:rPr>
  </w:style>
  <w:style w:type="character" w:styleId="Refdecomentrio">
    <w:name w:val="annotation reference"/>
    <w:uiPriority w:val="99"/>
    <w:semiHidden/>
    <w:unhideWhenUsed/>
    <w:rsid w:val="005A66D5"/>
    <w:rPr>
      <w:sz w:val="20"/>
      <w:szCs w:val="20"/>
    </w:rPr>
  </w:style>
  <w:style w:type="paragraph" w:styleId="Textodecomentrio">
    <w:name w:val="annotation text"/>
    <w:basedOn w:val="Normal"/>
    <w:link w:val="TextodecomentrioChar"/>
    <w:uiPriority w:val="99"/>
    <w:semiHidden/>
    <w:unhideWhenUsed/>
    <w:rsid w:val="005A66D5"/>
    <w:pPr>
      <w:spacing w:line="240" w:lineRule="auto"/>
    </w:pPr>
    <w:rPr>
      <w:sz w:val="20"/>
      <w:szCs w:val="20"/>
      <w:lang w:val="x-none" w:eastAsia="x-none"/>
    </w:rPr>
  </w:style>
  <w:style w:type="character" w:customStyle="1" w:styleId="TextodecomentrioChar">
    <w:name w:val="Texto de comentário Char"/>
    <w:link w:val="Textodecomentrio"/>
    <w:uiPriority w:val="99"/>
    <w:rsid w:val="00B67658"/>
    <w:rPr>
      <w:sz w:val="20"/>
      <w:szCs w:val="20"/>
    </w:rPr>
  </w:style>
  <w:style w:type="paragraph" w:styleId="Assuntodocomentrio">
    <w:name w:val="annotation subject"/>
    <w:basedOn w:val="Textodecomentrio"/>
    <w:next w:val="Textodecomentrio"/>
    <w:link w:val="AssuntodocomentrioChar"/>
    <w:uiPriority w:val="99"/>
    <w:semiHidden/>
    <w:unhideWhenUsed/>
    <w:rsid w:val="00B67658"/>
    <w:rPr>
      <w:b/>
      <w:bCs/>
    </w:rPr>
  </w:style>
  <w:style w:type="character" w:customStyle="1" w:styleId="AssuntodocomentrioChar">
    <w:name w:val="Assunto do comentário Char"/>
    <w:link w:val="Assuntodocomentrio"/>
    <w:uiPriority w:val="99"/>
    <w:semiHidden/>
    <w:rsid w:val="00B67658"/>
    <w:rPr>
      <w:b/>
      <w:bCs/>
      <w:sz w:val="20"/>
      <w:szCs w:val="20"/>
    </w:rPr>
  </w:style>
  <w:style w:type="paragraph" w:styleId="Textodebalo">
    <w:name w:val="Balloon Text"/>
    <w:basedOn w:val="Normal"/>
    <w:link w:val="TextodebaloChar"/>
    <w:uiPriority w:val="99"/>
    <w:semiHidden/>
    <w:unhideWhenUsed/>
    <w:rsid w:val="00B67658"/>
    <w:pPr>
      <w:spacing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B67658"/>
    <w:rPr>
      <w:rFonts w:ascii="Tahoma" w:hAnsi="Tahoma" w:cs="Tahoma"/>
      <w:sz w:val="16"/>
      <w:szCs w:val="16"/>
    </w:rPr>
  </w:style>
  <w:style w:type="paragraph" w:styleId="PargrafodaLista">
    <w:name w:val="List Paragraph"/>
    <w:basedOn w:val="Normal"/>
    <w:uiPriority w:val="34"/>
    <w:qFormat/>
    <w:rsid w:val="00B67658"/>
    <w:pPr>
      <w:ind w:left="720"/>
      <w:contextualSpacing/>
    </w:pPr>
  </w:style>
  <w:style w:type="paragraph" w:customStyle="1" w:styleId="Default">
    <w:name w:val="Default"/>
    <w:rsid w:val="00824635"/>
    <w:pPr>
      <w:autoSpaceDE w:val="0"/>
      <w:autoSpaceDN w:val="0"/>
      <w:adjustRightInd w:val="0"/>
    </w:pPr>
    <w:rPr>
      <w:rFonts w:ascii="Arial" w:hAnsi="Arial" w:cs="Arial"/>
      <w:color w:val="000000"/>
      <w:sz w:val="24"/>
      <w:szCs w:val="24"/>
      <w:lang w:eastAsia="en-US"/>
    </w:rPr>
  </w:style>
  <w:style w:type="table" w:styleId="Tabelacomgrade">
    <w:name w:val="Table Grid"/>
    <w:basedOn w:val="Tabelanormal"/>
    <w:uiPriority w:val="59"/>
    <w:rsid w:val="009B4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24E16"/>
    <w:rPr>
      <w:color w:val="0000FF"/>
      <w:u w:val="single"/>
    </w:rPr>
  </w:style>
  <w:style w:type="paragraph" w:styleId="Cabealho">
    <w:name w:val="header"/>
    <w:basedOn w:val="Normal"/>
    <w:link w:val="CabealhoChar"/>
    <w:uiPriority w:val="99"/>
    <w:unhideWhenUsed/>
    <w:rsid w:val="00666FD6"/>
    <w:pPr>
      <w:tabs>
        <w:tab w:val="center" w:pos="4252"/>
        <w:tab w:val="right" w:pos="8504"/>
      </w:tabs>
      <w:spacing w:line="240" w:lineRule="auto"/>
    </w:pPr>
  </w:style>
  <w:style w:type="character" w:customStyle="1" w:styleId="CabealhoChar">
    <w:name w:val="Cabeçalho Char"/>
    <w:basedOn w:val="Fontepargpadro"/>
    <w:link w:val="Cabealho"/>
    <w:uiPriority w:val="99"/>
    <w:rsid w:val="00666FD6"/>
  </w:style>
  <w:style w:type="paragraph" w:styleId="Rodap">
    <w:name w:val="footer"/>
    <w:basedOn w:val="Normal"/>
    <w:link w:val="RodapChar"/>
    <w:uiPriority w:val="99"/>
    <w:unhideWhenUsed/>
    <w:rsid w:val="00666FD6"/>
    <w:pPr>
      <w:tabs>
        <w:tab w:val="center" w:pos="4252"/>
        <w:tab w:val="right" w:pos="8504"/>
      </w:tabs>
      <w:spacing w:line="240" w:lineRule="auto"/>
    </w:pPr>
  </w:style>
  <w:style w:type="character" w:customStyle="1" w:styleId="RodapChar">
    <w:name w:val="Rodapé Char"/>
    <w:basedOn w:val="Fontepargpadro"/>
    <w:link w:val="Rodap"/>
    <w:uiPriority w:val="99"/>
    <w:rsid w:val="00666FD6"/>
  </w:style>
  <w:style w:type="paragraph" w:styleId="SemEspaamento">
    <w:name w:val="No Spacing"/>
    <w:link w:val="SemEspaamentoChar"/>
    <w:uiPriority w:val="1"/>
    <w:qFormat/>
    <w:rsid w:val="0055575D"/>
    <w:pPr>
      <w:spacing w:after="0" w:line="240" w:lineRule="auto"/>
    </w:pPr>
  </w:style>
  <w:style w:type="character" w:customStyle="1" w:styleId="SemEspaamentoChar">
    <w:name w:val="Sem Espaçamento Char"/>
    <w:link w:val="SemEspaamento"/>
    <w:uiPriority w:val="1"/>
    <w:rsid w:val="0055575D"/>
  </w:style>
  <w:style w:type="paragraph" w:styleId="NormalWeb">
    <w:name w:val="Normal (Web)"/>
    <w:basedOn w:val="Normal"/>
    <w:uiPriority w:val="99"/>
    <w:unhideWhenUsed/>
    <w:rsid w:val="005D7199"/>
    <w:pPr>
      <w:spacing w:before="100" w:beforeAutospacing="1" w:after="100" w:afterAutospacing="1" w:line="240" w:lineRule="auto"/>
    </w:pPr>
    <w:rPr>
      <w:rFonts w:ascii="Times New Roman" w:eastAsia="Times New Roman" w:hAnsi="Times New Roman" w:cs="Times New Roman"/>
      <w:szCs w:val="24"/>
    </w:rPr>
  </w:style>
  <w:style w:type="character" w:styleId="nfase">
    <w:name w:val="Emphasis"/>
    <w:uiPriority w:val="20"/>
    <w:qFormat/>
    <w:rsid w:val="00920F77"/>
    <w:rPr>
      <w:i/>
      <w:iCs/>
    </w:rPr>
  </w:style>
  <w:style w:type="paragraph" w:styleId="Ttulo">
    <w:name w:val="Title"/>
    <w:basedOn w:val="Normal"/>
    <w:next w:val="Normal"/>
    <w:link w:val="TtuloChar"/>
    <w:uiPriority w:val="10"/>
    <w:qFormat/>
    <w:rsid w:val="000004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link w:val="Ttulo"/>
    <w:uiPriority w:val="10"/>
    <w:rsid w:val="0000045B"/>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00045B"/>
    <w:pPr>
      <w:numPr>
        <w:ilvl w:val="1"/>
      </w:numPr>
    </w:pPr>
    <w:rPr>
      <w:rFonts w:asciiTheme="majorHAnsi" w:eastAsiaTheme="majorEastAsia" w:hAnsiTheme="majorHAnsi" w:cstheme="majorBidi"/>
      <w:i/>
      <w:iCs/>
      <w:color w:val="4F81BD" w:themeColor="accent1"/>
      <w:spacing w:val="15"/>
      <w:szCs w:val="24"/>
    </w:rPr>
  </w:style>
  <w:style w:type="character" w:customStyle="1" w:styleId="SubttuloChar">
    <w:name w:val="Subtítulo Char"/>
    <w:link w:val="Subttulo"/>
    <w:uiPriority w:val="11"/>
    <w:rsid w:val="0000045B"/>
    <w:rPr>
      <w:rFonts w:asciiTheme="majorHAnsi" w:eastAsiaTheme="majorEastAsia" w:hAnsiTheme="majorHAnsi" w:cstheme="majorBidi"/>
      <w:i/>
      <w:iCs/>
      <w:color w:val="4F81BD" w:themeColor="accent1"/>
      <w:spacing w:val="15"/>
      <w:sz w:val="24"/>
      <w:szCs w:val="24"/>
    </w:rPr>
  </w:style>
  <w:style w:type="table" w:styleId="SombreamentoClaro">
    <w:name w:val="Light Shading"/>
    <w:basedOn w:val="Tabelanormal"/>
    <w:uiPriority w:val="60"/>
    <w:rsid w:val="00B10D0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tulo1Char">
    <w:name w:val="Título 1 Char"/>
    <w:basedOn w:val="Fontepargpadro"/>
    <w:link w:val="Ttulo1"/>
    <w:uiPriority w:val="9"/>
    <w:rsid w:val="00A16FB8"/>
    <w:rPr>
      <w:rFonts w:ascii="Arial" w:eastAsiaTheme="majorEastAsia" w:hAnsi="Arial" w:cstheme="majorBidi"/>
      <w:b/>
      <w:bCs/>
      <w:caps/>
      <w:sz w:val="28"/>
      <w:szCs w:val="28"/>
    </w:rPr>
  </w:style>
  <w:style w:type="character" w:customStyle="1" w:styleId="Ttulo2Char">
    <w:name w:val="Título 2 Char"/>
    <w:basedOn w:val="Fontepargpadro"/>
    <w:link w:val="Ttulo2"/>
    <w:uiPriority w:val="9"/>
    <w:rsid w:val="004F7FA1"/>
    <w:rPr>
      <w:rFonts w:ascii="Arial" w:eastAsiaTheme="majorEastAsia" w:hAnsi="Arial" w:cstheme="majorBidi"/>
      <w:b/>
      <w:bCs/>
      <w:sz w:val="24"/>
      <w:szCs w:val="26"/>
    </w:rPr>
  </w:style>
  <w:style w:type="character" w:styleId="Forte">
    <w:name w:val="Strong"/>
    <w:basedOn w:val="Fontepargpadro"/>
    <w:uiPriority w:val="22"/>
    <w:qFormat/>
    <w:rsid w:val="005F70AD"/>
    <w:rPr>
      <w:b/>
      <w:bCs/>
    </w:rPr>
  </w:style>
  <w:style w:type="character" w:customStyle="1" w:styleId="Ttulo3Char">
    <w:name w:val="Título 3 Char"/>
    <w:basedOn w:val="Fontepargpadro"/>
    <w:link w:val="Ttulo3"/>
    <w:uiPriority w:val="9"/>
    <w:rsid w:val="000D2D0A"/>
    <w:rPr>
      <w:rFonts w:ascii="Arial" w:eastAsiaTheme="majorEastAsia" w:hAnsi="Arial" w:cstheme="majorBidi"/>
      <w:bCs/>
      <w:sz w:val="24"/>
    </w:rPr>
  </w:style>
  <w:style w:type="table" w:customStyle="1" w:styleId="TableNormal1">
    <w:name w:val="Table Normal1"/>
    <w:uiPriority w:val="2"/>
    <w:semiHidden/>
    <w:unhideWhenUsed/>
    <w:qFormat/>
    <w:rsid w:val="008F2F1F"/>
    <w:pPr>
      <w:widowControl w:val="0"/>
      <w:autoSpaceDE w:val="0"/>
      <w:autoSpaceDN w:val="0"/>
      <w:spacing w:after="0" w:line="240" w:lineRule="auto"/>
    </w:pPr>
    <w:rPr>
      <w:lang w:val="en-US" w:eastAsia="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8F2F1F"/>
    <w:pPr>
      <w:widowControl w:val="0"/>
      <w:autoSpaceDE w:val="0"/>
      <w:autoSpaceDN w:val="0"/>
      <w:spacing w:line="240" w:lineRule="auto"/>
      <w:jc w:val="left"/>
    </w:pPr>
    <w:rPr>
      <w:rFonts w:ascii="Times New Roman" w:eastAsia="Times New Roman" w:hAnsi="Times New Roman" w:cs="Times New Roman"/>
      <w:sz w:val="22"/>
      <w:lang w:val="en-US" w:eastAsia="en-US"/>
    </w:rPr>
  </w:style>
  <w:style w:type="character" w:customStyle="1" w:styleId="CorpodetextoChar">
    <w:name w:val="Corpo de texto Char"/>
    <w:basedOn w:val="Fontepargpadro"/>
    <w:link w:val="Corpodetexto"/>
    <w:uiPriority w:val="1"/>
    <w:rsid w:val="008F2F1F"/>
    <w:rPr>
      <w:rFonts w:ascii="Times New Roman" w:eastAsia="Times New Roman" w:hAnsi="Times New Roman" w:cs="Times New Roman"/>
      <w:lang w:val="en-US" w:eastAsia="en-US"/>
    </w:rPr>
  </w:style>
  <w:style w:type="paragraph" w:customStyle="1" w:styleId="TableParagraph">
    <w:name w:val="Table Paragraph"/>
    <w:basedOn w:val="Normal"/>
    <w:uiPriority w:val="1"/>
    <w:qFormat/>
    <w:rsid w:val="008F2F1F"/>
    <w:pPr>
      <w:widowControl w:val="0"/>
      <w:autoSpaceDE w:val="0"/>
      <w:autoSpaceDN w:val="0"/>
      <w:spacing w:line="240" w:lineRule="auto"/>
      <w:jc w:val="left"/>
    </w:pPr>
    <w:rPr>
      <w:rFonts w:ascii="Times New Roman" w:eastAsia="Times New Roman" w:hAnsi="Times New Roman" w:cs="Times New Roman"/>
      <w:sz w:val="22"/>
      <w:lang w:val="en-US" w:eastAsia="en-US"/>
    </w:rPr>
  </w:style>
  <w:style w:type="paragraph" w:customStyle="1" w:styleId="ecxmsonormal">
    <w:name w:val="ecxmsonormal"/>
    <w:basedOn w:val="Normal"/>
    <w:rsid w:val="00316271"/>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ecxmsolistparagraph">
    <w:name w:val="ecxmsolistparagraph"/>
    <w:basedOn w:val="Normal"/>
    <w:rsid w:val="00316271"/>
    <w:pPr>
      <w:spacing w:before="100" w:beforeAutospacing="1" w:after="100" w:afterAutospacing="1" w:line="240" w:lineRule="auto"/>
      <w:jc w:val="left"/>
    </w:pPr>
    <w:rPr>
      <w:rFonts w:ascii="Times New Roman" w:eastAsia="Times New Roman" w:hAnsi="Times New Roman" w:cs="Times New Roman"/>
      <w:szCs w:val="24"/>
    </w:rPr>
  </w:style>
  <w:style w:type="table" w:customStyle="1" w:styleId="TableGrid1">
    <w:name w:val="Table Grid1"/>
    <w:basedOn w:val="Tabelanormal"/>
    <w:next w:val="Tabelacomgrade"/>
    <w:uiPriority w:val="59"/>
    <w:rsid w:val="00316271"/>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inha">
    <w:name w:val="line number"/>
    <w:basedOn w:val="Fontepargpadro"/>
    <w:uiPriority w:val="99"/>
    <w:semiHidden/>
    <w:unhideWhenUsed/>
    <w:rsid w:val="000A23E7"/>
  </w:style>
  <w:style w:type="paragraph" w:styleId="Reviso">
    <w:name w:val="Revision"/>
    <w:hidden/>
    <w:uiPriority w:val="99"/>
    <w:semiHidden/>
    <w:rsid w:val="003E2FAE"/>
    <w:pPr>
      <w:spacing w:after="0" w:line="240" w:lineRule="auto"/>
    </w:pPr>
    <w:rPr>
      <w:rFonts w:ascii="Arial" w:hAnsi="Arial"/>
      <w:sz w:val="24"/>
    </w:rPr>
  </w:style>
  <w:style w:type="paragraph" w:styleId="Pr-formataoHTML">
    <w:name w:val="HTML Preformatted"/>
    <w:basedOn w:val="Normal"/>
    <w:link w:val="Pr-formataoHTMLChar"/>
    <w:uiPriority w:val="99"/>
    <w:unhideWhenUsed/>
    <w:rsid w:val="00D4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D47D4C"/>
    <w:rPr>
      <w:rFonts w:ascii="Courier New" w:eastAsia="Times New Roman" w:hAnsi="Courier New" w:cs="Courier New"/>
      <w:sz w:val="20"/>
      <w:szCs w:val="20"/>
    </w:rPr>
  </w:style>
  <w:style w:type="paragraph" w:customStyle="1" w:styleId="EndNoteBibliographyTitle">
    <w:name w:val="EndNote Bibliography Title"/>
    <w:basedOn w:val="Normal"/>
    <w:link w:val="EndNoteBibliographyTitleChar"/>
    <w:rsid w:val="002A30B2"/>
    <w:pPr>
      <w:jc w:val="center"/>
    </w:pPr>
    <w:rPr>
      <w:rFonts w:cs="Arial"/>
      <w:noProof/>
    </w:rPr>
  </w:style>
  <w:style w:type="character" w:customStyle="1" w:styleId="EndNoteBibliographyTitleChar">
    <w:name w:val="EndNote Bibliography Title Char"/>
    <w:basedOn w:val="Fontepargpadro"/>
    <w:link w:val="EndNoteBibliographyTitle"/>
    <w:rsid w:val="002A30B2"/>
    <w:rPr>
      <w:rFonts w:ascii="Arial" w:hAnsi="Arial" w:cs="Arial"/>
      <w:noProof/>
      <w:sz w:val="24"/>
    </w:rPr>
  </w:style>
  <w:style w:type="paragraph" w:customStyle="1" w:styleId="EndNoteBibliography">
    <w:name w:val="EndNote Bibliography"/>
    <w:basedOn w:val="Normal"/>
    <w:link w:val="EndNoteBibliographyChar"/>
    <w:rsid w:val="002A30B2"/>
    <w:pPr>
      <w:spacing w:line="240" w:lineRule="auto"/>
    </w:pPr>
    <w:rPr>
      <w:rFonts w:cs="Arial"/>
      <w:noProof/>
    </w:rPr>
  </w:style>
  <w:style w:type="character" w:customStyle="1" w:styleId="EndNoteBibliographyChar">
    <w:name w:val="EndNote Bibliography Char"/>
    <w:basedOn w:val="Fontepargpadro"/>
    <w:link w:val="EndNoteBibliography"/>
    <w:rsid w:val="002A30B2"/>
    <w:rPr>
      <w:rFonts w:ascii="Arial" w:hAnsi="Arial" w:cs="Arial"/>
      <w:noProof/>
      <w:sz w:val="24"/>
    </w:rPr>
  </w:style>
  <w:style w:type="paragraph" w:styleId="CabealhodoSumrio">
    <w:name w:val="TOC Heading"/>
    <w:basedOn w:val="Ttulo1"/>
    <w:next w:val="Normal"/>
    <w:uiPriority w:val="39"/>
    <w:semiHidden/>
    <w:unhideWhenUsed/>
    <w:qFormat/>
    <w:rsid w:val="00A16FB8"/>
    <w:pPr>
      <w:keepNext/>
      <w:pageBreakBefore w:val="0"/>
      <w:widowControl/>
      <w:spacing w:before="480" w:after="0" w:line="276" w:lineRule="auto"/>
      <w:jc w:val="left"/>
      <w:outlineLvl w:val="9"/>
    </w:pPr>
    <w:rPr>
      <w:rFonts w:asciiTheme="majorHAnsi" w:hAnsiTheme="majorHAnsi"/>
      <w:caps w:val="0"/>
      <w:color w:val="365F91" w:themeColor="accent1" w:themeShade="BF"/>
    </w:rPr>
  </w:style>
  <w:style w:type="paragraph" w:styleId="Sumrio1">
    <w:name w:val="toc 1"/>
    <w:basedOn w:val="Normal"/>
    <w:next w:val="Normal"/>
    <w:autoRedefine/>
    <w:uiPriority w:val="39"/>
    <w:unhideWhenUsed/>
    <w:rsid w:val="00A16FB8"/>
    <w:pPr>
      <w:spacing w:after="100"/>
    </w:pPr>
  </w:style>
  <w:style w:type="paragraph" w:styleId="Sumrio2">
    <w:name w:val="toc 2"/>
    <w:basedOn w:val="Normal"/>
    <w:next w:val="Normal"/>
    <w:autoRedefine/>
    <w:uiPriority w:val="39"/>
    <w:unhideWhenUsed/>
    <w:rsid w:val="00A16FB8"/>
    <w:pPr>
      <w:spacing w:after="100"/>
      <w:ind w:left="240"/>
    </w:pPr>
  </w:style>
  <w:style w:type="paragraph" w:styleId="Sumrio3">
    <w:name w:val="toc 3"/>
    <w:basedOn w:val="Normal"/>
    <w:next w:val="Normal"/>
    <w:autoRedefine/>
    <w:uiPriority w:val="39"/>
    <w:unhideWhenUsed/>
    <w:rsid w:val="00A16FB8"/>
    <w:pPr>
      <w:spacing w:after="100"/>
      <w:ind w:left="480"/>
    </w:pPr>
  </w:style>
  <w:style w:type="paragraph" w:styleId="Legenda">
    <w:name w:val="caption"/>
    <w:basedOn w:val="Normal"/>
    <w:next w:val="Normal"/>
    <w:uiPriority w:val="35"/>
    <w:unhideWhenUsed/>
    <w:qFormat/>
    <w:rsid w:val="007359D0"/>
    <w:pPr>
      <w:spacing w:after="200" w:line="240" w:lineRule="auto"/>
    </w:pPr>
    <w:rPr>
      <w:b/>
      <w:bCs/>
      <w:sz w:val="20"/>
      <w:szCs w:val="18"/>
    </w:rPr>
  </w:style>
  <w:style w:type="paragraph" w:styleId="ndicedeilustraes">
    <w:name w:val="table of figures"/>
    <w:basedOn w:val="Normal"/>
    <w:next w:val="Normal"/>
    <w:uiPriority w:val="99"/>
    <w:unhideWhenUsed/>
    <w:rsid w:val="008D2DC1"/>
  </w:style>
  <w:style w:type="character" w:customStyle="1" w:styleId="Ttulo4Char">
    <w:name w:val="Título 4 Char"/>
    <w:basedOn w:val="Fontepargpadro"/>
    <w:link w:val="Ttulo4"/>
    <w:uiPriority w:val="9"/>
    <w:rsid w:val="00A11796"/>
    <w:rPr>
      <w:rFonts w:ascii="Arial" w:eastAsiaTheme="majorEastAsia" w:hAnsi="Arial" w:cstheme="majorBidi"/>
      <w:bCs/>
      <w:i/>
      <w:iCs/>
      <w:sz w:val="24"/>
    </w:rPr>
  </w:style>
  <w:style w:type="character" w:customStyle="1" w:styleId="Ttulo5Char">
    <w:name w:val="Título 5 Char"/>
    <w:basedOn w:val="Fontepargpadro"/>
    <w:link w:val="Ttulo5"/>
    <w:uiPriority w:val="9"/>
    <w:rsid w:val="004256BE"/>
    <w:rPr>
      <w:rFonts w:asciiTheme="majorHAnsi" w:eastAsiaTheme="majorEastAsia" w:hAnsiTheme="majorHAnsi" w:cstheme="majorBidi"/>
      <w:color w:val="243F60" w:themeColor="accent1" w:themeShade="7F"/>
      <w:sz w:val="24"/>
    </w:rPr>
  </w:style>
  <w:style w:type="character" w:customStyle="1" w:styleId="table-label">
    <w:name w:val="table-label"/>
    <w:basedOn w:val="Fontepargpadro"/>
    <w:rsid w:val="00BC7CD7"/>
  </w:style>
  <w:style w:type="character" w:customStyle="1" w:styleId="fn-label">
    <w:name w:val="fn-label"/>
    <w:basedOn w:val="Fontepargpadro"/>
    <w:rsid w:val="00BC7CD7"/>
  </w:style>
  <w:style w:type="character" w:customStyle="1" w:styleId="name">
    <w:name w:val="name"/>
    <w:basedOn w:val="Fontepargpadro"/>
    <w:rsid w:val="00EF0D28"/>
  </w:style>
  <w:style w:type="character" w:styleId="MenoPendente">
    <w:name w:val="Unresolved Mention"/>
    <w:basedOn w:val="Fontepargpadro"/>
    <w:uiPriority w:val="99"/>
    <w:semiHidden/>
    <w:unhideWhenUsed/>
    <w:rsid w:val="00380A49"/>
    <w:rPr>
      <w:color w:val="605E5C"/>
      <w:shd w:val="clear" w:color="auto" w:fill="E1DFDD"/>
    </w:rPr>
  </w:style>
  <w:style w:type="character" w:styleId="HiperlinkVisitado">
    <w:name w:val="FollowedHyperlink"/>
    <w:basedOn w:val="Fontepargpadro"/>
    <w:uiPriority w:val="99"/>
    <w:semiHidden/>
    <w:unhideWhenUsed/>
    <w:rsid w:val="00B01A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5179">
      <w:bodyDiv w:val="1"/>
      <w:marLeft w:val="0"/>
      <w:marRight w:val="0"/>
      <w:marTop w:val="0"/>
      <w:marBottom w:val="0"/>
      <w:divBdr>
        <w:top w:val="none" w:sz="0" w:space="0" w:color="auto"/>
        <w:left w:val="none" w:sz="0" w:space="0" w:color="auto"/>
        <w:bottom w:val="none" w:sz="0" w:space="0" w:color="auto"/>
        <w:right w:val="none" w:sz="0" w:space="0" w:color="auto"/>
      </w:divBdr>
    </w:div>
    <w:div w:id="100103925">
      <w:bodyDiv w:val="1"/>
      <w:marLeft w:val="0"/>
      <w:marRight w:val="0"/>
      <w:marTop w:val="0"/>
      <w:marBottom w:val="0"/>
      <w:divBdr>
        <w:top w:val="none" w:sz="0" w:space="0" w:color="auto"/>
        <w:left w:val="none" w:sz="0" w:space="0" w:color="auto"/>
        <w:bottom w:val="none" w:sz="0" w:space="0" w:color="auto"/>
        <w:right w:val="none" w:sz="0" w:space="0" w:color="auto"/>
      </w:divBdr>
    </w:div>
    <w:div w:id="117112842">
      <w:bodyDiv w:val="1"/>
      <w:marLeft w:val="0"/>
      <w:marRight w:val="0"/>
      <w:marTop w:val="0"/>
      <w:marBottom w:val="0"/>
      <w:divBdr>
        <w:top w:val="none" w:sz="0" w:space="0" w:color="auto"/>
        <w:left w:val="none" w:sz="0" w:space="0" w:color="auto"/>
        <w:bottom w:val="none" w:sz="0" w:space="0" w:color="auto"/>
        <w:right w:val="none" w:sz="0" w:space="0" w:color="auto"/>
      </w:divBdr>
    </w:div>
    <w:div w:id="132067104">
      <w:bodyDiv w:val="1"/>
      <w:marLeft w:val="0"/>
      <w:marRight w:val="0"/>
      <w:marTop w:val="0"/>
      <w:marBottom w:val="0"/>
      <w:divBdr>
        <w:top w:val="none" w:sz="0" w:space="0" w:color="auto"/>
        <w:left w:val="none" w:sz="0" w:space="0" w:color="auto"/>
        <w:bottom w:val="none" w:sz="0" w:space="0" w:color="auto"/>
        <w:right w:val="none" w:sz="0" w:space="0" w:color="auto"/>
      </w:divBdr>
    </w:div>
    <w:div w:id="136457301">
      <w:bodyDiv w:val="1"/>
      <w:marLeft w:val="0"/>
      <w:marRight w:val="0"/>
      <w:marTop w:val="0"/>
      <w:marBottom w:val="0"/>
      <w:divBdr>
        <w:top w:val="none" w:sz="0" w:space="0" w:color="auto"/>
        <w:left w:val="none" w:sz="0" w:space="0" w:color="auto"/>
        <w:bottom w:val="none" w:sz="0" w:space="0" w:color="auto"/>
        <w:right w:val="none" w:sz="0" w:space="0" w:color="auto"/>
      </w:divBdr>
    </w:div>
    <w:div w:id="147475238">
      <w:bodyDiv w:val="1"/>
      <w:marLeft w:val="0"/>
      <w:marRight w:val="0"/>
      <w:marTop w:val="0"/>
      <w:marBottom w:val="0"/>
      <w:divBdr>
        <w:top w:val="none" w:sz="0" w:space="0" w:color="auto"/>
        <w:left w:val="none" w:sz="0" w:space="0" w:color="auto"/>
        <w:bottom w:val="none" w:sz="0" w:space="0" w:color="auto"/>
        <w:right w:val="none" w:sz="0" w:space="0" w:color="auto"/>
      </w:divBdr>
    </w:div>
    <w:div w:id="160044655">
      <w:bodyDiv w:val="1"/>
      <w:marLeft w:val="0"/>
      <w:marRight w:val="0"/>
      <w:marTop w:val="0"/>
      <w:marBottom w:val="0"/>
      <w:divBdr>
        <w:top w:val="none" w:sz="0" w:space="0" w:color="auto"/>
        <w:left w:val="none" w:sz="0" w:space="0" w:color="auto"/>
        <w:bottom w:val="none" w:sz="0" w:space="0" w:color="auto"/>
        <w:right w:val="none" w:sz="0" w:space="0" w:color="auto"/>
      </w:divBdr>
    </w:div>
    <w:div w:id="162622611">
      <w:bodyDiv w:val="1"/>
      <w:marLeft w:val="0"/>
      <w:marRight w:val="0"/>
      <w:marTop w:val="0"/>
      <w:marBottom w:val="0"/>
      <w:divBdr>
        <w:top w:val="none" w:sz="0" w:space="0" w:color="auto"/>
        <w:left w:val="none" w:sz="0" w:space="0" w:color="auto"/>
        <w:bottom w:val="none" w:sz="0" w:space="0" w:color="auto"/>
        <w:right w:val="none" w:sz="0" w:space="0" w:color="auto"/>
      </w:divBdr>
    </w:div>
    <w:div w:id="170798058">
      <w:bodyDiv w:val="1"/>
      <w:marLeft w:val="0"/>
      <w:marRight w:val="0"/>
      <w:marTop w:val="0"/>
      <w:marBottom w:val="0"/>
      <w:divBdr>
        <w:top w:val="none" w:sz="0" w:space="0" w:color="auto"/>
        <w:left w:val="none" w:sz="0" w:space="0" w:color="auto"/>
        <w:bottom w:val="none" w:sz="0" w:space="0" w:color="auto"/>
        <w:right w:val="none" w:sz="0" w:space="0" w:color="auto"/>
      </w:divBdr>
    </w:div>
    <w:div w:id="189883218">
      <w:bodyDiv w:val="1"/>
      <w:marLeft w:val="0"/>
      <w:marRight w:val="0"/>
      <w:marTop w:val="0"/>
      <w:marBottom w:val="0"/>
      <w:divBdr>
        <w:top w:val="none" w:sz="0" w:space="0" w:color="auto"/>
        <w:left w:val="none" w:sz="0" w:space="0" w:color="auto"/>
        <w:bottom w:val="none" w:sz="0" w:space="0" w:color="auto"/>
        <w:right w:val="none" w:sz="0" w:space="0" w:color="auto"/>
      </w:divBdr>
    </w:div>
    <w:div w:id="211119063">
      <w:bodyDiv w:val="1"/>
      <w:marLeft w:val="0"/>
      <w:marRight w:val="0"/>
      <w:marTop w:val="0"/>
      <w:marBottom w:val="0"/>
      <w:divBdr>
        <w:top w:val="none" w:sz="0" w:space="0" w:color="auto"/>
        <w:left w:val="none" w:sz="0" w:space="0" w:color="auto"/>
        <w:bottom w:val="none" w:sz="0" w:space="0" w:color="auto"/>
        <w:right w:val="none" w:sz="0" w:space="0" w:color="auto"/>
      </w:divBdr>
    </w:div>
    <w:div w:id="211770972">
      <w:bodyDiv w:val="1"/>
      <w:marLeft w:val="0"/>
      <w:marRight w:val="0"/>
      <w:marTop w:val="0"/>
      <w:marBottom w:val="0"/>
      <w:divBdr>
        <w:top w:val="none" w:sz="0" w:space="0" w:color="auto"/>
        <w:left w:val="none" w:sz="0" w:space="0" w:color="auto"/>
        <w:bottom w:val="none" w:sz="0" w:space="0" w:color="auto"/>
        <w:right w:val="none" w:sz="0" w:space="0" w:color="auto"/>
      </w:divBdr>
    </w:div>
    <w:div w:id="229123942">
      <w:bodyDiv w:val="1"/>
      <w:marLeft w:val="0"/>
      <w:marRight w:val="0"/>
      <w:marTop w:val="0"/>
      <w:marBottom w:val="0"/>
      <w:divBdr>
        <w:top w:val="none" w:sz="0" w:space="0" w:color="auto"/>
        <w:left w:val="none" w:sz="0" w:space="0" w:color="auto"/>
        <w:bottom w:val="none" w:sz="0" w:space="0" w:color="auto"/>
        <w:right w:val="none" w:sz="0" w:space="0" w:color="auto"/>
      </w:divBdr>
    </w:div>
    <w:div w:id="257712673">
      <w:bodyDiv w:val="1"/>
      <w:marLeft w:val="0"/>
      <w:marRight w:val="0"/>
      <w:marTop w:val="0"/>
      <w:marBottom w:val="0"/>
      <w:divBdr>
        <w:top w:val="none" w:sz="0" w:space="0" w:color="auto"/>
        <w:left w:val="none" w:sz="0" w:space="0" w:color="auto"/>
        <w:bottom w:val="none" w:sz="0" w:space="0" w:color="auto"/>
        <w:right w:val="none" w:sz="0" w:space="0" w:color="auto"/>
      </w:divBdr>
    </w:div>
    <w:div w:id="270822262">
      <w:bodyDiv w:val="1"/>
      <w:marLeft w:val="0"/>
      <w:marRight w:val="0"/>
      <w:marTop w:val="0"/>
      <w:marBottom w:val="0"/>
      <w:divBdr>
        <w:top w:val="none" w:sz="0" w:space="0" w:color="auto"/>
        <w:left w:val="none" w:sz="0" w:space="0" w:color="auto"/>
        <w:bottom w:val="none" w:sz="0" w:space="0" w:color="auto"/>
        <w:right w:val="none" w:sz="0" w:space="0" w:color="auto"/>
      </w:divBdr>
    </w:div>
    <w:div w:id="279193993">
      <w:bodyDiv w:val="1"/>
      <w:marLeft w:val="0"/>
      <w:marRight w:val="0"/>
      <w:marTop w:val="0"/>
      <w:marBottom w:val="0"/>
      <w:divBdr>
        <w:top w:val="none" w:sz="0" w:space="0" w:color="auto"/>
        <w:left w:val="none" w:sz="0" w:space="0" w:color="auto"/>
        <w:bottom w:val="none" w:sz="0" w:space="0" w:color="auto"/>
        <w:right w:val="none" w:sz="0" w:space="0" w:color="auto"/>
      </w:divBdr>
    </w:div>
    <w:div w:id="279605337">
      <w:bodyDiv w:val="1"/>
      <w:marLeft w:val="0"/>
      <w:marRight w:val="0"/>
      <w:marTop w:val="0"/>
      <w:marBottom w:val="0"/>
      <w:divBdr>
        <w:top w:val="none" w:sz="0" w:space="0" w:color="auto"/>
        <w:left w:val="none" w:sz="0" w:space="0" w:color="auto"/>
        <w:bottom w:val="none" w:sz="0" w:space="0" w:color="auto"/>
        <w:right w:val="none" w:sz="0" w:space="0" w:color="auto"/>
      </w:divBdr>
    </w:div>
    <w:div w:id="282923108">
      <w:bodyDiv w:val="1"/>
      <w:marLeft w:val="0"/>
      <w:marRight w:val="0"/>
      <w:marTop w:val="0"/>
      <w:marBottom w:val="0"/>
      <w:divBdr>
        <w:top w:val="none" w:sz="0" w:space="0" w:color="auto"/>
        <w:left w:val="none" w:sz="0" w:space="0" w:color="auto"/>
        <w:bottom w:val="none" w:sz="0" w:space="0" w:color="auto"/>
        <w:right w:val="none" w:sz="0" w:space="0" w:color="auto"/>
      </w:divBdr>
    </w:div>
    <w:div w:id="298195412">
      <w:bodyDiv w:val="1"/>
      <w:marLeft w:val="0"/>
      <w:marRight w:val="0"/>
      <w:marTop w:val="0"/>
      <w:marBottom w:val="0"/>
      <w:divBdr>
        <w:top w:val="none" w:sz="0" w:space="0" w:color="auto"/>
        <w:left w:val="none" w:sz="0" w:space="0" w:color="auto"/>
        <w:bottom w:val="none" w:sz="0" w:space="0" w:color="auto"/>
        <w:right w:val="none" w:sz="0" w:space="0" w:color="auto"/>
      </w:divBdr>
    </w:div>
    <w:div w:id="338116320">
      <w:bodyDiv w:val="1"/>
      <w:marLeft w:val="0"/>
      <w:marRight w:val="0"/>
      <w:marTop w:val="0"/>
      <w:marBottom w:val="0"/>
      <w:divBdr>
        <w:top w:val="none" w:sz="0" w:space="0" w:color="auto"/>
        <w:left w:val="none" w:sz="0" w:space="0" w:color="auto"/>
        <w:bottom w:val="none" w:sz="0" w:space="0" w:color="auto"/>
        <w:right w:val="none" w:sz="0" w:space="0" w:color="auto"/>
      </w:divBdr>
    </w:div>
    <w:div w:id="371199277">
      <w:bodyDiv w:val="1"/>
      <w:marLeft w:val="0"/>
      <w:marRight w:val="0"/>
      <w:marTop w:val="0"/>
      <w:marBottom w:val="0"/>
      <w:divBdr>
        <w:top w:val="none" w:sz="0" w:space="0" w:color="auto"/>
        <w:left w:val="none" w:sz="0" w:space="0" w:color="auto"/>
        <w:bottom w:val="none" w:sz="0" w:space="0" w:color="auto"/>
        <w:right w:val="none" w:sz="0" w:space="0" w:color="auto"/>
      </w:divBdr>
    </w:div>
    <w:div w:id="382874570">
      <w:bodyDiv w:val="1"/>
      <w:marLeft w:val="0"/>
      <w:marRight w:val="0"/>
      <w:marTop w:val="0"/>
      <w:marBottom w:val="0"/>
      <w:divBdr>
        <w:top w:val="none" w:sz="0" w:space="0" w:color="auto"/>
        <w:left w:val="none" w:sz="0" w:space="0" w:color="auto"/>
        <w:bottom w:val="none" w:sz="0" w:space="0" w:color="auto"/>
        <w:right w:val="none" w:sz="0" w:space="0" w:color="auto"/>
      </w:divBdr>
    </w:div>
    <w:div w:id="389500640">
      <w:bodyDiv w:val="1"/>
      <w:marLeft w:val="0"/>
      <w:marRight w:val="0"/>
      <w:marTop w:val="0"/>
      <w:marBottom w:val="0"/>
      <w:divBdr>
        <w:top w:val="none" w:sz="0" w:space="0" w:color="auto"/>
        <w:left w:val="none" w:sz="0" w:space="0" w:color="auto"/>
        <w:bottom w:val="none" w:sz="0" w:space="0" w:color="auto"/>
        <w:right w:val="none" w:sz="0" w:space="0" w:color="auto"/>
      </w:divBdr>
    </w:div>
    <w:div w:id="453066425">
      <w:bodyDiv w:val="1"/>
      <w:marLeft w:val="0"/>
      <w:marRight w:val="0"/>
      <w:marTop w:val="0"/>
      <w:marBottom w:val="0"/>
      <w:divBdr>
        <w:top w:val="none" w:sz="0" w:space="0" w:color="auto"/>
        <w:left w:val="none" w:sz="0" w:space="0" w:color="auto"/>
        <w:bottom w:val="none" w:sz="0" w:space="0" w:color="auto"/>
        <w:right w:val="none" w:sz="0" w:space="0" w:color="auto"/>
      </w:divBdr>
    </w:div>
    <w:div w:id="468328579">
      <w:bodyDiv w:val="1"/>
      <w:marLeft w:val="0"/>
      <w:marRight w:val="0"/>
      <w:marTop w:val="0"/>
      <w:marBottom w:val="0"/>
      <w:divBdr>
        <w:top w:val="none" w:sz="0" w:space="0" w:color="auto"/>
        <w:left w:val="none" w:sz="0" w:space="0" w:color="auto"/>
        <w:bottom w:val="none" w:sz="0" w:space="0" w:color="auto"/>
        <w:right w:val="none" w:sz="0" w:space="0" w:color="auto"/>
      </w:divBdr>
    </w:div>
    <w:div w:id="475267947">
      <w:bodyDiv w:val="1"/>
      <w:marLeft w:val="0"/>
      <w:marRight w:val="0"/>
      <w:marTop w:val="0"/>
      <w:marBottom w:val="0"/>
      <w:divBdr>
        <w:top w:val="none" w:sz="0" w:space="0" w:color="auto"/>
        <w:left w:val="none" w:sz="0" w:space="0" w:color="auto"/>
        <w:bottom w:val="none" w:sz="0" w:space="0" w:color="auto"/>
        <w:right w:val="none" w:sz="0" w:space="0" w:color="auto"/>
      </w:divBdr>
    </w:div>
    <w:div w:id="481310398">
      <w:bodyDiv w:val="1"/>
      <w:marLeft w:val="0"/>
      <w:marRight w:val="0"/>
      <w:marTop w:val="0"/>
      <w:marBottom w:val="0"/>
      <w:divBdr>
        <w:top w:val="none" w:sz="0" w:space="0" w:color="auto"/>
        <w:left w:val="none" w:sz="0" w:space="0" w:color="auto"/>
        <w:bottom w:val="none" w:sz="0" w:space="0" w:color="auto"/>
        <w:right w:val="none" w:sz="0" w:space="0" w:color="auto"/>
      </w:divBdr>
    </w:div>
    <w:div w:id="490995795">
      <w:bodyDiv w:val="1"/>
      <w:marLeft w:val="0"/>
      <w:marRight w:val="0"/>
      <w:marTop w:val="0"/>
      <w:marBottom w:val="0"/>
      <w:divBdr>
        <w:top w:val="none" w:sz="0" w:space="0" w:color="auto"/>
        <w:left w:val="none" w:sz="0" w:space="0" w:color="auto"/>
        <w:bottom w:val="none" w:sz="0" w:space="0" w:color="auto"/>
        <w:right w:val="none" w:sz="0" w:space="0" w:color="auto"/>
      </w:divBdr>
      <w:divsChild>
        <w:div w:id="1980574248">
          <w:marLeft w:val="0"/>
          <w:marRight w:val="0"/>
          <w:marTop w:val="0"/>
          <w:marBottom w:val="0"/>
          <w:divBdr>
            <w:top w:val="none" w:sz="0" w:space="0" w:color="auto"/>
            <w:left w:val="none" w:sz="0" w:space="0" w:color="auto"/>
            <w:bottom w:val="none" w:sz="0" w:space="0" w:color="auto"/>
            <w:right w:val="none" w:sz="0" w:space="0" w:color="auto"/>
          </w:divBdr>
          <w:divsChild>
            <w:div w:id="1707172427">
              <w:marLeft w:val="0"/>
              <w:marRight w:val="0"/>
              <w:marTop w:val="0"/>
              <w:marBottom w:val="0"/>
              <w:divBdr>
                <w:top w:val="none" w:sz="0" w:space="0" w:color="auto"/>
                <w:left w:val="none" w:sz="0" w:space="0" w:color="auto"/>
                <w:bottom w:val="none" w:sz="0" w:space="0" w:color="auto"/>
                <w:right w:val="none" w:sz="0" w:space="0" w:color="auto"/>
              </w:divBdr>
              <w:divsChild>
                <w:div w:id="980421222">
                  <w:marLeft w:val="0"/>
                  <w:marRight w:val="0"/>
                  <w:marTop w:val="0"/>
                  <w:marBottom w:val="0"/>
                  <w:divBdr>
                    <w:top w:val="none" w:sz="0" w:space="0" w:color="auto"/>
                    <w:left w:val="none" w:sz="0" w:space="0" w:color="auto"/>
                    <w:bottom w:val="none" w:sz="0" w:space="0" w:color="auto"/>
                    <w:right w:val="none" w:sz="0" w:space="0" w:color="auto"/>
                  </w:divBdr>
                  <w:divsChild>
                    <w:div w:id="953098056">
                      <w:marLeft w:val="0"/>
                      <w:marRight w:val="0"/>
                      <w:marTop w:val="0"/>
                      <w:marBottom w:val="0"/>
                      <w:divBdr>
                        <w:top w:val="none" w:sz="0" w:space="0" w:color="auto"/>
                        <w:left w:val="none" w:sz="0" w:space="0" w:color="auto"/>
                        <w:bottom w:val="none" w:sz="0" w:space="0" w:color="auto"/>
                        <w:right w:val="none" w:sz="0" w:space="0" w:color="auto"/>
                      </w:divBdr>
                      <w:divsChild>
                        <w:div w:id="1472597686">
                          <w:marLeft w:val="0"/>
                          <w:marRight w:val="0"/>
                          <w:marTop w:val="0"/>
                          <w:marBottom w:val="0"/>
                          <w:divBdr>
                            <w:top w:val="none" w:sz="0" w:space="0" w:color="auto"/>
                            <w:left w:val="none" w:sz="0" w:space="0" w:color="auto"/>
                            <w:bottom w:val="none" w:sz="0" w:space="0" w:color="auto"/>
                            <w:right w:val="none" w:sz="0" w:space="0" w:color="auto"/>
                          </w:divBdr>
                          <w:divsChild>
                            <w:div w:id="1836534400">
                              <w:marLeft w:val="0"/>
                              <w:marRight w:val="0"/>
                              <w:marTop w:val="0"/>
                              <w:marBottom w:val="0"/>
                              <w:divBdr>
                                <w:top w:val="none" w:sz="0" w:space="0" w:color="auto"/>
                                <w:left w:val="none" w:sz="0" w:space="0" w:color="auto"/>
                                <w:bottom w:val="none" w:sz="0" w:space="0" w:color="auto"/>
                                <w:right w:val="none" w:sz="0" w:space="0" w:color="auto"/>
                              </w:divBdr>
                              <w:divsChild>
                                <w:div w:id="143088057">
                                  <w:marLeft w:val="0"/>
                                  <w:marRight w:val="0"/>
                                  <w:marTop w:val="0"/>
                                  <w:marBottom w:val="0"/>
                                  <w:divBdr>
                                    <w:top w:val="none" w:sz="0" w:space="0" w:color="auto"/>
                                    <w:left w:val="none" w:sz="0" w:space="0" w:color="auto"/>
                                    <w:bottom w:val="none" w:sz="0" w:space="0" w:color="auto"/>
                                    <w:right w:val="none" w:sz="0" w:space="0" w:color="auto"/>
                                  </w:divBdr>
                                  <w:divsChild>
                                    <w:div w:id="734931029">
                                      <w:marLeft w:val="0"/>
                                      <w:marRight w:val="0"/>
                                      <w:marTop w:val="0"/>
                                      <w:marBottom w:val="0"/>
                                      <w:divBdr>
                                        <w:top w:val="none" w:sz="0" w:space="0" w:color="auto"/>
                                        <w:left w:val="none" w:sz="0" w:space="0" w:color="auto"/>
                                        <w:bottom w:val="none" w:sz="0" w:space="0" w:color="auto"/>
                                        <w:right w:val="none" w:sz="0" w:space="0" w:color="auto"/>
                                      </w:divBdr>
                                      <w:divsChild>
                                        <w:div w:id="459685713">
                                          <w:marLeft w:val="0"/>
                                          <w:marRight w:val="0"/>
                                          <w:marTop w:val="0"/>
                                          <w:marBottom w:val="0"/>
                                          <w:divBdr>
                                            <w:top w:val="none" w:sz="0" w:space="0" w:color="auto"/>
                                            <w:left w:val="none" w:sz="0" w:space="0" w:color="auto"/>
                                            <w:bottom w:val="none" w:sz="0" w:space="0" w:color="auto"/>
                                            <w:right w:val="none" w:sz="0" w:space="0" w:color="auto"/>
                                          </w:divBdr>
                                          <w:divsChild>
                                            <w:div w:id="745493399">
                                              <w:marLeft w:val="0"/>
                                              <w:marRight w:val="0"/>
                                              <w:marTop w:val="0"/>
                                              <w:marBottom w:val="0"/>
                                              <w:divBdr>
                                                <w:top w:val="none" w:sz="0" w:space="0" w:color="auto"/>
                                                <w:left w:val="none" w:sz="0" w:space="0" w:color="auto"/>
                                                <w:bottom w:val="none" w:sz="0" w:space="0" w:color="auto"/>
                                                <w:right w:val="none" w:sz="0" w:space="0" w:color="auto"/>
                                              </w:divBdr>
                                              <w:divsChild>
                                                <w:div w:id="1969042092">
                                                  <w:marLeft w:val="0"/>
                                                  <w:marRight w:val="0"/>
                                                  <w:marTop w:val="0"/>
                                                  <w:marBottom w:val="0"/>
                                                  <w:divBdr>
                                                    <w:top w:val="none" w:sz="0" w:space="0" w:color="auto"/>
                                                    <w:left w:val="none" w:sz="0" w:space="0" w:color="auto"/>
                                                    <w:bottom w:val="none" w:sz="0" w:space="0" w:color="auto"/>
                                                    <w:right w:val="none" w:sz="0" w:space="0" w:color="auto"/>
                                                  </w:divBdr>
                                                  <w:divsChild>
                                                    <w:div w:id="1420832202">
                                                      <w:marLeft w:val="0"/>
                                                      <w:marRight w:val="0"/>
                                                      <w:marTop w:val="0"/>
                                                      <w:marBottom w:val="0"/>
                                                      <w:divBdr>
                                                        <w:top w:val="none" w:sz="0" w:space="0" w:color="auto"/>
                                                        <w:left w:val="none" w:sz="0" w:space="0" w:color="auto"/>
                                                        <w:bottom w:val="none" w:sz="0" w:space="0" w:color="auto"/>
                                                        <w:right w:val="none" w:sz="0" w:space="0" w:color="auto"/>
                                                      </w:divBdr>
                                                      <w:divsChild>
                                                        <w:div w:id="1930305633">
                                                          <w:marLeft w:val="0"/>
                                                          <w:marRight w:val="0"/>
                                                          <w:marTop w:val="0"/>
                                                          <w:marBottom w:val="0"/>
                                                          <w:divBdr>
                                                            <w:top w:val="none" w:sz="0" w:space="0" w:color="auto"/>
                                                            <w:left w:val="none" w:sz="0" w:space="0" w:color="auto"/>
                                                            <w:bottom w:val="none" w:sz="0" w:space="0" w:color="auto"/>
                                                            <w:right w:val="none" w:sz="0" w:space="0" w:color="auto"/>
                                                          </w:divBdr>
                                                          <w:divsChild>
                                                            <w:div w:id="186870256">
                                                              <w:marLeft w:val="0"/>
                                                              <w:marRight w:val="0"/>
                                                              <w:marTop w:val="0"/>
                                                              <w:marBottom w:val="0"/>
                                                              <w:divBdr>
                                                                <w:top w:val="none" w:sz="0" w:space="0" w:color="auto"/>
                                                                <w:left w:val="none" w:sz="0" w:space="0" w:color="auto"/>
                                                                <w:bottom w:val="none" w:sz="0" w:space="0" w:color="auto"/>
                                                                <w:right w:val="none" w:sz="0" w:space="0" w:color="auto"/>
                                                              </w:divBdr>
                                                              <w:divsChild>
                                                                <w:div w:id="1923635320">
                                                                  <w:marLeft w:val="0"/>
                                                                  <w:marRight w:val="0"/>
                                                                  <w:marTop w:val="0"/>
                                                                  <w:marBottom w:val="0"/>
                                                                  <w:divBdr>
                                                                    <w:top w:val="none" w:sz="0" w:space="0" w:color="auto"/>
                                                                    <w:left w:val="none" w:sz="0" w:space="0" w:color="auto"/>
                                                                    <w:bottom w:val="none" w:sz="0" w:space="0" w:color="auto"/>
                                                                    <w:right w:val="none" w:sz="0" w:space="0" w:color="auto"/>
                                                                  </w:divBdr>
                                                                  <w:divsChild>
                                                                    <w:div w:id="2120946447">
                                                                      <w:marLeft w:val="0"/>
                                                                      <w:marRight w:val="0"/>
                                                                      <w:marTop w:val="0"/>
                                                                      <w:marBottom w:val="0"/>
                                                                      <w:divBdr>
                                                                        <w:top w:val="none" w:sz="0" w:space="0" w:color="auto"/>
                                                                        <w:left w:val="none" w:sz="0" w:space="0" w:color="auto"/>
                                                                        <w:bottom w:val="none" w:sz="0" w:space="0" w:color="auto"/>
                                                                        <w:right w:val="none" w:sz="0" w:space="0" w:color="auto"/>
                                                                      </w:divBdr>
                                                                      <w:divsChild>
                                                                        <w:div w:id="2017413579">
                                                                          <w:marLeft w:val="0"/>
                                                                          <w:marRight w:val="0"/>
                                                                          <w:marTop w:val="0"/>
                                                                          <w:marBottom w:val="0"/>
                                                                          <w:divBdr>
                                                                            <w:top w:val="none" w:sz="0" w:space="0" w:color="auto"/>
                                                                            <w:left w:val="none" w:sz="0" w:space="0" w:color="auto"/>
                                                                            <w:bottom w:val="none" w:sz="0" w:space="0" w:color="auto"/>
                                                                            <w:right w:val="none" w:sz="0" w:space="0" w:color="auto"/>
                                                                          </w:divBdr>
                                                                          <w:divsChild>
                                                                            <w:div w:id="525946089">
                                                                              <w:marLeft w:val="0"/>
                                                                              <w:marRight w:val="0"/>
                                                                              <w:marTop w:val="0"/>
                                                                              <w:marBottom w:val="0"/>
                                                                              <w:divBdr>
                                                                                <w:top w:val="none" w:sz="0" w:space="0" w:color="auto"/>
                                                                                <w:left w:val="none" w:sz="0" w:space="0" w:color="auto"/>
                                                                                <w:bottom w:val="none" w:sz="0" w:space="0" w:color="auto"/>
                                                                                <w:right w:val="none" w:sz="0" w:space="0" w:color="auto"/>
                                                                              </w:divBdr>
                                                                              <w:divsChild>
                                                                                <w:div w:id="1063286493">
                                                                                  <w:marLeft w:val="0"/>
                                                                                  <w:marRight w:val="0"/>
                                                                                  <w:marTop w:val="0"/>
                                                                                  <w:marBottom w:val="0"/>
                                                                                  <w:divBdr>
                                                                                    <w:top w:val="none" w:sz="0" w:space="0" w:color="auto"/>
                                                                                    <w:left w:val="none" w:sz="0" w:space="0" w:color="auto"/>
                                                                                    <w:bottom w:val="none" w:sz="0" w:space="0" w:color="auto"/>
                                                                                    <w:right w:val="none" w:sz="0" w:space="0" w:color="auto"/>
                                                                                  </w:divBdr>
                                                                                  <w:divsChild>
                                                                                    <w:div w:id="184222002">
                                                                                      <w:marLeft w:val="0"/>
                                                                                      <w:marRight w:val="0"/>
                                                                                      <w:marTop w:val="0"/>
                                                                                      <w:marBottom w:val="0"/>
                                                                                      <w:divBdr>
                                                                                        <w:top w:val="none" w:sz="0" w:space="0" w:color="auto"/>
                                                                                        <w:left w:val="none" w:sz="0" w:space="0" w:color="auto"/>
                                                                                        <w:bottom w:val="none" w:sz="0" w:space="0" w:color="auto"/>
                                                                                        <w:right w:val="none" w:sz="0" w:space="0" w:color="auto"/>
                                                                                      </w:divBdr>
                                                                                      <w:divsChild>
                                                                                        <w:div w:id="1279220564">
                                                                                          <w:marLeft w:val="0"/>
                                                                                          <w:marRight w:val="0"/>
                                                                                          <w:marTop w:val="0"/>
                                                                                          <w:marBottom w:val="0"/>
                                                                                          <w:divBdr>
                                                                                            <w:top w:val="none" w:sz="0" w:space="0" w:color="auto"/>
                                                                                            <w:left w:val="none" w:sz="0" w:space="0" w:color="auto"/>
                                                                                            <w:bottom w:val="none" w:sz="0" w:space="0" w:color="auto"/>
                                                                                            <w:right w:val="none" w:sz="0" w:space="0" w:color="auto"/>
                                                                                          </w:divBdr>
                                                                                          <w:divsChild>
                                                                                            <w:div w:id="21216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7818612">
      <w:bodyDiv w:val="1"/>
      <w:marLeft w:val="0"/>
      <w:marRight w:val="0"/>
      <w:marTop w:val="0"/>
      <w:marBottom w:val="0"/>
      <w:divBdr>
        <w:top w:val="none" w:sz="0" w:space="0" w:color="auto"/>
        <w:left w:val="none" w:sz="0" w:space="0" w:color="auto"/>
        <w:bottom w:val="none" w:sz="0" w:space="0" w:color="auto"/>
        <w:right w:val="none" w:sz="0" w:space="0" w:color="auto"/>
      </w:divBdr>
    </w:div>
    <w:div w:id="564796507">
      <w:bodyDiv w:val="1"/>
      <w:marLeft w:val="0"/>
      <w:marRight w:val="0"/>
      <w:marTop w:val="0"/>
      <w:marBottom w:val="0"/>
      <w:divBdr>
        <w:top w:val="none" w:sz="0" w:space="0" w:color="auto"/>
        <w:left w:val="none" w:sz="0" w:space="0" w:color="auto"/>
        <w:bottom w:val="none" w:sz="0" w:space="0" w:color="auto"/>
        <w:right w:val="none" w:sz="0" w:space="0" w:color="auto"/>
      </w:divBdr>
    </w:div>
    <w:div w:id="575750084">
      <w:bodyDiv w:val="1"/>
      <w:marLeft w:val="0"/>
      <w:marRight w:val="0"/>
      <w:marTop w:val="0"/>
      <w:marBottom w:val="0"/>
      <w:divBdr>
        <w:top w:val="none" w:sz="0" w:space="0" w:color="auto"/>
        <w:left w:val="none" w:sz="0" w:space="0" w:color="auto"/>
        <w:bottom w:val="none" w:sz="0" w:space="0" w:color="auto"/>
        <w:right w:val="none" w:sz="0" w:space="0" w:color="auto"/>
      </w:divBdr>
    </w:div>
    <w:div w:id="587731009">
      <w:bodyDiv w:val="1"/>
      <w:marLeft w:val="0"/>
      <w:marRight w:val="0"/>
      <w:marTop w:val="0"/>
      <w:marBottom w:val="0"/>
      <w:divBdr>
        <w:top w:val="none" w:sz="0" w:space="0" w:color="auto"/>
        <w:left w:val="none" w:sz="0" w:space="0" w:color="auto"/>
        <w:bottom w:val="none" w:sz="0" w:space="0" w:color="auto"/>
        <w:right w:val="none" w:sz="0" w:space="0" w:color="auto"/>
      </w:divBdr>
    </w:div>
    <w:div w:id="626619891">
      <w:bodyDiv w:val="1"/>
      <w:marLeft w:val="0"/>
      <w:marRight w:val="0"/>
      <w:marTop w:val="0"/>
      <w:marBottom w:val="0"/>
      <w:divBdr>
        <w:top w:val="none" w:sz="0" w:space="0" w:color="auto"/>
        <w:left w:val="none" w:sz="0" w:space="0" w:color="auto"/>
        <w:bottom w:val="none" w:sz="0" w:space="0" w:color="auto"/>
        <w:right w:val="none" w:sz="0" w:space="0" w:color="auto"/>
      </w:divBdr>
    </w:div>
    <w:div w:id="647905556">
      <w:bodyDiv w:val="1"/>
      <w:marLeft w:val="0"/>
      <w:marRight w:val="0"/>
      <w:marTop w:val="0"/>
      <w:marBottom w:val="0"/>
      <w:divBdr>
        <w:top w:val="none" w:sz="0" w:space="0" w:color="auto"/>
        <w:left w:val="none" w:sz="0" w:space="0" w:color="auto"/>
        <w:bottom w:val="none" w:sz="0" w:space="0" w:color="auto"/>
        <w:right w:val="none" w:sz="0" w:space="0" w:color="auto"/>
      </w:divBdr>
    </w:div>
    <w:div w:id="682324294">
      <w:bodyDiv w:val="1"/>
      <w:marLeft w:val="0"/>
      <w:marRight w:val="0"/>
      <w:marTop w:val="0"/>
      <w:marBottom w:val="0"/>
      <w:divBdr>
        <w:top w:val="none" w:sz="0" w:space="0" w:color="auto"/>
        <w:left w:val="none" w:sz="0" w:space="0" w:color="auto"/>
        <w:bottom w:val="none" w:sz="0" w:space="0" w:color="auto"/>
        <w:right w:val="none" w:sz="0" w:space="0" w:color="auto"/>
      </w:divBdr>
    </w:div>
    <w:div w:id="719868156">
      <w:bodyDiv w:val="1"/>
      <w:marLeft w:val="0"/>
      <w:marRight w:val="0"/>
      <w:marTop w:val="0"/>
      <w:marBottom w:val="0"/>
      <w:divBdr>
        <w:top w:val="none" w:sz="0" w:space="0" w:color="auto"/>
        <w:left w:val="none" w:sz="0" w:space="0" w:color="auto"/>
        <w:bottom w:val="none" w:sz="0" w:space="0" w:color="auto"/>
        <w:right w:val="none" w:sz="0" w:space="0" w:color="auto"/>
      </w:divBdr>
    </w:div>
    <w:div w:id="721834588">
      <w:bodyDiv w:val="1"/>
      <w:marLeft w:val="0"/>
      <w:marRight w:val="0"/>
      <w:marTop w:val="0"/>
      <w:marBottom w:val="0"/>
      <w:divBdr>
        <w:top w:val="none" w:sz="0" w:space="0" w:color="auto"/>
        <w:left w:val="none" w:sz="0" w:space="0" w:color="auto"/>
        <w:bottom w:val="none" w:sz="0" w:space="0" w:color="auto"/>
        <w:right w:val="none" w:sz="0" w:space="0" w:color="auto"/>
      </w:divBdr>
    </w:div>
    <w:div w:id="729497551">
      <w:bodyDiv w:val="1"/>
      <w:marLeft w:val="0"/>
      <w:marRight w:val="0"/>
      <w:marTop w:val="0"/>
      <w:marBottom w:val="0"/>
      <w:divBdr>
        <w:top w:val="none" w:sz="0" w:space="0" w:color="auto"/>
        <w:left w:val="none" w:sz="0" w:space="0" w:color="auto"/>
        <w:bottom w:val="none" w:sz="0" w:space="0" w:color="auto"/>
        <w:right w:val="none" w:sz="0" w:space="0" w:color="auto"/>
      </w:divBdr>
    </w:div>
    <w:div w:id="780690121">
      <w:bodyDiv w:val="1"/>
      <w:marLeft w:val="0"/>
      <w:marRight w:val="0"/>
      <w:marTop w:val="0"/>
      <w:marBottom w:val="0"/>
      <w:divBdr>
        <w:top w:val="none" w:sz="0" w:space="0" w:color="auto"/>
        <w:left w:val="none" w:sz="0" w:space="0" w:color="auto"/>
        <w:bottom w:val="none" w:sz="0" w:space="0" w:color="auto"/>
        <w:right w:val="none" w:sz="0" w:space="0" w:color="auto"/>
      </w:divBdr>
    </w:div>
    <w:div w:id="795149424">
      <w:bodyDiv w:val="1"/>
      <w:marLeft w:val="0"/>
      <w:marRight w:val="0"/>
      <w:marTop w:val="0"/>
      <w:marBottom w:val="0"/>
      <w:divBdr>
        <w:top w:val="none" w:sz="0" w:space="0" w:color="auto"/>
        <w:left w:val="none" w:sz="0" w:space="0" w:color="auto"/>
        <w:bottom w:val="none" w:sz="0" w:space="0" w:color="auto"/>
        <w:right w:val="none" w:sz="0" w:space="0" w:color="auto"/>
      </w:divBdr>
    </w:div>
    <w:div w:id="799608883">
      <w:bodyDiv w:val="1"/>
      <w:marLeft w:val="0"/>
      <w:marRight w:val="0"/>
      <w:marTop w:val="0"/>
      <w:marBottom w:val="0"/>
      <w:divBdr>
        <w:top w:val="none" w:sz="0" w:space="0" w:color="auto"/>
        <w:left w:val="none" w:sz="0" w:space="0" w:color="auto"/>
        <w:bottom w:val="none" w:sz="0" w:space="0" w:color="auto"/>
        <w:right w:val="none" w:sz="0" w:space="0" w:color="auto"/>
      </w:divBdr>
    </w:div>
    <w:div w:id="839009102">
      <w:bodyDiv w:val="1"/>
      <w:marLeft w:val="0"/>
      <w:marRight w:val="0"/>
      <w:marTop w:val="0"/>
      <w:marBottom w:val="0"/>
      <w:divBdr>
        <w:top w:val="none" w:sz="0" w:space="0" w:color="auto"/>
        <w:left w:val="none" w:sz="0" w:space="0" w:color="auto"/>
        <w:bottom w:val="none" w:sz="0" w:space="0" w:color="auto"/>
        <w:right w:val="none" w:sz="0" w:space="0" w:color="auto"/>
      </w:divBdr>
    </w:div>
    <w:div w:id="878469185">
      <w:bodyDiv w:val="1"/>
      <w:marLeft w:val="0"/>
      <w:marRight w:val="0"/>
      <w:marTop w:val="0"/>
      <w:marBottom w:val="0"/>
      <w:divBdr>
        <w:top w:val="none" w:sz="0" w:space="0" w:color="auto"/>
        <w:left w:val="none" w:sz="0" w:space="0" w:color="auto"/>
        <w:bottom w:val="none" w:sz="0" w:space="0" w:color="auto"/>
        <w:right w:val="none" w:sz="0" w:space="0" w:color="auto"/>
      </w:divBdr>
    </w:div>
    <w:div w:id="909344700">
      <w:bodyDiv w:val="1"/>
      <w:marLeft w:val="0"/>
      <w:marRight w:val="0"/>
      <w:marTop w:val="0"/>
      <w:marBottom w:val="0"/>
      <w:divBdr>
        <w:top w:val="none" w:sz="0" w:space="0" w:color="auto"/>
        <w:left w:val="none" w:sz="0" w:space="0" w:color="auto"/>
        <w:bottom w:val="none" w:sz="0" w:space="0" w:color="auto"/>
        <w:right w:val="none" w:sz="0" w:space="0" w:color="auto"/>
      </w:divBdr>
    </w:div>
    <w:div w:id="938224144">
      <w:bodyDiv w:val="1"/>
      <w:marLeft w:val="0"/>
      <w:marRight w:val="0"/>
      <w:marTop w:val="0"/>
      <w:marBottom w:val="0"/>
      <w:divBdr>
        <w:top w:val="none" w:sz="0" w:space="0" w:color="auto"/>
        <w:left w:val="none" w:sz="0" w:space="0" w:color="auto"/>
        <w:bottom w:val="none" w:sz="0" w:space="0" w:color="auto"/>
        <w:right w:val="none" w:sz="0" w:space="0" w:color="auto"/>
      </w:divBdr>
    </w:div>
    <w:div w:id="972755781">
      <w:bodyDiv w:val="1"/>
      <w:marLeft w:val="0"/>
      <w:marRight w:val="0"/>
      <w:marTop w:val="0"/>
      <w:marBottom w:val="0"/>
      <w:divBdr>
        <w:top w:val="none" w:sz="0" w:space="0" w:color="auto"/>
        <w:left w:val="none" w:sz="0" w:space="0" w:color="auto"/>
        <w:bottom w:val="none" w:sz="0" w:space="0" w:color="auto"/>
        <w:right w:val="none" w:sz="0" w:space="0" w:color="auto"/>
      </w:divBdr>
    </w:div>
    <w:div w:id="1012804863">
      <w:bodyDiv w:val="1"/>
      <w:marLeft w:val="0"/>
      <w:marRight w:val="0"/>
      <w:marTop w:val="0"/>
      <w:marBottom w:val="0"/>
      <w:divBdr>
        <w:top w:val="none" w:sz="0" w:space="0" w:color="auto"/>
        <w:left w:val="none" w:sz="0" w:space="0" w:color="auto"/>
        <w:bottom w:val="none" w:sz="0" w:space="0" w:color="auto"/>
        <w:right w:val="none" w:sz="0" w:space="0" w:color="auto"/>
      </w:divBdr>
    </w:div>
    <w:div w:id="1039015801">
      <w:bodyDiv w:val="1"/>
      <w:marLeft w:val="0"/>
      <w:marRight w:val="0"/>
      <w:marTop w:val="0"/>
      <w:marBottom w:val="0"/>
      <w:divBdr>
        <w:top w:val="none" w:sz="0" w:space="0" w:color="auto"/>
        <w:left w:val="none" w:sz="0" w:space="0" w:color="auto"/>
        <w:bottom w:val="none" w:sz="0" w:space="0" w:color="auto"/>
        <w:right w:val="none" w:sz="0" w:space="0" w:color="auto"/>
      </w:divBdr>
    </w:div>
    <w:div w:id="1057317878">
      <w:bodyDiv w:val="1"/>
      <w:marLeft w:val="0"/>
      <w:marRight w:val="0"/>
      <w:marTop w:val="0"/>
      <w:marBottom w:val="0"/>
      <w:divBdr>
        <w:top w:val="none" w:sz="0" w:space="0" w:color="auto"/>
        <w:left w:val="none" w:sz="0" w:space="0" w:color="auto"/>
        <w:bottom w:val="none" w:sz="0" w:space="0" w:color="auto"/>
        <w:right w:val="none" w:sz="0" w:space="0" w:color="auto"/>
      </w:divBdr>
    </w:div>
    <w:div w:id="1073940311">
      <w:bodyDiv w:val="1"/>
      <w:marLeft w:val="0"/>
      <w:marRight w:val="0"/>
      <w:marTop w:val="0"/>
      <w:marBottom w:val="0"/>
      <w:divBdr>
        <w:top w:val="none" w:sz="0" w:space="0" w:color="auto"/>
        <w:left w:val="none" w:sz="0" w:space="0" w:color="auto"/>
        <w:bottom w:val="none" w:sz="0" w:space="0" w:color="auto"/>
        <w:right w:val="none" w:sz="0" w:space="0" w:color="auto"/>
      </w:divBdr>
    </w:div>
    <w:div w:id="1086995917">
      <w:bodyDiv w:val="1"/>
      <w:marLeft w:val="0"/>
      <w:marRight w:val="0"/>
      <w:marTop w:val="0"/>
      <w:marBottom w:val="0"/>
      <w:divBdr>
        <w:top w:val="none" w:sz="0" w:space="0" w:color="auto"/>
        <w:left w:val="none" w:sz="0" w:space="0" w:color="auto"/>
        <w:bottom w:val="none" w:sz="0" w:space="0" w:color="auto"/>
        <w:right w:val="none" w:sz="0" w:space="0" w:color="auto"/>
      </w:divBdr>
    </w:div>
    <w:div w:id="1120564768">
      <w:bodyDiv w:val="1"/>
      <w:marLeft w:val="0"/>
      <w:marRight w:val="0"/>
      <w:marTop w:val="0"/>
      <w:marBottom w:val="0"/>
      <w:divBdr>
        <w:top w:val="none" w:sz="0" w:space="0" w:color="auto"/>
        <w:left w:val="none" w:sz="0" w:space="0" w:color="auto"/>
        <w:bottom w:val="none" w:sz="0" w:space="0" w:color="auto"/>
        <w:right w:val="none" w:sz="0" w:space="0" w:color="auto"/>
      </w:divBdr>
    </w:div>
    <w:div w:id="1160849353">
      <w:bodyDiv w:val="1"/>
      <w:marLeft w:val="0"/>
      <w:marRight w:val="0"/>
      <w:marTop w:val="0"/>
      <w:marBottom w:val="0"/>
      <w:divBdr>
        <w:top w:val="none" w:sz="0" w:space="0" w:color="auto"/>
        <w:left w:val="none" w:sz="0" w:space="0" w:color="auto"/>
        <w:bottom w:val="none" w:sz="0" w:space="0" w:color="auto"/>
        <w:right w:val="none" w:sz="0" w:space="0" w:color="auto"/>
      </w:divBdr>
    </w:div>
    <w:div w:id="1168441575">
      <w:bodyDiv w:val="1"/>
      <w:marLeft w:val="0"/>
      <w:marRight w:val="0"/>
      <w:marTop w:val="0"/>
      <w:marBottom w:val="0"/>
      <w:divBdr>
        <w:top w:val="none" w:sz="0" w:space="0" w:color="auto"/>
        <w:left w:val="none" w:sz="0" w:space="0" w:color="auto"/>
        <w:bottom w:val="none" w:sz="0" w:space="0" w:color="auto"/>
        <w:right w:val="none" w:sz="0" w:space="0" w:color="auto"/>
      </w:divBdr>
    </w:div>
    <w:div w:id="1169102640">
      <w:bodyDiv w:val="1"/>
      <w:marLeft w:val="0"/>
      <w:marRight w:val="0"/>
      <w:marTop w:val="0"/>
      <w:marBottom w:val="0"/>
      <w:divBdr>
        <w:top w:val="none" w:sz="0" w:space="0" w:color="auto"/>
        <w:left w:val="none" w:sz="0" w:space="0" w:color="auto"/>
        <w:bottom w:val="none" w:sz="0" w:space="0" w:color="auto"/>
        <w:right w:val="none" w:sz="0" w:space="0" w:color="auto"/>
      </w:divBdr>
    </w:div>
    <w:div w:id="1174803797">
      <w:bodyDiv w:val="1"/>
      <w:marLeft w:val="0"/>
      <w:marRight w:val="0"/>
      <w:marTop w:val="0"/>
      <w:marBottom w:val="0"/>
      <w:divBdr>
        <w:top w:val="none" w:sz="0" w:space="0" w:color="auto"/>
        <w:left w:val="none" w:sz="0" w:space="0" w:color="auto"/>
        <w:bottom w:val="none" w:sz="0" w:space="0" w:color="auto"/>
        <w:right w:val="none" w:sz="0" w:space="0" w:color="auto"/>
      </w:divBdr>
    </w:div>
    <w:div w:id="1190100559">
      <w:bodyDiv w:val="1"/>
      <w:marLeft w:val="0"/>
      <w:marRight w:val="0"/>
      <w:marTop w:val="0"/>
      <w:marBottom w:val="0"/>
      <w:divBdr>
        <w:top w:val="none" w:sz="0" w:space="0" w:color="auto"/>
        <w:left w:val="none" w:sz="0" w:space="0" w:color="auto"/>
        <w:bottom w:val="none" w:sz="0" w:space="0" w:color="auto"/>
        <w:right w:val="none" w:sz="0" w:space="0" w:color="auto"/>
      </w:divBdr>
    </w:div>
    <w:div w:id="1240213417">
      <w:bodyDiv w:val="1"/>
      <w:marLeft w:val="0"/>
      <w:marRight w:val="0"/>
      <w:marTop w:val="0"/>
      <w:marBottom w:val="0"/>
      <w:divBdr>
        <w:top w:val="none" w:sz="0" w:space="0" w:color="auto"/>
        <w:left w:val="none" w:sz="0" w:space="0" w:color="auto"/>
        <w:bottom w:val="none" w:sz="0" w:space="0" w:color="auto"/>
        <w:right w:val="none" w:sz="0" w:space="0" w:color="auto"/>
      </w:divBdr>
    </w:div>
    <w:div w:id="1249194365">
      <w:bodyDiv w:val="1"/>
      <w:marLeft w:val="0"/>
      <w:marRight w:val="0"/>
      <w:marTop w:val="0"/>
      <w:marBottom w:val="0"/>
      <w:divBdr>
        <w:top w:val="none" w:sz="0" w:space="0" w:color="auto"/>
        <w:left w:val="none" w:sz="0" w:space="0" w:color="auto"/>
        <w:bottom w:val="none" w:sz="0" w:space="0" w:color="auto"/>
        <w:right w:val="none" w:sz="0" w:space="0" w:color="auto"/>
      </w:divBdr>
    </w:div>
    <w:div w:id="1282028111">
      <w:bodyDiv w:val="1"/>
      <w:marLeft w:val="0"/>
      <w:marRight w:val="0"/>
      <w:marTop w:val="0"/>
      <w:marBottom w:val="0"/>
      <w:divBdr>
        <w:top w:val="none" w:sz="0" w:space="0" w:color="auto"/>
        <w:left w:val="none" w:sz="0" w:space="0" w:color="auto"/>
        <w:bottom w:val="none" w:sz="0" w:space="0" w:color="auto"/>
        <w:right w:val="none" w:sz="0" w:space="0" w:color="auto"/>
      </w:divBdr>
    </w:div>
    <w:div w:id="1327518493">
      <w:bodyDiv w:val="1"/>
      <w:marLeft w:val="0"/>
      <w:marRight w:val="0"/>
      <w:marTop w:val="0"/>
      <w:marBottom w:val="0"/>
      <w:divBdr>
        <w:top w:val="none" w:sz="0" w:space="0" w:color="auto"/>
        <w:left w:val="none" w:sz="0" w:space="0" w:color="auto"/>
        <w:bottom w:val="none" w:sz="0" w:space="0" w:color="auto"/>
        <w:right w:val="none" w:sz="0" w:space="0" w:color="auto"/>
      </w:divBdr>
    </w:div>
    <w:div w:id="1389263975">
      <w:bodyDiv w:val="1"/>
      <w:marLeft w:val="0"/>
      <w:marRight w:val="0"/>
      <w:marTop w:val="0"/>
      <w:marBottom w:val="0"/>
      <w:divBdr>
        <w:top w:val="none" w:sz="0" w:space="0" w:color="auto"/>
        <w:left w:val="none" w:sz="0" w:space="0" w:color="auto"/>
        <w:bottom w:val="none" w:sz="0" w:space="0" w:color="auto"/>
        <w:right w:val="none" w:sz="0" w:space="0" w:color="auto"/>
      </w:divBdr>
    </w:div>
    <w:div w:id="1420904479">
      <w:bodyDiv w:val="1"/>
      <w:marLeft w:val="0"/>
      <w:marRight w:val="0"/>
      <w:marTop w:val="0"/>
      <w:marBottom w:val="0"/>
      <w:divBdr>
        <w:top w:val="none" w:sz="0" w:space="0" w:color="auto"/>
        <w:left w:val="none" w:sz="0" w:space="0" w:color="auto"/>
        <w:bottom w:val="none" w:sz="0" w:space="0" w:color="auto"/>
        <w:right w:val="none" w:sz="0" w:space="0" w:color="auto"/>
      </w:divBdr>
    </w:div>
    <w:div w:id="1439445043">
      <w:bodyDiv w:val="1"/>
      <w:marLeft w:val="0"/>
      <w:marRight w:val="0"/>
      <w:marTop w:val="0"/>
      <w:marBottom w:val="0"/>
      <w:divBdr>
        <w:top w:val="none" w:sz="0" w:space="0" w:color="auto"/>
        <w:left w:val="none" w:sz="0" w:space="0" w:color="auto"/>
        <w:bottom w:val="none" w:sz="0" w:space="0" w:color="auto"/>
        <w:right w:val="none" w:sz="0" w:space="0" w:color="auto"/>
      </w:divBdr>
    </w:div>
    <w:div w:id="1445997053">
      <w:bodyDiv w:val="1"/>
      <w:marLeft w:val="0"/>
      <w:marRight w:val="0"/>
      <w:marTop w:val="0"/>
      <w:marBottom w:val="0"/>
      <w:divBdr>
        <w:top w:val="none" w:sz="0" w:space="0" w:color="auto"/>
        <w:left w:val="none" w:sz="0" w:space="0" w:color="auto"/>
        <w:bottom w:val="none" w:sz="0" w:space="0" w:color="auto"/>
        <w:right w:val="none" w:sz="0" w:space="0" w:color="auto"/>
      </w:divBdr>
    </w:div>
    <w:div w:id="1486781119">
      <w:bodyDiv w:val="1"/>
      <w:marLeft w:val="0"/>
      <w:marRight w:val="0"/>
      <w:marTop w:val="0"/>
      <w:marBottom w:val="0"/>
      <w:divBdr>
        <w:top w:val="none" w:sz="0" w:space="0" w:color="auto"/>
        <w:left w:val="none" w:sz="0" w:space="0" w:color="auto"/>
        <w:bottom w:val="none" w:sz="0" w:space="0" w:color="auto"/>
        <w:right w:val="none" w:sz="0" w:space="0" w:color="auto"/>
      </w:divBdr>
    </w:div>
    <w:div w:id="1547453092">
      <w:bodyDiv w:val="1"/>
      <w:marLeft w:val="0"/>
      <w:marRight w:val="0"/>
      <w:marTop w:val="0"/>
      <w:marBottom w:val="0"/>
      <w:divBdr>
        <w:top w:val="none" w:sz="0" w:space="0" w:color="auto"/>
        <w:left w:val="none" w:sz="0" w:space="0" w:color="auto"/>
        <w:bottom w:val="none" w:sz="0" w:space="0" w:color="auto"/>
        <w:right w:val="none" w:sz="0" w:space="0" w:color="auto"/>
      </w:divBdr>
    </w:div>
    <w:div w:id="1562640811">
      <w:bodyDiv w:val="1"/>
      <w:marLeft w:val="0"/>
      <w:marRight w:val="0"/>
      <w:marTop w:val="0"/>
      <w:marBottom w:val="0"/>
      <w:divBdr>
        <w:top w:val="none" w:sz="0" w:space="0" w:color="auto"/>
        <w:left w:val="none" w:sz="0" w:space="0" w:color="auto"/>
        <w:bottom w:val="none" w:sz="0" w:space="0" w:color="auto"/>
        <w:right w:val="none" w:sz="0" w:space="0" w:color="auto"/>
      </w:divBdr>
    </w:div>
    <w:div w:id="1581980649">
      <w:bodyDiv w:val="1"/>
      <w:marLeft w:val="0"/>
      <w:marRight w:val="0"/>
      <w:marTop w:val="0"/>
      <w:marBottom w:val="0"/>
      <w:divBdr>
        <w:top w:val="none" w:sz="0" w:space="0" w:color="auto"/>
        <w:left w:val="none" w:sz="0" w:space="0" w:color="auto"/>
        <w:bottom w:val="none" w:sz="0" w:space="0" w:color="auto"/>
        <w:right w:val="none" w:sz="0" w:space="0" w:color="auto"/>
      </w:divBdr>
    </w:div>
    <w:div w:id="1585067521">
      <w:bodyDiv w:val="1"/>
      <w:marLeft w:val="0"/>
      <w:marRight w:val="0"/>
      <w:marTop w:val="0"/>
      <w:marBottom w:val="0"/>
      <w:divBdr>
        <w:top w:val="none" w:sz="0" w:space="0" w:color="auto"/>
        <w:left w:val="none" w:sz="0" w:space="0" w:color="auto"/>
        <w:bottom w:val="none" w:sz="0" w:space="0" w:color="auto"/>
        <w:right w:val="none" w:sz="0" w:space="0" w:color="auto"/>
      </w:divBdr>
    </w:div>
    <w:div w:id="1601449030">
      <w:bodyDiv w:val="1"/>
      <w:marLeft w:val="0"/>
      <w:marRight w:val="0"/>
      <w:marTop w:val="0"/>
      <w:marBottom w:val="0"/>
      <w:divBdr>
        <w:top w:val="none" w:sz="0" w:space="0" w:color="auto"/>
        <w:left w:val="none" w:sz="0" w:space="0" w:color="auto"/>
        <w:bottom w:val="none" w:sz="0" w:space="0" w:color="auto"/>
        <w:right w:val="none" w:sz="0" w:space="0" w:color="auto"/>
      </w:divBdr>
    </w:div>
    <w:div w:id="1605337034">
      <w:bodyDiv w:val="1"/>
      <w:marLeft w:val="0"/>
      <w:marRight w:val="0"/>
      <w:marTop w:val="0"/>
      <w:marBottom w:val="0"/>
      <w:divBdr>
        <w:top w:val="none" w:sz="0" w:space="0" w:color="auto"/>
        <w:left w:val="none" w:sz="0" w:space="0" w:color="auto"/>
        <w:bottom w:val="none" w:sz="0" w:space="0" w:color="auto"/>
        <w:right w:val="none" w:sz="0" w:space="0" w:color="auto"/>
      </w:divBdr>
    </w:div>
    <w:div w:id="1605578028">
      <w:bodyDiv w:val="1"/>
      <w:marLeft w:val="0"/>
      <w:marRight w:val="0"/>
      <w:marTop w:val="0"/>
      <w:marBottom w:val="0"/>
      <w:divBdr>
        <w:top w:val="none" w:sz="0" w:space="0" w:color="auto"/>
        <w:left w:val="none" w:sz="0" w:space="0" w:color="auto"/>
        <w:bottom w:val="none" w:sz="0" w:space="0" w:color="auto"/>
        <w:right w:val="none" w:sz="0" w:space="0" w:color="auto"/>
      </w:divBdr>
    </w:div>
    <w:div w:id="1609460199">
      <w:bodyDiv w:val="1"/>
      <w:marLeft w:val="0"/>
      <w:marRight w:val="0"/>
      <w:marTop w:val="0"/>
      <w:marBottom w:val="0"/>
      <w:divBdr>
        <w:top w:val="none" w:sz="0" w:space="0" w:color="auto"/>
        <w:left w:val="none" w:sz="0" w:space="0" w:color="auto"/>
        <w:bottom w:val="none" w:sz="0" w:space="0" w:color="auto"/>
        <w:right w:val="none" w:sz="0" w:space="0" w:color="auto"/>
      </w:divBdr>
    </w:div>
    <w:div w:id="1631939984">
      <w:bodyDiv w:val="1"/>
      <w:marLeft w:val="0"/>
      <w:marRight w:val="0"/>
      <w:marTop w:val="0"/>
      <w:marBottom w:val="0"/>
      <w:divBdr>
        <w:top w:val="none" w:sz="0" w:space="0" w:color="auto"/>
        <w:left w:val="none" w:sz="0" w:space="0" w:color="auto"/>
        <w:bottom w:val="none" w:sz="0" w:space="0" w:color="auto"/>
        <w:right w:val="none" w:sz="0" w:space="0" w:color="auto"/>
      </w:divBdr>
    </w:div>
    <w:div w:id="1643389001">
      <w:bodyDiv w:val="1"/>
      <w:marLeft w:val="0"/>
      <w:marRight w:val="0"/>
      <w:marTop w:val="0"/>
      <w:marBottom w:val="0"/>
      <w:divBdr>
        <w:top w:val="none" w:sz="0" w:space="0" w:color="auto"/>
        <w:left w:val="none" w:sz="0" w:space="0" w:color="auto"/>
        <w:bottom w:val="none" w:sz="0" w:space="0" w:color="auto"/>
        <w:right w:val="none" w:sz="0" w:space="0" w:color="auto"/>
      </w:divBdr>
    </w:div>
    <w:div w:id="1671445815">
      <w:bodyDiv w:val="1"/>
      <w:marLeft w:val="0"/>
      <w:marRight w:val="0"/>
      <w:marTop w:val="0"/>
      <w:marBottom w:val="0"/>
      <w:divBdr>
        <w:top w:val="none" w:sz="0" w:space="0" w:color="auto"/>
        <w:left w:val="none" w:sz="0" w:space="0" w:color="auto"/>
        <w:bottom w:val="none" w:sz="0" w:space="0" w:color="auto"/>
        <w:right w:val="none" w:sz="0" w:space="0" w:color="auto"/>
      </w:divBdr>
    </w:div>
    <w:div w:id="1688483072">
      <w:bodyDiv w:val="1"/>
      <w:marLeft w:val="0"/>
      <w:marRight w:val="0"/>
      <w:marTop w:val="0"/>
      <w:marBottom w:val="0"/>
      <w:divBdr>
        <w:top w:val="none" w:sz="0" w:space="0" w:color="auto"/>
        <w:left w:val="none" w:sz="0" w:space="0" w:color="auto"/>
        <w:bottom w:val="none" w:sz="0" w:space="0" w:color="auto"/>
        <w:right w:val="none" w:sz="0" w:space="0" w:color="auto"/>
      </w:divBdr>
    </w:div>
    <w:div w:id="1695644387">
      <w:bodyDiv w:val="1"/>
      <w:marLeft w:val="0"/>
      <w:marRight w:val="0"/>
      <w:marTop w:val="0"/>
      <w:marBottom w:val="0"/>
      <w:divBdr>
        <w:top w:val="none" w:sz="0" w:space="0" w:color="auto"/>
        <w:left w:val="none" w:sz="0" w:space="0" w:color="auto"/>
        <w:bottom w:val="none" w:sz="0" w:space="0" w:color="auto"/>
        <w:right w:val="none" w:sz="0" w:space="0" w:color="auto"/>
      </w:divBdr>
    </w:div>
    <w:div w:id="1733044772">
      <w:bodyDiv w:val="1"/>
      <w:marLeft w:val="0"/>
      <w:marRight w:val="0"/>
      <w:marTop w:val="0"/>
      <w:marBottom w:val="0"/>
      <w:divBdr>
        <w:top w:val="none" w:sz="0" w:space="0" w:color="auto"/>
        <w:left w:val="none" w:sz="0" w:space="0" w:color="auto"/>
        <w:bottom w:val="none" w:sz="0" w:space="0" w:color="auto"/>
        <w:right w:val="none" w:sz="0" w:space="0" w:color="auto"/>
      </w:divBdr>
    </w:div>
    <w:div w:id="1741712948">
      <w:bodyDiv w:val="1"/>
      <w:marLeft w:val="0"/>
      <w:marRight w:val="0"/>
      <w:marTop w:val="0"/>
      <w:marBottom w:val="0"/>
      <w:divBdr>
        <w:top w:val="none" w:sz="0" w:space="0" w:color="auto"/>
        <w:left w:val="none" w:sz="0" w:space="0" w:color="auto"/>
        <w:bottom w:val="none" w:sz="0" w:space="0" w:color="auto"/>
        <w:right w:val="none" w:sz="0" w:space="0" w:color="auto"/>
      </w:divBdr>
    </w:div>
    <w:div w:id="1757050319">
      <w:bodyDiv w:val="1"/>
      <w:marLeft w:val="0"/>
      <w:marRight w:val="0"/>
      <w:marTop w:val="0"/>
      <w:marBottom w:val="0"/>
      <w:divBdr>
        <w:top w:val="none" w:sz="0" w:space="0" w:color="auto"/>
        <w:left w:val="none" w:sz="0" w:space="0" w:color="auto"/>
        <w:bottom w:val="none" w:sz="0" w:space="0" w:color="auto"/>
        <w:right w:val="none" w:sz="0" w:space="0" w:color="auto"/>
      </w:divBdr>
    </w:div>
    <w:div w:id="1759717841">
      <w:bodyDiv w:val="1"/>
      <w:marLeft w:val="0"/>
      <w:marRight w:val="0"/>
      <w:marTop w:val="0"/>
      <w:marBottom w:val="0"/>
      <w:divBdr>
        <w:top w:val="none" w:sz="0" w:space="0" w:color="auto"/>
        <w:left w:val="none" w:sz="0" w:space="0" w:color="auto"/>
        <w:bottom w:val="none" w:sz="0" w:space="0" w:color="auto"/>
        <w:right w:val="none" w:sz="0" w:space="0" w:color="auto"/>
      </w:divBdr>
    </w:div>
    <w:div w:id="1790541284">
      <w:bodyDiv w:val="1"/>
      <w:marLeft w:val="0"/>
      <w:marRight w:val="0"/>
      <w:marTop w:val="0"/>
      <w:marBottom w:val="0"/>
      <w:divBdr>
        <w:top w:val="none" w:sz="0" w:space="0" w:color="auto"/>
        <w:left w:val="none" w:sz="0" w:space="0" w:color="auto"/>
        <w:bottom w:val="none" w:sz="0" w:space="0" w:color="auto"/>
        <w:right w:val="none" w:sz="0" w:space="0" w:color="auto"/>
      </w:divBdr>
    </w:div>
    <w:div w:id="1819572105">
      <w:bodyDiv w:val="1"/>
      <w:marLeft w:val="0"/>
      <w:marRight w:val="0"/>
      <w:marTop w:val="0"/>
      <w:marBottom w:val="0"/>
      <w:divBdr>
        <w:top w:val="none" w:sz="0" w:space="0" w:color="auto"/>
        <w:left w:val="none" w:sz="0" w:space="0" w:color="auto"/>
        <w:bottom w:val="none" w:sz="0" w:space="0" w:color="auto"/>
        <w:right w:val="none" w:sz="0" w:space="0" w:color="auto"/>
      </w:divBdr>
    </w:div>
    <w:div w:id="1828354770">
      <w:bodyDiv w:val="1"/>
      <w:marLeft w:val="0"/>
      <w:marRight w:val="0"/>
      <w:marTop w:val="0"/>
      <w:marBottom w:val="0"/>
      <w:divBdr>
        <w:top w:val="none" w:sz="0" w:space="0" w:color="auto"/>
        <w:left w:val="none" w:sz="0" w:space="0" w:color="auto"/>
        <w:bottom w:val="none" w:sz="0" w:space="0" w:color="auto"/>
        <w:right w:val="none" w:sz="0" w:space="0" w:color="auto"/>
      </w:divBdr>
    </w:div>
    <w:div w:id="1832477972">
      <w:bodyDiv w:val="1"/>
      <w:marLeft w:val="0"/>
      <w:marRight w:val="0"/>
      <w:marTop w:val="0"/>
      <w:marBottom w:val="0"/>
      <w:divBdr>
        <w:top w:val="none" w:sz="0" w:space="0" w:color="auto"/>
        <w:left w:val="none" w:sz="0" w:space="0" w:color="auto"/>
        <w:bottom w:val="none" w:sz="0" w:space="0" w:color="auto"/>
        <w:right w:val="none" w:sz="0" w:space="0" w:color="auto"/>
      </w:divBdr>
    </w:div>
    <w:div w:id="1841653438">
      <w:bodyDiv w:val="1"/>
      <w:marLeft w:val="0"/>
      <w:marRight w:val="0"/>
      <w:marTop w:val="0"/>
      <w:marBottom w:val="0"/>
      <w:divBdr>
        <w:top w:val="none" w:sz="0" w:space="0" w:color="auto"/>
        <w:left w:val="none" w:sz="0" w:space="0" w:color="auto"/>
        <w:bottom w:val="none" w:sz="0" w:space="0" w:color="auto"/>
        <w:right w:val="none" w:sz="0" w:space="0" w:color="auto"/>
      </w:divBdr>
    </w:div>
    <w:div w:id="1843353554">
      <w:bodyDiv w:val="1"/>
      <w:marLeft w:val="0"/>
      <w:marRight w:val="0"/>
      <w:marTop w:val="0"/>
      <w:marBottom w:val="0"/>
      <w:divBdr>
        <w:top w:val="none" w:sz="0" w:space="0" w:color="auto"/>
        <w:left w:val="none" w:sz="0" w:space="0" w:color="auto"/>
        <w:bottom w:val="none" w:sz="0" w:space="0" w:color="auto"/>
        <w:right w:val="none" w:sz="0" w:space="0" w:color="auto"/>
      </w:divBdr>
    </w:div>
    <w:div w:id="1913196864">
      <w:bodyDiv w:val="1"/>
      <w:marLeft w:val="0"/>
      <w:marRight w:val="0"/>
      <w:marTop w:val="0"/>
      <w:marBottom w:val="0"/>
      <w:divBdr>
        <w:top w:val="none" w:sz="0" w:space="0" w:color="auto"/>
        <w:left w:val="none" w:sz="0" w:space="0" w:color="auto"/>
        <w:bottom w:val="none" w:sz="0" w:space="0" w:color="auto"/>
        <w:right w:val="none" w:sz="0" w:space="0" w:color="auto"/>
      </w:divBdr>
    </w:div>
    <w:div w:id="1934124202">
      <w:bodyDiv w:val="1"/>
      <w:marLeft w:val="0"/>
      <w:marRight w:val="0"/>
      <w:marTop w:val="0"/>
      <w:marBottom w:val="0"/>
      <w:divBdr>
        <w:top w:val="none" w:sz="0" w:space="0" w:color="auto"/>
        <w:left w:val="none" w:sz="0" w:space="0" w:color="auto"/>
        <w:bottom w:val="none" w:sz="0" w:space="0" w:color="auto"/>
        <w:right w:val="none" w:sz="0" w:space="0" w:color="auto"/>
      </w:divBdr>
    </w:div>
    <w:div w:id="1940597881">
      <w:bodyDiv w:val="1"/>
      <w:marLeft w:val="0"/>
      <w:marRight w:val="0"/>
      <w:marTop w:val="0"/>
      <w:marBottom w:val="0"/>
      <w:divBdr>
        <w:top w:val="none" w:sz="0" w:space="0" w:color="auto"/>
        <w:left w:val="none" w:sz="0" w:space="0" w:color="auto"/>
        <w:bottom w:val="none" w:sz="0" w:space="0" w:color="auto"/>
        <w:right w:val="none" w:sz="0" w:space="0" w:color="auto"/>
      </w:divBdr>
    </w:div>
    <w:div w:id="1952592533">
      <w:bodyDiv w:val="1"/>
      <w:marLeft w:val="0"/>
      <w:marRight w:val="0"/>
      <w:marTop w:val="0"/>
      <w:marBottom w:val="0"/>
      <w:divBdr>
        <w:top w:val="none" w:sz="0" w:space="0" w:color="auto"/>
        <w:left w:val="none" w:sz="0" w:space="0" w:color="auto"/>
        <w:bottom w:val="none" w:sz="0" w:space="0" w:color="auto"/>
        <w:right w:val="none" w:sz="0" w:space="0" w:color="auto"/>
      </w:divBdr>
    </w:div>
    <w:div w:id="2119520285">
      <w:bodyDiv w:val="1"/>
      <w:marLeft w:val="0"/>
      <w:marRight w:val="0"/>
      <w:marTop w:val="0"/>
      <w:marBottom w:val="0"/>
      <w:divBdr>
        <w:top w:val="none" w:sz="0" w:space="0" w:color="auto"/>
        <w:left w:val="none" w:sz="0" w:space="0" w:color="auto"/>
        <w:bottom w:val="none" w:sz="0" w:space="0" w:color="auto"/>
        <w:right w:val="none" w:sz="0" w:space="0" w:color="auto"/>
      </w:divBdr>
    </w:div>
    <w:div w:id="2121104421">
      <w:bodyDiv w:val="1"/>
      <w:marLeft w:val="0"/>
      <w:marRight w:val="0"/>
      <w:marTop w:val="0"/>
      <w:marBottom w:val="0"/>
      <w:divBdr>
        <w:top w:val="none" w:sz="0" w:space="0" w:color="auto"/>
        <w:left w:val="none" w:sz="0" w:space="0" w:color="auto"/>
        <w:bottom w:val="none" w:sz="0" w:space="0" w:color="auto"/>
        <w:right w:val="none" w:sz="0" w:space="0" w:color="auto"/>
      </w:divBdr>
    </w:div>
    <w:div w:id="2140099756">
      <w:bodyDiv w:val="1"/>
      <w:marLeft w:val="0"/>
      <w:marRight w:val="0"/>
      <w:marTop w:val="0"/>
      <w:marBottom w:val="0"/>
      <w:divBdr>
        <w:top w:val="none" w:sz="0" w:space="0" w:color="auto"/>
        <w:left w:val="none" w:sz="0" w:space="0" w:color="auto"/>
        <w:bottom w:val="none" w:sz="0" w:space="0" w:color="auto"/>
        <w:right w:val="none" w:sz="0" w:space="0" w:color="auto"/>
      </w:divBdr>
      <w:divsChild>
        <w:div w:id="192622352">
          <w:marLeft w:val="0"/>
          <w:marRight w:val="0"/>
          <w:marTop w:val="0"/>
          <w:marBottom w:val="0"/>
          <w:divBdr>
            <w:top w:val="none" w:sz="0" w:space="0" w:color="auto"/>
            <w:left w:val="none" w:sz="0" w:space="0" w:color="auto"/>
            <w:bottom w:val="none" w:sz="0" w:space="0" w:color="auto"/>
            <w:right w:val="none" w:sz="0" w:space="0" w:color="auto"/>
          </w:divBdr>
        </w:div>
        <w:div w:id="732658008">
          <w:marLeft w:val="0"/>
          <w:marRight w:val="0"/>
          <w:marTop w:val="0"/>
          <w:marBottom w:val="0"/>
          <w:divBdr>
            <w:top w:val="none" w:sz="0" w:space="0" w:color="auto"/>
            <w:left w:val="none" w:sz="0" w:space="0" w:color="auto"/>
            <w:bottom w:val="none" w:sz="0" w:space="0" w:color="auto"/>
            <w:right w:val="none" w:sz="0" w:space="0" w:color="auto"/>
          </w:divBdr>
        </w:div>
        <w:div w:id="1173111810">
          <w:marLeft w:val="0"/>
          <w:marRight w:val="0"/>
          <w:marTop w:val="0"/>
          <w:marBottom w:val="0"/>
          <w:divBdr>
            <w:top w:val="none" w:sz="0" w:space="0" w:color="auto"/>
            <w:left w:val="none" w:sz="0" w:space="0" w:color="auto"/>
            <w:bottom w:val="none" w:sz="0" w:space="0" w:color="auto"/>
            <w:right w:val="none" w:sz="0" w:space="0" w:color="auto"/>
          </w:divBdr>
        </w:div>
        <w:div w:id="1287008615">
          <w:marLeft w:val="0"/>
          <w:marRight w:val="0"/>
          <w:marTop w:val="0"/>
          <w:marBottom w:val="0"/>
          <w:divBdr>
            <w:top w:val="none" w:sz="0" w:space="0" w:color="auto"/>
            <w:left w:val="none" w:sz="0" w:space="0" w:color="auto"/>
            <w:bottom w:val="none" w:sz="0" w:space="0" w:color="auto"/>
            <w:right w:val="none" w:sz="0" w:space="0" w:color="auto"/>
          </w:divBdr>
        </w:div>
        <w:div w:id="1628391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87D153117DD714786E212034F5B65ED" ma:contentTypeVersion="13" ma:contentTypeDescription="Create a new document." ma:contentTypeScope="" ma:versionID="950a7ee1b52abfb5f36a2e93297ad685">
  <xsd:schema xmlns:xsd="http://www.w3.org/2001/XMLSchema" xmlns:xs="http://www.w3.org/2001/XMLSchema" xmlns:p="http://schemas.microsoft.com/office/2006/metadata/properties" xmlns:ns3="1bca1ac5-4205-4a8a-a583-d373a35df43a" xmlns:ns4="591e8dbc-a513-4a37-8873-bd139125d35a" targetNamespace="http://schemas.microsoft.com/office/2006/metadata/properties" ma:root="true" ma:fieldsID="951f20360d17e6951867a2c74f2994b5" ns3:_="" ns4:_="">
    <xsd:import namespace="1bca1ac5-4205-4a8a-a583-d373a35df43a"/>
    <xsd:import namespace="591e8dbc-a513-4a37-8873-bd139125d35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ca1ac5-4205-4a8a-a583-d373a35df4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1e8dbc-a513-4a37-8873-bd139125d35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B48472-69C9-4BC2-9762-4F42CED427D6}">
  <ds:schemaRefs>
    <ds:schemaRef ds:uri="http://schemas.openxmlformats.org/officeDocument/2006/bibliography"/>
  </ds:schemaRefs>
</ds:datastoreItem>
</file>

<file path=customXml/itemProps2.xml><?xml version="1.0" encoding="utf-8"?>
<ds:datastoreItem xmlns:ds="http://schemas.openxmlformats.org/officeDocument/2006/customXml" ds:itemID="{C4316C76-2AFA-4F1F-A394-E937F2F1CB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ca1ac5-4205-4a8a-a583-d373a35df43a"/>
    <ds:schemaRef ds:uri="591e8dbc-a513-4a37-8873-bd139125d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6EB689-08E6-4F36-8967-F07C46153F8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3FF3E30-32F1-4AE2-A184-5A810A507F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14</Pages>
  <Words>4114</Words>
  <Characters>22217</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PROJETO DE PESQUISA: AVALIAÇÃO DA OCORRÊNCIA DE EVENTOS ADVERSOS EM PACIENTES ADULTOS DURANTE A INTERNAÇÃO HOSPITALAR</vt:lpstr>
      <vt:lpstr>PROJETO DE PESQUISA: AVALIAÇÃO DA OCORRÊNCIA DE EVENTOS ADVERSOS EM PACIENTES ADULTOS DURANTE A INTERNAÇÃO HOSPITALAR</vt:lpstr>
    </vt:vector>
  </TitlesOfParts>
  <Company>Departamento de Clínica Médica da Faculdade de Medicina da UFMG</Company>
  <LinksUpToDate>false</LinksUpToDate>
  <CharactersWithSpaces>26279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DE PESQUISA: AVALIAÇÃO DA OCORRÊNCIA DE EVENTOS ADVERSOS EM PACIENTES ADULTOS DURANTE A INTERNAÇÃO HOSPITALAR</dc:title>
  <dc:subject>Adaptação e validação interna da ferramenta “Global Trigger Tool” do “Institute for Healthcare Improvement” para estimativa da ocorrência de eventos adversos em pacientes adultos internados em um hospital universitário de Belo Horizonte</dc:subject>
  <dc:creator>Sara Monteiro de Moraes</dc:creator>
  <cp:keywords/>
  <dc:description/>
  <cp:lastModifiedBy>Sara Moraes</cp:lastModifiedBy>
  <cp:revision>3</cp:revision>
  <cp:lastPrinted>2018-04-26T13:08:00Z</cp:lastPrinted>
  <dcterms:created xsi:type="dcterms:W3CDTF">2021-05-21T12:44:00Z</dcterms:created>
  <dcterms:modified xsi:type="dcterms:W3CDTF">2021-05-21T12:46:00Z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sarammoraes@yahoo.com.br@www.mendeley.com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0x010100287D153117DD714786E212034F5B65ED</vt:lpwstr>
  </property>
</Properties>
</file>