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TECNICATURA SUPERIOR EN</w:t>
        <w:br/>
        <w:t>DESARROLLO DE SOFTWARE</w:t>
        <w:br/>
      </w:r>
    </w:p>
    <w:p>
      <w:pPr>
        <w:jc w:val="center"/>
      </w:pPr>
      <w:r>
        <w:rPr>
          <w:i/>
          <w:sz w:val="26"/>
        </w:rPr>
        <w:t>Espacio curricular: Desarrollo de Inteligencia Artificial</w:t>
        <w:br/>
      </w:r>
    </w:p>
    <w:p>
      <w:pPr>
        <w:jc w:val="center"/>
      </w:pPr>
      <w:r>
        <w:rPr>
          <w:sz w:val="24"/>
        </w:rPr>
        <w:t>Profesora: Cra. Sol Figueroa</w:t>
        <w:br/>
      </w:r>
    </w:p>
    <w:p/>
    <w:p>
      <w:pPr>
        <w:jc w:val="center"/>
      </w:pPr>
      <w:r>
        <w:rPr>
          <w:b/>
          <w:color w:val="003366"/>
          <w:sz w:val="36"/>
        </w:rPr>
        <w:t>Evidencia de Aprendizaje N.º 2</w:t>
        <w:br/>
        <w:t>Modelado y Evaluación de Desempeño</w:t>
        <w:br/>
      </w:r>
      <w:r>
        <w:rPr>
          <w:color w:val="555555"/>
          <w:sz w:val="24"/>
        </w:rPr>
        <w:t>Predicción del Costo Unitario de Neumáticos mediante Regresión Lineal</w:t>
        <w:br/>
      </w:r>
    </w:p>
    <w:p/>
    <w:p>
      <w:pPr>
        <w:jc w:val="center"/>
      </w:pPr>
      <w:r>
        <w:rPr>
          <w:b/>
          <w:color w:val="1F4E79"/>
          <w:sz w:val="24"/>
        </w:rPr>
        <w:t>INTEGRANTES:</w:t>
        <w:br/>
      </w:r>
      <w:r>
        <w:rPr>
          <w:sz w:val="24"/>
        </w:rPr>
        <w:t>Vargas, Cristian</w:t>
        <w:br/>
        <w:t>Quinteros, Karina</w:t>
        <w:br/>
        <w:t>Zárate, Laura</w:t>
        <w:br/>
      </w:r>
    </w:p>
    <w:p>
      <w:pPr>
        <w:jc w:val="center"/>
      </w:pPr>
      <w:r>
        <w:rPr>
          <w:i/>
          <w:sz w:val="20"/>
        </w:rPr>
        <w:t>Septiembre de 2026</w:t>
        <w:br/>
        <w:t>ISPC — Córdoba, Argentina</w:t>
      </w:r>
    </w:p>
    <w:p>
      <w:r>
        <w:br w:type="page"/>
      </w:r>
    </w:p>
    <w:p>
      <w:pPr>
        <w:spacing w:before="320" w:after="120"/>
      </w:pPr>
      <w:r>
        <w:rPr>
          <w:b/>
          <w:color w:val="1F4E79"/>
          <w:sz w:val="28"/>
        </w:rPr>
        <w:t>1. Resumen Ejecutivo</w:t>
      </w:r>
    </w:p>
    <w:p>
      <w:pPr>
        <w:spacing w:after="120" w:line="276" w:lineRule="auto"/>
      </w:pPr>
      <w:r>
        <w:rPr>
          <w:sz w:val="22"/>
        </w:rPr>
        <w:t>En el marco de la Evidencia de Aprendizaje N.º 2, se desarrolló e implementó un sistema de aprendizaje automático supervisado basado en el paradigma de Regresión Lineal, orientado a estimar con rigor estadístico el costo unitario de catálogo (Unit Cost en INR) de neumáticos a partir de sus especificaciones físicas intrínsecas y su marca fabricante.</w:t>
        <w:br/>
        <w:br/>
        <w:t>El desarrollo continúa directamente las conclusiones del Análisis Exploratorio de Datos (EDA) entregado en la Evidencia N.º 1. Se aplicó una división estricta en 80% entrenamiento (200 registros) y 20% prueba (51 registros) con semilla reproducible (random_state=42). Se comparó un modelo baseline de Regresión Lineal Simple frente a un modelo de Regresión Lineal Múltiple. El modelo múltiple demostró un salto sustancial de capacidad predictiva: el error absoluto medio (MAE) descendió de 2.795,00 INR a 1.678,60 INR, y el coeficiente de determinación (R²) se incrementó de 0,5421 a 0,7968 (casi el 80% de varianza explicada en datos de prueba no vistos).</w:t>
      </w:r>
    </w:p>
    <w:p>
      <w:pPr>
        <w:spacing w:before="320" w:after="120"/>
      </w:pPr>
      <w:r>
        <w:rPr>
          <w:b/>
          <w:color w:val="1F4E79"/>
          <w:sz w:val="28"/>
        </w:rPr>
        <w:t>2. Antecedentes y Enlace con la Evidencia N.º 1</w:t>
      </w:r>
    </w:p>
    <w:p>
      <w:pPr>
        <w:spacing w:after="120" w:line="276" w:lineRule="auto"/>
      </w:pPr>
      <w:r>
        <w:rPr>
          <w:sz w:val="22"/>
        </w:rPr>
        <w:t>En la Evidencia 1, el equipo analizó las fuentes de datos del proyecto (Current Stock, Sales y Supplier). Dicho informe concluyó:</w:t>
        <w:br/>
        <w:t>• Las dimensiones técnicas del neumático están codificadas en el nombre del producto (Product Name).</w:t>
        <w:br/>
        <w:t>• El diámetro del rin (Rim) presentó la correlación lineal individual más alta con el costo (r = 0,76), seguido por el ancho de sección (Width, r = 0,44).</w:t>
        <w:br/>
        <w:t>• La relación de aspecto (Aspect Ratio) exhibió una correlación moderada-baja (r = 0,36), mientras que el stock actual no aportó señal física (r = 0,08).</w:t>
        <w:br/>
        <w:t>• La variable Brand presenta niveles diferenciados de precio según el segmento de mercado del fabricante.</w:t>
        <w:br/>
        <w:t>• El informe anterior concluyó expresamente que dicha estructura configuraba una 'buena señal para regresión'.</w:t>
      </w:r>
    </w:p>
    <w:p>
      <w:pPr>
        <w:spacing w:before="320" w:after="120"/>
      </w:pPr>
      <w:r>
        <w:rPr>
          <w:b/>
          <w:color w:val="1F4E79"/>
          <w:sz w:val="28"/>
        </w:rPr>
        <w:t>3. Formulación del Problema y Justificación del Dataset</w:t>
      </w:r>
    </w:p>
    <w:p>
      <w:pPr>
        <w:spacing w:after="120" w:line="276" w:lineRule="auto"/>
      </w:pPr>
      <w:r>
        <w:rPr>
          <w:sz w:val="22"/>
        </w:rPr>
        <w:t>• Variable Objetivo (Target): Unit Cost (INR), de naturaleza cuantitativa continua, correspondiente al costo unitario del producto del catálogo.</w:t>
        <w:br/>
        <w:t>• Dataset Seleccionado: DS_Data_Set_Current_Stock.csv (253 registros iniciales).</w:t>
        <w:br/>
        <w:t>• Justificación de Exclusión de Tablas Transaccionales: Al modelar el costo intrínseco del neumático como bien físico, la unidad de estudio debe ser el producto de catálogo. Incorporar la tabla Sales distorsionaría el análisis porque ponderaría los productos por el volumen de venta de cada cliente y mezclaría precios con niveles de descuento (Price Level) y devoluciones.</w:t>
      </w:r>
    </w:p>
    <w:p>
      <w:pPr>
        <w:spacing w:before="320" w:after="120"/>
      </w:pPr>
      <w:r>
        <w:rPr>
          <w:b/>
          <w:color w:val="1F4E79"/>
          <w:sz w:val="28"/>
        </w:rPr>
        <w:t>4. Metodología de Preprocesamiento e Ingeniería de Features</w:t>
      </w:r>
    </w:p>
    <w:p>
      <w:pPr>
        <w:spacing w:after="120" w:line="276" w:lineRule="auto"/>
      </w:pPr>
      <w:r>
        <w:rPr>
          <w:sz w:val="22"/>
        </w:rPr>
        <w:t>4.1 Depuración del Target: Se removieron comas y comillas de la columna Unit Cost (INR). Se eliminaron estrictamente las 2 observaciones con costo nulo (productos P0166 y P0119), dejando una población supervisada limpia de 251 observaciones. No se imputó el target.</w:t>
        <w:br/>
        <w:br/>
        <w:t>4.2 Parser Taxonómico en Tres Niveles: Se implementó un extractor regex que cubre el 100% de los productos:</w:t>
        <w:br/>
        <w:t xml:space="preserve">  - Nivel 1 (Métrico explícito): Extrae Width en mm, Rim en pulgadas y Aspect Ratio tras la barra divisoria (218 productos).</w:t>
        <w:br/>
        <w:t xml:space="preserve">  - Nivel 2 (Flotación en pulgadas, ej. 31 x 10.50 R 15): Convierte Width a mm (10.50 x 25.4 = 266.7 mm) y calcula geométricamente el perfil real según la altura de flanco H = (31 - 15) / 2 = 8 in, resultando en Aspect Ratio = (8 / 10.5) x 100 = 76,19% (11 productos).</w:t>
        <w:br/>
        <w:t xml:space="preserve">  - Nivel 3 (Sin ratio deducible): Comerciales ligeros tipo C (18 productos) y camión pesado (6 productos). El parser extrae Width y Rim, asignando estrictamente NaN en Aspect Ratio para evitar invenciones arbitrarias.</w:t>
        <w:br/>
        <w:br/>
        <w:t>4.3 Imputación sin Fuga de Datos: Primero se dividió el dataset en Train y Test. Luego se calculó la mediana de Aspect Ratio exclusivamente sobre Train (65,00%) y se imputó dicho valor escalar tanto en Train como en Test.</w:t>
        <w:br/>
        <w:br/>
        <w:t>4.4 One-Hot Encoding de Marca: Se codificó la variable Brand con pd.get_dummies fijando explícitamente a BRAND_A como categoría de referencia (omitida), alineando Test con reindex.</w:t>
      </w:r>
    </w:p>
    <w:p>
      <w:pPr>
        <w:spacing w:before="320" w:after="120"/>
      </w:pPr>
      <w:r>
        <w:rPr>
          <w:b/>
          <w:color w:val="1F4E79"/>
          <w:sz w:val="28"/>
        </w:rPr>
        <w:t>5. Partición del Dataset (Train / Test Split)</w:t>
      </w:r>
    </w:p>
    <w:p>
      <w:pPr>
        <w:spacing w:after="120" w:line="276" w:lineRule="auto"/>
      </w:pPr>
      <w:r>
        <w:rPr>
          <w:sz w:val="22"/>
        </w:rPr>
        <w:t>Se aplicó train_test_split(test_size=0.20, random_state=42). Con 251 observaciones discretas, la partición efectiva produjo exactamente:</w:t>
        <w:br/>
        <w:t>• Conjunto de Entrenamiento (Train): 200 observaciones (79,68%)</w:t>
        <w:br/>
        <w:t>• Conjunto de Prueba (Test): 51 observaciones (20,32%)</w:t>
        <w:br/>
        <w:br/>
        <w:t>La semilla random_state=42 asegura la perfecta reproducibilidad de todos los cálculos. Se mantuvo el enfoque sin estandarización afín (sin StandardScaler) para preservar la lectura directa de los coeficientes en INR, siguiendo la pauta pedagógica del Colab de la cátedra.</w:t>
      </w:r>
    </w:p>
    <w:p>
      <w:pPr>
        <w:spacing w:before="320" w:after="120"/>
      </w:pPr>
      <w:r>
        <w:rPr>
          <w:b/>
          <w:color w:val="1F4E79"/>
          <w:sz w:val="28"/>
        </w:rPr>
        <w:t>6. Modelos Entrenados y Parámetros Obtenidos</w:t>
      </w:r>
    </w:p>
    <w:p>
      <w:pPr>
        <w:spacing w:after="120" w:line="276" w:lineRule="auto"/>
      </w:pPr>
      <w:r>
        <w:rPr>
          <w:sz w:val="22"/>
        </w:rPr>
        <w:t>6.1 Modelo Simple (Baseline):</w:t>
        <w:br/>
        <w:t>Ecuación: Costo = -22.783,89 + 1.957,17 · Rim</w:t>
        <w:br/>
        <w:t>Interpretación: Por cada pulgada adicional de rin, el costo promedio estimado sube en casi 2.000 INR.</w:t>
        <w:br/>
        <w:br/>
        <w:t>6.2 Modelo Múltiple (Integrador):</w:t>
        <w:br/>
        <w:t>Ecuación: Costo = -34.926,44 + 1.498,42 · Rim + 24,09 · Width + 223,70 · Ratio + 468,73 · B_B - 1.070,51 · B_C + 4.821,93 · B_D</w:t>
        <w:br/>
        <w:t>Interpretación: Manteniendo constantes las dimensiones físicas, BRAND_C cuesta en promedio 1.070,51 INR menos que BRAND_A (marca económica), mientras que BRAND_D exhibe una prima positiva de 4.821,93 INR (gama industrial/pesada).</w:t>
      </w:r>
    </w:p>
    <w:p>
      <w:pPr>
        <w:spacing w:before="320" w:after="120"/>
      </w:pPr>
      <w:r>
        <w:rPr>
          <w:b/>
          <w:color w:val="1F4E79"/>
          <w:sz w:val="28"/>
        </w:rPr>
        <w:t>7. Evaluación de Desempeño sobre Datos de Prueba</w:t>
      </w:r>
    </w:p>
    <w:p>
      <w:pPr>
        <w:spacing w:after="120" w:line="276" w:lineRule="auto"/>
      </w:pPr>
      <w:r>
        <w:rPr>
          <w:sz w:val="22"/>
        </w:rPr>
        <w:t>A continuación se detallan las métricas oficiales evaluadas sobre las 51 observaciones de prueba (Test):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E79"/>
          </w:tcPr>
          <w:p>
            <w:pPr>
              <w:jc w:val="center"/>
            </w:pPr>
            <w:r>
              <w:rPr>
                <w:b/>
                <w:color w:val="FFFFFF"/>
                <w:sz w:val="20"/>
              </w:rPr>
              <w:t>Modelo</w:t>
            </w:r>
          </w:p>
        </w:tc>
        <w:tc>
          <w:tcPr>
            <w:tcW w:type="dxa" w:w="1872"/>
            <w:shd w:fill="1F4E79"/>
          </w:tcPr>
          <w:p>
            <w:pPr>
              <w:jc w:val="center"/>
            </w:pPr>
            <w:r>
              <w:rPr>
                <w:b/>
                <w:color w:val="FFFFFF"/>
                <w:sz w:val="20"/>
              </w:rPr>
              <w:t>MAE (INR)</w:t>
            </w:r>
          </w:p>
        </w:tc>
        <w:tc>
          <w:tcPr>
            <w:tcW w:type="dxa" w:w="1872"/>
            <w:shd w:fill="1F4E79"/>
          </w:tcPr>
          <w:p>
            <w:pPr>
              <w:jc w:val="center"/>
            </w:pPr>
            <w:r>
              <w:rPr>
                <w:b/>
                <w:color w:val="FFFFFF"/>
                <w:sz w:val="20"/>
              </w:rPr>
              <w:t>MSE</w:t>
            </w:r>
          </w:p>
        </w:tc>
        <w:tc>
          <w:tcPr>
            <w:tcW w:type="dxa" w:w="1872"/>
            <w:shd w:fill="1F4E79"/>
          </w:tcPr>
          <w:p>
            <w:pPr>
              <w:jc w:val="center"/>
            </w:pPr>
            <w:r>
              <w:rPr>
                <w:b/>
                <w:color w:val="FFFFFF"/>
                <w:sz w:val="20"/>
              </w:rPr>
              <w:t>RMSE (INR)</w:t>
            </w:r>
          </w:p>
        </w:tc>
        <w:tc>
          <w:tcPr>
            <w:tcW w:type="dxa" w:w="1872"/>
            <w:shd w:fill="1F4E79"/>
          </w:tcPr>
          <w:p>
            <w:pPr>
              <w:jc w:val="center"/>
            </w:pPr>
            <w:r>
              <w:rPr>
                <w:b/>
                <w:color w:val="FFFFFF"/>
                <w:sz w:val="20"/>
              </w:rPr>
              <w:t>R²</w:t>
            </w:r>
          </w:p>
        </w:tc>
      </w:tr>
      <w:tr>
        <w:tc>
          <w:tcPr>
            <w:tcW w:type="dxa" w:w="1872"/>
            <w:shd w:fill="F2F2F2"/>
          </w:tcPr>
          <w:p>
            <w:pPr>
              <w:jc w:val="left"/>
            </w:pPr>
            <w:r>
              <w:rPr>
                <w:sz w:val="19"/>
              </w:rPr>
              <w:t>Regresión Lineal Simple (Rim)</w:t>
            </w:r>
          </w:p>
        </w:tc>
        <w:tc>
          <w:tcPr>
            <w:tcW w:type="dxa" w:w="1872"/>
            <w:shd w:fill="F2F2F2"/>
          </w:tcPr>
          <w:p>
            <w:pPr>
              <w:jc w:val="right"/>
            </w:pPr>
            <w:r>
              <w:rPr>
                <w:sz w:val="19"/>
              </w:rPr>
              <w:t>2.795,00</w:t>
            </w:r>
          </w:p>
        </w:tc>
        <w:tc>
          <w:tcPr>
            <w:tcW w:type="dxa" w:w="1872"/>
            <w:shd w:fill="F2F2F2"/>
          </w:tcPr>
          <w:p>
            <w:pPr>
              <w:jc w:val="right"/>
            </w:pPr>
            <w:r>
              <w:rPr>
                <w:sz w:val="19"/>
              </w:rPr>
              <w:t>14.651.537,71</w:t>
            </w:r>
          </w:p>
        </w:tc>
        <w:tc>
          <w:tcPr>
            <w:tcW w:type="dxa" w:w="1872"/>
            <w:shd w:fill="F2F2F2"/>
          </w:tcPr>
          <w:p>
            <w:pPr>
              <w:jc w:val="right"/>
            </w:pPr>
            <w:r>
              <w:rPr>
                <w:sz w:val="19"/>
              </w:rPr>
              <w:t>3.827,73</w:t>
            </w:r>
          </w:p>
        </w:tc>
        <w:tc>
          <w:tcPr>
            <w:tcW w:type="dxa" w:w="1872"/>
            <w:shd w:fill="F2F2F2"/>
          </w:tcPr>
          <w:p>
            <w:pPr>
              <w:jc w:val="right"/>
            </w:pPr>
            <w:r>
              <w:rPr>
                <w:sz w:val="19"/>
              </w:rPr>
              <w:t>0,5421</w:t>
            </w:r>
          </w:p>
        </w:tc>
      </w:tr>
      <w:tr>
        <w:tc>
          <w:tcPr>
            <w:tcW w:type="dxa" w:w="1872"/>
          </w:tcPr>
          <w:p>
            <w:pPr>
              <w:jc w:val="left"/>
            </w:pPr>
            <w:r>
              <w:rPr>
                <w:sz w:val="19"/>
              </w:rPr>
              <w:t>Regresión Lineal Múltiple (Specs + Brand)</w:t>
            </w:r>
          </w:p>
        </w:tc>
        <w:tc>
          <w:tcPr>
            <w:tcW w:type="dxa" w:w="1872"/>
          </w:tcPr>
          <w:p>
            <w:pPr>
              <w:jc w:val="right"/>
            </w:pPr>
            <w:r>
              <w:rPr>
                <w:sz w:val="19"/>
              </w:rPr>
              <w:t>1.678,60</w:t>
            </w:r>
          </w:p>
        </w:tc>
        <w:tc>
          <w:tcPr>
            <w:tcW w:type="dxa" w:w="1872"/>
          </w:tcPr>
          <w:p>
            <w:pPr>
              <w:jc w:val="right"/>
            </w:pPr>
            <w:r>
              <w:rPr>
                <w:sz w:val="19"/>
              </w:rPr>
              <w:t>6.499.975,49</w:t>
            </w:r>
          </w:p>
        </w:tc>
        <w:tc>
          <w:tcPr>
            <w:tcW w:type="dxa" w:w="1872"/>
          </w:tcPr>
          <w:p>
            <w:pPr>
              <w:jc w:val="right"/>
            </w:pPr>
            <w:r>
              <w:rPr>
                <w:sz w:val="19"/>
              </w:rPr>
              <w:t>2.549,50</w:t>
            </w:r>
          </w:p>
        </w:tc>
        <w:tc>
          <w:tcPr>
            <w:tcW w:type="dxa" w:w="1872"/>
          </w:tcPr>
          <w:p>
            <w:pPr>
              <w:jc w:val="right"/>
            </w:pPr>
            <w:r>
              <w:rPr>
                <w:b/>
                <w:color w:val="006600"/>
                <w:sz w:val="19"/>
              </w:rPr>
              <w:t>0,7968</w:t>
            </w:r>
          </w:p>
        </w:tc>
      </w:tr>
    </w:tbl>
    <w:p/>
    <w:p>
      <w:pPr>
        <w:spacing w:before="320" w:after="120"/>
      </w:pPr>
      <w:r>
        <w:rPr>
          <w:b/>
          <w:color w:val="1F4E79"/>
          <w:sz w:val="28"/>
        </w:rPr>
        <w:t>8. Diagnóstico de Generalización y Gráficos</w:t>
      </w:r>
    </w:p>
    <w:p>
      <w:pPr>
        <w:spacing w:after="120" w:line="276" w:lineRule="auto"/>
      </w:pPr>
      <w:r>
        <w:rPr>
          <w:sz w:val="22"/>
        </w:rPr>
        <w:t>• Comparación Train vs. Test:</w:t>
        <w:br/>
        <w:t xml:space="preserve">  - Train: R² = 0,8966 | RMSE = 1.832,23 INR</w:t>
        <w:br/>
        <w:t xml:space="preserve">  - Test:  R² = 0,7968 | RMSE = 2.549,50 INR</w:t>
        <w:br/>
        <w:t>Diagnóstico: La proximidad de métricas entre Train y Test descarta la presencia de sobreajuste severo (overfitting) y corrobora una capacidad de generalización sólida sobre muestras independientes.</w:t>
      </w:r>
    </w:p>
    <w:p/>
    <w:p>
      <w:pPr>
        <w:jc w:val="center"/>
      </w:pPr>
    </w:p>
    <w:p>
      <w:r>
        <w:drawing>
          <wp:inline xmlns:a="http://schemas.openxmlformats.org/drawingml/2006/main" xmlns:pic="http://schemas.openxmlformats.org/drawingml/2006/picture">
            <wp:extent cx="5669280" cy="1574800"/>
            <wp:docPr id="1" name="Picture 1"/>
            <wp:cNvGraphicFramePr>
              <a:graphicFrameLocks noChangeAspect="1"/>
            </wp:cNvGraphicFramePr>
            <a:graphic>
              <a:graphicData uri="http://schemas.openxmlformats.org/drawingml/2006/picture">
                <pic:pic>
                  <pic:nvPicPr>
                    <pic:cNvPr id="0" name="diagnostico_regresion.png"/>
                    <pic:cNvPicPr/>
                  </pic:nvPicPr>
                  <pic:blipFill>
                    <a:blip r:embed="rId9"/>
                    <a:stretch>
                      <a:fillRect/>
                    </a:stretch>
                  </pic:blipFill>
                  <pic:spPr>
                    <a:xfrm>
                      <a:off x="0" y="0"/>
                      <a:ext cx="5669280" cy="1574800"/>
                    </a:xfrm>
                    <a:prstGeom prst="rect"/>
                  </pic:spPr>
                </pic:pic>
              </a:graphicData>
            </a:graphic>
          </wp:inline>
        </w:drawing>
      </w:r>
    </w:p>
    <w:p>
      <w:pPr>
        <w:jc w:val="center"/>
      </w:pPr>
      <w:r>
        <w:rPr>
          <w:i/>
          <w:sz w:val="19"/>
        </w:rPr>
        <w:t>Figura 1: Diagnóstico Visual del Modelado (Recta Simple, Real vs. Predicho y Residuos).</w:t>
      </w:r>
    </w:p>
    <w:p/>
    <w:p>
      <w:pPr>
        <w:spacing w:before="320" w:after="120"/>
      </w:pPr>
      <w:r>
        <w:rPr>
          <w:b/>
          <w:color w:val="1F4E79"/>
          <w:sz w:val="28"/>
        </w:rPr>
        <w:t>9. Conclusiones y Respuestas a las Preguntas Guía</w:t>
      </w:r>
    </w:p>
    <w:p>
      <w:pPr>
        <w:spacing w:after="120" w:line="276" w:lineRule="auto"/>
      </w:pPr>
      <w:r>
        <w:rPr>
          <w:sz w:val="22"/>
        </w:rPr>
        <w:t>1. ¿Qué variable predecimos? El costo unitario (Unit Cost en INR) de cada neumático.</w:t>
        <w:br/>
        <w:t>2. ¿Qué variables ayudan a explicarla? El diámetro del rin (Rim), el ancho (Width), la relación de aspecto (Aspect Ratio) y la marca (Brand).</w:t>
        <w:br/>
        <w:t>3. ¿Qué tan bien funciona el baseline? Explica por sí solo el 54,21% de la varianza, pero deja un error promedio alto (2.795 INR).</w:t>
        <w:br/>
        <w:t>4. ¿Qué ocurre al incorporar Width, Ratio y Brand? El R² se eleva a casi el 80% (0,7968) y el error MAE se reduce en un 40%.</w:t>
        <w:br/>
        <w:t>5. ¿Cómo cambia el MAE? Disminuye drásticamente de 2.795,00 INR a 1.678,60 INR.</w:t>
        <w:br/>
        <w:t>6. ¿Cómo cambia el RMSE? Desciende de 3.827,73 INR a 2.549,50 INR, mitigando errores grandes.</w:t>
        <w:br/>
        <w:t>7. ¿Cómo cambia el R²? Se incrementa en casi 25 puntos porcentuales netos (de 0,5421 a 0,7968).</w:t>
        <w:br/>
        <w:t>8. ¿Existen indicios de errores sistemáticos? No en la masa general de productos; se aprecia mayor dispersión residual únicamente en los neumáticos de alta gama (más de 25.000 INR).</w:t>
        <w:br/>
        <w:t>9. ¿El modelo generaliza razonablemente a Test? Sí, los resultados en prueba replican coherentemente el nivel de acierto de entrenamiento.</w:t>
        <w:br/>
        <w:t>10. ¿Qué limitaciones quedan para la siguiente entrega? La linealidad estricta no modela interacciones no lineales ni asimetrías de cola.</w:t>
      </w:r>
    </w:p>
    <w:p>
      <w:pPr>
        <w:spacing w:before="320" w:after="120"/>
      </w:pPr>
      <w:r>
        <w:rPr>
          <w:b/>
          <w:color w:val="1F4E79"/>
          <w:sz w:val="28"/>
        </w:rPr>
        <w:t>10. Roadmap hacia la Evidencia N.º 3 (Trabajo Futuro)</w:t>
      </w:r>
    </w:p>
    <w:p>
      <w:pPr>
        <w:spacing w:after="120" w:line="276" w:lineRule="auto"/>
      </w:pPr>
      <w:r>
        <w:rPr>
          <w:sz w:val="22"/>
        </w:rPr>
        <w:t>En concordancia con los lineamientos docentes, las etapas de optimización y ajuste fino quedan reservadas para la Tercera Evidencia:</w:t>
        <w:br/>
        <w:t>• Transformación Logarítmica: Evaluación de ln(Unit Cost) para corregir la heterocedasticidad en productos de precio elevado.</w:t>
        <w:br/>
        <w:t>• Regularización Lineal: Modelos Ridge (L2) y Lasso (L1) para controlar la colinealidad geométrica entre ancho y rin.</w:t>
        <w:br/>
        <w:t>• Modelos de Ensamble: Implementación de Random Forest Regressor y Gradient Boosting para capturar interacciones no lineales complejas.</w:t>
        <w:br/>
        <w:t>• Búsqueda Sistemática de Hiperparámetros: Optimización mediante GridSearchCV.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