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both"/>
      </w:pPr>
      <w:r>
        <w:rPr>
          <w:rFonts w:ascii="Calibri" w:hAnsi="Calibri"/>
          <w:color w:val="00A8E3"/>
          <w:sz w:val="30"/>
        </w:rPr>
        <w:t>TECNICATURA SUPERIOR EN</w:t>
      </w:r>
    </w:p>
    <w:p>
      <w:pPr>
        <w:spacing w:before="0" w:after="400"/>
        <w:jc w:val="both"/>
      </w:pPr>
      <w:r>
        <w:rPr>
          <w:rFonts w:ascii="Calibri" w:hAnsi="Calibri"/>
          <w:b/>
          <w:color w:val="00A8E3"/>
          <w:sz w:val="30"/>
        </w:rPr>
        <w:t>Desarrollo de Software</w:t>
      </w:r>
    </w:p>
    <w:p>
      <w:pPr>
        <w:spacing w:before="480" w:after="80"/>
      </w:pPr>
      <w:r>
        <w:rPr>
          <w:rFonts w:ascii="Calibri" w:hAnsi="Calibri"/>
          <w:color w:val="00A8E3"/>
          <w:sz w:val="38"/>
        </w:rPr>
        <w:t>Espacio curricular</w:t>
      </w:r>
    </w:p>
    <w:p>
      <w:pPr>
        <w:spacing w:before="0" w:after="480"/>
      </w:pPr>
      <w:r>
        <w:rPr>
          <w:rFonts w:ascii="Calibri" w:hAnsi="Calibri"/>
          <w:b/>
          <w:color w:val="00A8E3"/>
          <w:sz w:val="48"/>
        </w:rPr>
        <w:t>Desarrollo de Inteligencia Artificial</w:t>
      </w:r>
    </w:p>
    <w:p>
      <w:pPr>
        <w:spacing w:before="240" w:after="40"/>
      </w:pPr>
      <w:r>
        <w:rPr>
          <w:rFonts w:ascii="Calibri" w:hAnsi="Calibri"/>
          <w:color w:val="00A8E3"/>
          <w:sz w:val="38"/>
        </w:rPr>
        <w:t>Docente</w:t>
      </w:r>
    </w:p>
    <w:p>
      <w:pPr>
        <w:spacing w:before="0" w:after="480"/>
      </w:pPr>
      <w:r>
        <w:rPr>
          <w:rFonts w:ascii="Calibri" w:hAnsi="Calibri"/>
          <w:b/>
          <w:color w:val="00A8E3"/>
          <w:sz w:val="38"/>
        </w:rPr>
        <w:t>Cra. Sol Figueroa</w:t>
      </w:r>
    </w:p>
    <w:p>
      <w:pPr>
        <w:spacing w:before="240" w:after="80"/>
      </w:pPr>
      <w:r>
        <w:rPr>
          <w:rFonts w:ascii="Calibri" w:hAnsi="Calibri"/>
          <w:color w:val="00A8E3"/>
          <w:sz w:val="38"/>
        </w:rPr>
        <w:t>Estudiantes</w:t>
      </w:r>
    </w:p>
    <w:p>
      <w:pPr>
        <w:spacing w:before="0" w:after="40"/>
      </w:pPr>
      <w:r>
        <w:rPr>
          <w:rFonts w:ascii="Calibri" w:hAnsi="Calibri"/>
          <w:b/>
          <w:color w:val="00A8E3"/>
          <w:sz w:val="30"/>
        </w:rPr>
        <w:t>Vargas, Cristian</w:t>
      </w:r>
    </w:p>
    <w:p>
      <w:pPr>
        <w:spacing w:before="0" w:after="40"/>
      </w:pPr>
      <w:r>
        <w:rPr>
          <w:rFonts w:ascii="Calibri" w:hAnsi="Calibri"/>
          <w:b/>
          <w:color w:val="00A8E3"/>
          <w:sz w:val="30"/>
        </w:rPr>
        <w:t>Quinteros, Karina</w:t>
      </w:r>
    </w:p>
    <w:p>
      <w:pPr>
        <w:spacing w:before="0" w:after="40"/>
      </w:pPr>
      <w:r>
        <w:rPr>
          <w:rFonts w:ascii="Calibri" w:hAnsi="Calibri"/>
          <w:b/>
          <w:color w:val="00A8E3"/>
          <w:sz w:val="30"/>
        </w:rPr>
        <w:t>Zárate, Laura</w:t>
      </w:r>
    </w:p>
    <w:p>
      <w:pPr>
        <w:spacing w:before="800" w:after="0"/>
      </w:pPr>
      <w:r>
        <w:rPr>
          <w:rFonts w:ascii="Calibri" w:hAnsi="Calibri"/>
          <w:b/>
          <w:color w:val="00A8E3"/>
          <w:sz w:val="38"/>
        </w:rPr>
        <w:t>Año 2026</w:t>
      </w:r>
    </w:p>
    <w:p>
      <w:r>
        <w:br w:type="page"/>
      </w:r>
    </w:p>
    <w:p>
      <w:pPr>
        <w:spacing w:before="240" w:after="80"/>
      </w:pPr>
      <w:r>
        <w:rPr>
          <w:rFonts w:ascii="Calibri" w:hAnsi="Calibri"/>
          <w:b/>
          <w:color w:val="1E3A8A"/>
          <w:sz w:val="44"/>
        </w:rPr>
        <w:t>EVIDENCIA DE APRENDIZAJE N.º 2</w:t>
      </w:r>
    </w:p>
    <w:p>
      <w:pPr>
        <w:spacing w:before="0" w:after="320"/>
      </w:pPr>
      <w:r>
        <w:rPr>
          <w:rFonts w:ascii="Calibri" w:hAnsi="Calibri"/>
          <w:color w:val="2563EB"/>
          <w:sz w:val="28"/>
        </w:rPr>
        <w:t>Modelado Predictivo de Costo Unitario mediante Regresión Lineal Simple y Múltiple</w:t>
      </w:r>
    </w:p>
    <w:p>
      <w:pPr>
        <w:spacing w:before="360" w:after="20"/>
      </w:pPr>
      <w:r>
        <w:rPr>
          <w:rFonts w:ascii="Calibri" w:hAnsi="Calibri"/>
          <w:b/>
          <w:color w:val="2563EB"/>
          <w:sz w:val="22"/>
        </w:rPr>
        <w:t>FASE 1</w:t>
      </w:r>
    </w:p>
    <w:p>
      <w:pPr>
        <w:spacing w:before="0" w:after="160"/>
      </w:pPr>
      <w:r>
        <w:rPr>
          <w:rFonts w:ascii="Calibri" w:hAnsi="Calibri"/>
          <w:b/>
          <w:color w:val="1E3A8A"/>
          <w:sz w:val="30"/>
        </w:rPr>
        <w:t>Conexión con el EDA y Formulación del Problema</w:t>
      </w:r>
    </w:p>
    <w:p>
      <w:pPr>
        <w:spacing w:before="0" w:after="120" w:line="276" w:lineRule="auto"/>
      </w:pPr>
      <w:r>
        <w:rPr>
          <w:rFonts w:ascii="Calibri" w:hAnsi="Calibri"/>
          <w:color w:val="1A1A2E"/>
          <w:sz w:val="21"/>
        </w:rPr>
        <w:t>En la Evidencia N.º 1, el equipo concluyó que el catálogo de neumáticos presenta una estructura dimensional directamente correlacionada con su estructura de valor. El diámetro del rin (Rim) exhibió la correlación lineal individual más alta (r = 0,76) con el costo unitario, seguido del ancho de sección (Width, r = 0,44). Por su parte, la marca (Brand) evidenció diferencias notorias de precio según el segmento del fabricante. Para esta Evidencia N.º 2, se formula formalmente el problema de Aprendizaje Supervisado bajo el paradigma de Regresión Lineal:</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eef2fb"/>
            <w:tcMar>
              <w:top w:w="120" w:type="dxa"/>
              <w:bottom w:w="120" w:type="dxa"/>
              <w:left w:w="140" w:type="dxa"/>
              <w:right w:w="140" w:type="dxa"/>
            </w:tcMar>
          </w:tcPr>
          <w:p>
            <w:pPr>
              <w:spacing w:after="0"/>
            </w:pPr>
            <w:r>
              <w:rPr>
                <w:rFonts w:ascii="Calibri" w:hAnsi="Calibri"/>
                <w:b/>
                <w:color w:val="1E3A8A"/>
                <w:sz w:val="20"/>
              </w:rPr>
              <w:t>Dataset Seleccionado</w:t>
            </w:r>
          </w:p>
        </w:tc>
        <w:tc>
          <w:tcPr>
            <w:tcW w:type="dxa" w:w="2340"/>
            <w:shd w:fill="eef2fb"/>
            <w:tcMar>
              <w:top w:w="120" w:type="dxa"/>
              <w:bottom w:w="120" w:type="dxa"/>
              <w:left w:w="140" w:type="dxa"/>
              <w:right w:w="140" w:type="dxa"/>
            </w:tcMar>
          </w:tcPr>
          <w:p>
            <w:pPr>
              <w:spacing w:after="0"/>
            </w:pPr>
            <w:r>
              <w:rPr>
                <w:rFonts w:ascii="Calibri" w:hAnsi="Calibri"/>
                <w:b/>
                <w:color w:val="1E3A8A"/>
                <w:sz w:val="20"/>
              </w:rPr>
              <w:t>Variable Target</w:t>
            </w:r>
          </w:p>
        </w:tc>
        <w:tc>
          <w:tcPr>
            <w:tcW w:type="dxa" w:w="2340"/>
            <w:shd w:fill="eef2fb"/>
            <w:tcMar>
              <w:top w:w="120" w:type="dxa"/>
              <w:bottom w:w="120" w:type="dxa"/>
              <w:left w:w="140" w:type="dxa"/>
              <w:right w:w="140" w:type="dxa"/>
            </w:tcMar>
          </w:tcPr>
          <w:p>
            <w:pPr>
              <w:spacing w:after="0"/>
            </w:pPr>
            <w:r>
              <w:rPr>
                <w:rFonts w:ascii="Calibri" w:hAnsi="Calibri"/>
                <w:b/>
                <w:color w:val="1E3A8A"/>
                <w:sz w:val="20"/>
              </w:rPr>
              <w:t>Variables Predictoras</w:t>
            </w:r>
          </w:p>
        </w:tc>
        <w:tc>
          <w:tcPr>
            <w:tcW w:type="dxa" w:w="2340"/>
            <w:shd w:fill="eef2fb"/>
            <w:tcMar>
              <w:top w:w="120" w:type="dxa"/>
              <w:bottom w:w="120" w:type="dxa"/>
              <w:left w:w="140" w:type="dxa"/>
              <w:right w:w="140" w:type="dxa"/>
            </w:tcMar>
          </w:tcPr>
          <w:p>
            <w:pPr>
              <w:spacing w:after="0"/>
            </w:pPr>
            <w:r>
              <w:rPr>
                <w:rFonts w:ascii="Calibri" w:hAnsi="Calibri"/>
                <w:b/>
                <w:color w:val="1E3A8A"/>
                <w:sz w:val="20"/>
              </w:rPr>
              <w:t>Propósito del Modelo</w:t>
            </w:r>
          </w:p>
        </w:tc>
      </w:tr>
      <w:tr>
        <w:tc>
          <w:tcPr>
            <w:tcW w:type="dxa" w:w="2340"/>
            <w:tcMar>
              <w:top w:w="120" w:type="dxa"/>
              <w:bottom w:w="120" w:type="dxa"/>
              <w:left w:w="140" w:type="dxa"/>
              <w:right w:w="140" w:type="dxa"/>
            </w:tcMar>
          </w:tcPr>
          <w:p>
            <w:pPr>
              <w:spacing w:after="0"/>
            </w:pPr>
            <w:r>
              <w:rPr>
                <w:rFonts w:ascii="Calibri" w:hAnsi="Calibri"/>
                <w:sz w:val="19"/>
              </w:rPr>
              <w:t>DS_Data_Set_Current_Stock.csv</w:t>
            </w:r>
          </w:p>
        </w:tc>
        <w:tc>
          <w:tcPr>
            <w:tcW w:type="dxa" w:w="2340"/>
            <w:tcMar>
              <w:top w:w="120" w:type="dxa"/>
              <w:bottom w:w="120" w:type="dxa"/>
              <w:left w:w="140" w:type="dxa"/>
              <w:right w:w="140" w:type="dxa"/>
            </w:tcMar>
          </w:tcPr>
          <w:p>
            <w:pPr>
              <w:spacing w:after="0"/>
            </w:pPr>
            <w:r>
              <w:rPr>
                <w:rFonts w:ascii="Calibri" w:hAnsi="Calibri"/>
                <w:sz w:val="19"/>
              </w:rPr>
              <w:t>Unit Cost (INR)</w:t>
              <w:br/>
              <w:t>(Continuo, Escala de Razón)</w:t>
            </w:r>
          </w:p>
        </w:tc>
        <w:tc>
          <w:tcPr>
            <w:tcW w:type="dxa" w:w="2340"/>
            <w:tcMar>
              <w:top w:w="120" w:type="dxa"/>
              <w:bottom w:w="120" w:type="dxa"/>
              <w:left w:w="140" w:type="dxa"/>
              <w:right w:w="140" w:type="dxa"/>
            </w:tcMar>
          </w:tcPr>
          <w:p>
            <w:pPr>
              <w:spacing w:after="0"/>
            </w:pPr>
            <w:r>
              <w:rPr>
                <w:rFonts w:ascii="Calibri" w:hAnsi="Calibri"/>
                <w:sz w:val="19"/>
              </w:rPr>
              <w:t>Rim, Width, Aspect Ratio y Brand</w:t>
            </w:r>
          </w:p>
        </w:tc>
        <w:tc>
          <w:tcPr>
            <w:tcW w:type="dxa" w:w="2340"/>
            <w:tcMar>
              <w:top w:w="120" w:type="dxa"/>
              <w:bottom w:w="120" w:type="dxa"/>
              <w:left w:w="140" w:type="dxa"/>
              <w:right w:w="140" w:type="dxa"/>
            </w:tcMar>
          </w:tcPr>
          <w:p>
            <w:pPr>
              <w:spacing w:after="0"/>
            </w:pPr>
            <w:r>
              <w:rPr>
                <w:rFonts w:ascii="Calibri" w:hAnsi="Calibri"/>
                <w:sz w:val="19"/>
              </w:rPr>
              <w:t>Predecir el costo unitario del neumático a partir de sus cotas físicas y fabricante</w:t>
            </w:r>
          </w:p>
        </w:tc>
      </w:tr>
      <w:tr>
        <w:tc>
          <w:tcPr>
            <w:tcW w:type="dxa" w:w="2340"/>
            <w:tcMar>
              <w:top w:w="120" w:type="dxa"/>
              <w:bottom w:w="120" w:type="dxa"/>
              <w:left w:w="140" w:type="dxa"/>
              <w:right w:w="140" w:type="dxa"/>
            </w:tcMar>
          </w:tcPr>
          <w:p>
            <w:pPr>
              <w:spacing w:after="0"/>
            </w:pPr>
            <w:r>
              <w:rPr>
                <w:rFonts w:ascii="Calibri" w:hAnsi="Calibri"/>
                <w:sz w:val="19"/>
              </w:rPr>
              <w:t>Justificación de Grano</w:t>
            </w:r>
          </w:p>
        </w:tc>
        <w:tc>
          <w:tcPr>
            <w:tcW w:type="dxa" w:w="2340"/>
            <w:tcMar>
              <w:top w:w="120" w:type="dxa"/>
              <w:bottom w:w="120" w:type="dxa"/>
              <w:left w:w="140" w:type="dxa"/>
              <w:right w:w="140" w:type="dxa"/>
            </w:tcMar>
          </w:tcPr>
          <w:p>
            <w:pPr>
              <w:spacing w:after="0"/>
            </w:pPr>
            <w:r>
              <w:rPr>
                <w:rFonts w:ascii="Calibri" w:hAnsi="Calibri"/>
                <w:sz w:val="19"/>
              </w:rPr>
              <w:t>1 producto físico (SKU)</w:t>
            </w:r>
          </w:p>
        </w:tc>
        <w:tc>
          <w:tcPr>
            <w:tcW w:type="dxa" w:w="2340"/>
            <w:tcMar>
              <w:top w:w="120" w:type="dxa"/>
              <w:bottom w:w="120" w:type="dxa"/>
              <w:left w:w="140" w:type="dxa"/>
              <w:right w:w="140" w:type="dxa"/>
            </w:tcMar>
          </w:tcPr>
          <w:p>
            <w:pPr>
              <w:spacing w:after="0"/>
            </w:pPr>
            <w:r>
              <w:rPr>
                <w:rFonts w:ascii="Calibri" w:hAnsi="Calibri"/>
                <w:sz w:val="19"/>
              </w:rPr>
              <w:t>Foto estática de inventario</w:t>
            </w:r>
          </w:p>
        </w:tc>
        <w:tc>
          <w:tcPr>
            <w:tcW w:type="dxa" w:w="2340"/>
            <w:tcMar>
              <w:top w:w="120" w:type="dxa"/>
              <w:bottom w:w="120" w:type="dxa"/>
              <w:left w:w="140" w:type="dxa"/>
              <w:right w:w="140" w:type="dxa"/>
            </w:tcMar>
          </w:tcPr>
          <w:p>
            <w:pPr>
              <w:spacing w:after="0"/>
            </w:pPr>
            <w:r>
              <w:rPr>
                <w:rFonts w:ascii="Calibri" w:hAnsi="Calibri"/>
                <w:sz w:val="19"/>
              </w:rPr>
              <w:t>Evita distorsionar el costo de fabricación con volumen transaccional de Sales</w:t>
            </w:r>
          </w:p>
        </w:tc>
      </w:tr>
      <w:tr>
        <w:tc>
          <w:tcPr>
            <w:tcW w:type="dxa" w:w="2340"/>
            <w:tcMar>
              <w:top w:w="120" w:type="dxa"/>
              <w:bottom w:w="120" w:type="dxa"/>
              <w:left w:w="140" w:type="dxa"/>
              <w:right w:w="140" w:type="dxa"/>
            </w:tcMar>
          </w:tcPr>
          <w:p>
            <w:pPr>
              <w:spacing w:after="0"/>
            </w:pPr>
            <w:r>
              <w:rPr>
                <w:rFonts w:ascii="Calibri" w:hAnsi="Calibri"/>
                <w:sz w:val="19"/>
              </w:rPr>
              <w:t>Muestra Supervisada</w:t>
            </w:r>
          </w:p>
        </w:tc>
        <w:tc>
          <w:tcPr>
            <w:tcW w:type="dxa" w:w="2340"/>
            <w:tcMar>
              <w:top w:w="120" w:type="dxa"/>
              <w:bottom w:w="120" w:type="dxa"/>
              <w:left w:w="140" w:type="dxa"/>
              <w:right w:w="140" w:type="dxa"/>
            </w:tcMar>
          </w:tcPr>
          <w:p>
            <w:pPr>
              <w:spacing w:after="0"/>
            </w:pPr>
            <w:r>
              <w:rPr>
                <w:rFonts w:ascii="Calibri" w:hAnsi="Calibri"/>
                <w:sz w:val="19"/>
              </w:rPr>
              <w:t>251 productos limpios</w:t>
            </w:r>
          </w:p>
        </w:tc>
        <w:tc>
          <w:tcPr>
            <w:tcW w:type="dxa" w:w="2340"/>
            <w:tcMar>
              <w:top w:w="120" w:type="dxa"/>
              <w:bottom w:w="120" w:type="dxa"/>
              <w:left w:w="140" w:type="dxa"/>
              <w:right w:w="140" w:type="dxa"/>
            </w:tcMar>
          </w:tcPr>
          <w:p>
            <w:pPr>
              <w:spacing w:after="0"/>
            </w:pPr>
            <w:r>
              <w:rPr>
                <w:rFonts w:ascii="Calibri" w:hAnsi="Calibri"/>
                <w:sz w:val="19"/>
              </w:rPr>
              <w:t>2 nulos descartados</w:t>
            </w:r>
          </w:p>
        </w:tc>
        <w:tc>
          <w:tcPr>
            <w:tcW w:type="dxa" w:w="2340"/>
            <w:tcMar>
              <w:top w:w="120" w:type="dxa"/>
              <w:bottom w:w="120" w:type="dxa"/>
              <w:left w:w="140" w:type="dxa"/>
              <w:right w:w="140" w:type="dxa"/>
            </w:tcMar>
          </w:tcPr>
          <w:p>
            <w:pPr>
              <w:spacing w:after="0"/>
            </w:pPr>
            <w:r>
              <w:rPr>
                <w:rFonts w:ascii="Calibri" w:hAnsi="Calibri"/>
                <w:sz w:val="19"/>
              </w:rPr>
              <w:t>Sin data leakage (Train 80% [200] / Test 20% [51])</w:t>
            </w:r>
          </w:p>
        </w:tc>
      </w:tr>
    </w:tbl>
    <w:p>
      <w:pPr>
        <w:spacing w:after="120"/>
      </w:pPr>
    </w:p>
    <w:tbl>
      <w:tblPr>
        <w:tblW w:type="auto" w:w="0"/>
        <w:jc w:val="center"/>
        <w:tblLook w:firstColumn="1" w:firstRow="1" w:lastColumn="0" w:lastRow="0" w:noHBand="0" w:noVBand="1" w:val="04A0"/>
      </w:tblPr>
      <w:tblGrid>
        <w:gridCol w:w="9360"/>
      </w:tblGrid>
      <w:tr>
        <w:tc>
          <w:tcPr>
            <w:tcW w:type="dxa" w:w="9360"/>
            <w:shd w:fill="fff7ed"/>
            <w:tcMar>
              <w:top w:w="140" w:type="dxa"/>
              <w:bottom w:w="140" w:type="dxa"/>
              <w:left w:w="200" w:type="dxa"/>
              <w:right w:w="200" w:type="dxa"/>
            </w:tcMar>
            <w:tcBorders>
              <w:top w:val="none"/>
              <w:bottom w:val="none"/>
              <w:left w:val="single" w:sz="24" w:space="0" w:color="f97316"/>
              <w:right w:val="none"/>
            </w:tcBorders>
          </w:tcPr>
          <w:p>
            <w:pPr>
              <w:spacing w:before="0" w:after="0" w:line="276" w:lineRule="auto"/>
            </w:pPr>
            <w:r>
              <w:rPr>
                <w:rFonts w:ascii="Calibri" w:hAnsi="Calibri"/>
                <w:b/>
                <w:color w:val="9A3412"/>
                <w:sz w:val="21"/>
              </w:rPr>
              <w:t>📌 Principio de Calidad de Datos (Tratamiento del Target)</w:t>
              <w:br/>
            </w:r>
            <w:r>
              <w:rPr>
                <w:rFonts w:ascii="Calibri" w:hAnsi="Calibri"/>
                <w:color w:val="7C2D12"/>
                <w:sz w:val="20"/>
              </w:rPr>
              <w:t>Se removieron comas y caracteres no numéricos en Unit Cost (INR) y se descartaron estrictamente las 2 observaciones con valor nulo (productos P0166 y P0119, ambos de BRAND_A). En aprendizaje supervisado, imputar la variable dependiente genera sesgos circulares que invalidan las métricas empíricas. El modelo se ajusta y evalúa únicamente sobre los 251 registros con etiqueta real comprobada.</w:t>
            </w:r>
          </w:p>
        </w:tc>
      </w:tr>
    </w:tbl>
    <w:p>
      <w:pPr>
        <w:spacing w:after="80"/>
      </w:pPr>
    </w:p>
    <w:p>
      <w:pPr>
        <w:spacing w:before="360" w:after="20"/>
      </w:pPr>
      <w:r>
        <w:rPr>
          <w:rFonts w:ascii="Calibri" w:hAnsi="Calibri"/>
          <w:b/>
          <w:color w:val="2563EB"/>
          <w:sz w:val="22"/>
        </w:rPr>
        <w:t>FASE 2</w:t>
      </w:r>
    </w:p>
    <w:p>
      <w:pPr>
        <w:spacing w:before="0" w:after="160"/>
      </w:pPr>
      <w:r>
        <w:rPr>
          <w:rFonts w:ascii="Calibri" w:hAnsi="Calibri"/>
          <w:b/>
          <w:color w:val="1E3A8A"/>
          <w:sz w:val="30"/>
        </w:rPr>
        <w:t>Ingeniería de Características y Taxonomía del Parser</w:t>
      </w:r>
    </w:p>
    <w:p>
      <w:pPr>
        <w:spacing w:before="0" w:after="120" w:line="276" w:lineRule="auto"/>
      </w:pPr>
      <w:r>
        <w:rPr>
          <w:rFonts w:ascii="Calibri" w:hAnsi="Calibri"/>
          <w:color w:val="1A1A2E"/>
          <w:sz w:val="21"/>
        </w:rPr>
        <w:t>A partir de Product Name, se estructuró un extractor de expresiones regulares en tres niveles taxonómicos que resolvió el 100% de los 253 productos de catálogo sin introducir suposiciones universales arbitrarias: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eef2fb"/>
            <w:tcMar>
              <w:top w:w="120" w:type="dxa"/>
              <w:bottom w:w="120" w:type="dxa"/>
              <w:left w:w="140" w:type="dxa"/>
              <w:right w:w="140" w:type="dxa"/>
            </w:tcMar>
          </w:tcPr>
          <w:p>
            <w:pPr>
              <w:spacing w:after="0"/>
            </w:pPr>
            <w:r>
              <w:rPr>
                <w:rFonts w:ascii="Calibri" w:hAnsi="Calibri"/>
                <w:b/>
                <w:color w:val="1E3A8A"/>
                <w:sz w:val="20"/>
              </w:rPr>
              <w:t>Nomenclatura / Categoría</w:t>
            </w:r>
          </w:p>
        </w:tc>
        <w:tc>
          <w:tcPr>
            <w:tcW w:type="dxa" w:w="2340"/>
            <w:shd w:fill="eef2fb"/>
            <w:tcMar>
              <w:top w:w="120" w:type="dxa"/>
              <w:bottom w:w="120" w:type="dxa"/>
              <w:left w:w="140" w:type="dxa"/>
              <w:right w:w="140" w:type="dxa"/>
            </w:tcMar>
          </w:tcPr>
          <w:p>
            <w:pPr>
              <w:spacing w:after="0"/>
            </w:pPr>
            <w:r>
              <w:rPr>
                <w:rFonts w:ascii="Calibri" w:hAnsi="Calibri"/>
                <w:b/>
                <w:color w:val="1E3A8A"/>
                <w:sz w:val="20"/>
              </w:rPr>
              <w:t>Casos</w:t>
            </w:r>
          </w:p>
        </w:tc>
        <w:tc>
          <w:tcPr>
            <w:tcW w:type="dxa" w:w="2340"/>
            <w:shd w:fill="eef2fb"/>
            <w:tcMar>
              <w:top w:w="120" w:type="dxa"/>
              <w:bottom w:w="120" w:type="dxa"/>
              <w:left w:w="140" w:type="dxa"/>
              <w:right w:w="140" w:type="dxa"/>
            </w:tcMar>
          </w:tcPr>
          <w:p>
            <w:pPr>
              <w:spacing w:after="0"/>
            </w:pPr>
            <w:r>
              <w:rPr>
                <w:rFonts w:ascii="Calibri" w:hAnsi="Calibri"/>
                <w:b/>
                <w:color w:val="1E3A8A"/>
                <w:sz w:val="20"/>
              </w:rPr>
              <w:t>Regla de Extracción / Deducción</w:t>
            </w:r>
          </w:p>
        </w:tc>
        <w:tc>
          <w:tcPr>
            <w:tcW w:type="dxa" w:w="2340"/>
            <w:shd w:fill="eef2fb"/>
            <w:tcMar>
              <w:top w:w="120" w:type="dxa"/>
              <w:bottom w:w="120" w:type="dxa"/>
              <w:left w:w="140" w:type="dxa"/>
              <w:right w:w="140" w:type="dxa"/>
            </w:tcMar>
          </w:tcPr>
          <w:p>
            <w:pPr>
              <w:spacing w:after="0"/>
            </w:pPr>
            <w:r>
              <w:rPr>
                <w:rFonts w:ascii="Calibri" w:hAnsi="Calibri"/>
                <w:b/>
                <w:color w:val="1E3A8A"/>
                <w:sz w:val="20"/>
              </w:rPr>
              <w:t>Ejemplo Real</w:t>
            </w:r>
          </w:p>
        </w:tc>
      </w:tr>
      <w:tr>
        <w:tc>
          <w:tcPr>
            <w:tcW w:type="dxa" w:w="2340"/>
            <w:tcMar>
              <w:top w:w="100" w:type="dxa"/>
              <w:bottom w:w="100" w:type="dxa"/>
              <w:left w:w="120" w:type="dxa"/>
              <w:right w:w="120" w:type="dxa"/>
            </w:tcMar>
          </w:tcPr>
          <w:p>
            <w:pPr>
              <w:spacing w:after="0"/>
            </w:pPr>
            <w:r>
              <w:rPr>
                <w:rFonts w:ascii="Calibri" w:hAnsi="Calibri"/>
                <w:sz w:val="19"/>
              </w:rPr>
              <w:t>Métrico Estándar y ZR</w:t>
            </w:r>
          </w:p>
        </w:tc>
        <w:tc>
          <w:tcPr>
            <w:tcW w:type="dxa" w:w="2340"/>
            <w:tcMar>
              <w:top w:w="100" w:type="dxa"/>
              <w:bottom w:w="100" w:type="dxa"/>
              <w:left w:w="120" w:type="dxa"/>
              <w:right w:w="120" w:type="dxa"/>
            </w:tcMar>
          </w:tcPr>
          <w:p>
            <w:pPr>
              <w:spacing w:after="0"/>
            </w:pPr>
            <w:r>
              <w:rPr>
                <w:rFonts w:ascii="Calibri" w:hAnsi="Calibri"/>
                <w:sz w:val="19"/>
              </w:rPr>
              <w:t>218</w:t>
            </w:r>
          </w:p>
        </w:tc>
        <w:tc>
          <w:tcPr>
            <w:tcW w:type="dxa" w:w="2340"/>
            <w:tcMar>
              <w:top w:w="100" w:type="dxa"/>
              <w:bottom w:w="100" w:type="dxa"/>
              <w:left w:w="120" w:type="dxa"/>
              <w:right w:w="120" w:type="dxa"/>
            </w:tcMar>
          </w:tcPr>
          <w:p>
            <w:pPr>
              <w:spacing w:after="0"/>
            </w:pPr>
            <w:r>
              <w:rPr>
                <w:rFonts w:ascii="Calibri" w:hAnsi="Calibri"/>
                <w:sz w:val="19"/>
              </w:rPr>
              <w:t>Width en mm, Rim en pulgadas y Ratio explícito tras la barra '/'</w:t>
              <w:br/>
              <w:t>Regla: (?P&lt;w&gt;\d{3})/(?P&lt;ar&gt;\d{2})\s*(?:Z?\s*R)\s*(?P&lt;rim&gt;\d{2})</w:t>
            </w:r>
          </w:p>
        </w:tc>
        <w:tc>
          <w:tcPr>
            <w:tcW w:type="dxa" w:w="2340"/>
            <w:tcMar>
              <w:top w:w="100" w:type="dxa"/>
              <w:bottom w:w="100" w:type="dxa"/>
              <w:left w:w="120" w:type="dxa"/>
              <w:right w:w="120" w:type="dxa"/>
            </w:tcMar>
          </w:tcPr>
          <w:p>
            <w:pPr>
              <w:spacing w:after="0"/>
            </w:pPr>
            <w:r>
              <w:rPr>
                <w:rFonts w:ascii="Calibri" w:hAnsi="Calibri"/>
                <w:sz w:val="19"/>
              </w:rPr>
              <w:t>145/70 R 12 BY-801</w:t>
              <w:br/>
              <w:t>225/40 Z R 19 TR41</w:t>
            </w:r>
          </w:p>
        </w:tc>
      </w:tr>
      <w:tr>
        <w:tc>
          <w:tcPr>
            <w:tcW w:type="dxa" w:w="2340"/>
            <w:tcMar>
              <w:top w:w="100" w:type="dxa"/>
              <w:bottom w:w="100" w:type="dxa"/>
              <w:left w:w="120" w:type="dxa"/>
              <w:right w:w="120" w:type="dxa"/>
            </w:tcMar>
          </w:tcPr>
          <w:p>
            <w:pPr>
              <w:spacing w:after="0"/>
            </w:pPr>
            <w:r>
              <w:rPr>
                <w:rFonts w:ascii="Calibri" w:hAnsi="Calibri"/>
                <w:sz w:val="19"/>
              </w:rPr>
              <w:t>Flotación en Pulgadas</w:t>
            </w:r>
          </w:p>
        </w:tc>
        <w:tc>
          <w:tcPr>
            <w:tcW w:type="dxa" w:w="2340"/>
            <w:tcMar>
              <w:top w:w="100" w:type="dxa"/>
              <w:bottom w:w="100" w:type="dxa"/>
              <w:left w:w="120" w:type="dxa"/>
              <w:right w:w="120" w:type="dxa"/>
            </w:tcMar>
          </w:tcPr>
          <w:p>
            <w:pPr>
              <w:spacing w:after="0"/>
            </w:pPr>
            <w:r>
              <w:rPr>
                <w:rFonts w:ascii="Calibri" w:hAnsi="Calibri"/>
                <w:sz w:val="19"/>
              </w:rPr>
              <w:t>11</w:t>
            </w:r>
          </w:p>
        </w:tc>
        <w:tc>
          <w:tcPr>
            <w:tcW w:type="dxa" w:w="2340"/>
            <w:tcMar>
              <w:top w:w="100" w:type="dxa"/>
              <w:bottom w:w="100" w:type="dxa"/>
              <w:left w:w="120" w:type="dxa"/>
              <w:right w:w="120" w:type="dxa"/>
            </w:tcMar>
          </w:tcPr>
          <w:p>
            <w:pPr>
              <w:spacing w:after="0"/>
            </w:pPr>
            <w:r>
              <w:rPr>
                <w:rFonts w:ascii="Calibri" w:hAnsi="Calibri"/>
                <w:sz w:val="19"/>
              </w:rPr>
              <w:t>Width = W × 25.4 mm. Ratio geométrico deducido:</w:t>
              <w:br/>
              <w:t>H = (OD - Rim)/2  =&gt;  Ratio = (H / W) × 100</w:t>
            </w:r>
          </w:p>
        </w:tc>
        <w:tc>
          <w:tcPr>
            <w:tcW w:type="dxa" w:w="2340"/>
            <w:tcMar>
              <w:top w:w="100" w:type="dxa"/>
              <w:bottom w:w="100" w:type="dxa"/>
              <w:left w:w="120" w:type="dxa"/>
              <w:right w:w="120" w:type="dxa"/>
            </w:tcMar>
          </w:tcPr>
          <w:p>
            <w:pPr>
              <w:spacing w:after="0"/>
            </w:pPr>
            <w:r>
              <w:rPr>
                <w:rFonts w:ascii="Calibri" w:hAnsi="Calibri"/>
                <w:sz w:val="19"/>
              </w:rPr>
              <w:t>31 x 10.50 R 15 LT</w:t>
              <w:br/>
              <w:t>(Ratio = 76,19%)</w:t>
            </w:r>
          </w:p>
        </w:tc>
      </w:tr>
      <w:tr>
        <w:tc>
          <w:tcPr>
            <w:tcW w:type="dxa" w:w="2340"/>
            <w:tcMar>
              <w:top w:w="100" w:type="dxa"/>
              <w:bottom w:w="100" w:type="dxa"/>
              <w:left w:w="120" w:type="dxa"/>
              <w:right w:w="120" w:type="dxa"/>
            </w:tcMar>
          </w:tcPr>
          <w:p>
            <w:pPr>
              <w:spacing w:after="0"/>
            </w:pPr>
            <w:r>
              <w:rPr>
                <w:rFonts w:ascii="Calibri" w:hAnsi="Calibri"/>
                <w:sz w:val="19"/>
              </w:rPr>
              <w:t>Comercial Ligero (Tipo C)</w:t>
            </w:r>
          </w:p>
        </w:tc>
        <w:tc>
          <w:tcPr>
            <w:tcW w:type="dxa" w:w="2340"/>
            <w:tcMar>
              <w:top w:w="100" w:type="dxa"/>
              <w:bottom w:w="100" w:type="dxa"/>
              <w:left w:w="120" w:type="dxa"/>
              <w:right w:w="120" w:type="dxa"/>
            </w:tcMar>
          </w:tcPr>
          <w:p>
            <w:pPr>
              <w:spacing w:after="0"/>
            </w:pPr>
            <w:r>
              <w:rPr>
                <w:rFonts w:ascii="Calibri" w:hAnsi="Calibri"/>
                <w:sz w:val="19"/>
              </w:rPr>
              <w:t>18</w:t>
            </w:r>
          </w:p>
        </w:tc>
        <w:tc>
          <w:tcPr>
            <w:tcW w:type="dxa" w:w="2340"/>
            <w:tcMar>
              <w:top w:w="100" w:type="dxa"/>
              <w:bottom w:w="100" w:type="dxa"/>
              <w:left w:w="120" w:type="dxa"/>
              <w:right w:w="120" w:type="dxa"/>
            </w:tcMar>
          </w:tcPr>
          <w:p>
            <w:pPr>
              <w:spacing w:after="0"/>
            </w:pPr>
            <w:r>
              <w:rPr>
                <w:rFonts w:ascii="Calibri" w:hAnsi="Calibri"/>
                <w:sz w:val="19"/>
              </w:rPr>
              <w:t>Width en mm, Rim en pulgadas. Sin ratio en texto: asigna NaN</w:t>
              <w:br/>
              <w:t>(No inventa 80% arbitrario)</w:t>
            </w:r>
          </w:p>
        </w:tc>
        <w:tc>
          <w:tcPr>
            <w:tcW w:type="dxa" w:w="2340"/>
            <w:tcMar>
              <w:top w:w="100" w:type="dxa"/>
              <w:bottom w:w="100" w:type="dxa"/>
              <w:left w:w="120" w:type="dxa"/>
              <w:right w:w="120" w:type="dxa"/>
            </w:tcMar>
          </w:tcPr>
          <w:p>
            <w:pPr>
              <w:spacing w:after="0"/>
            </w:pPr>
            <w:r>
              <w:rPr>
                <w:rFonts w:ascii="Calibri" w:hAnsi="Calibri"/>
                <w:sz w:val="19"/>
              </w:rPr>
              <w:t>155 R 12 C / 8PR BY-05</w:t>
            </w:r>
          </w:p>
        </w:tc>
      </w:tr>
      <w:tr>
        <w:tc>
          <w:tcPr>
            <w:tcW w:type="dxa" w:w="2340"/>
            <w:tcMar>
              <w:top w:w="100" w:type="dxa"/>
              <w:bottom w:w="100" w:type="dxa"/>
              <w:left w:w="120" w:type="dxa"/>
              <w:right w:w="120" w:type="dxa"/>
            </w:tcMar>
          </w:tcPr>
          <w:p>
            <w:pPr>
              <w:spacing w:after="0"/>
            </w:pPr>
            <w:r>
              <w:rPr>
                <w:rFonts w:ascii="Calibri" w:hAnsi="Calibri"/>
                <w:sz w:val="19"/>
              </w:rPr>
              <w:t>Camión Pesado (1000R / 11R)</w:t>
            </w:r>
          </w:p>
        </w:tc>
        <w:tc>
          <w:tcPr>
            <w:tcW w:type="dxa" w:w="2340"/>
            <w:tcMar>
              <w:top w:w="100" w:type="dxa"/>
              <w:bottom w:w="100" w:type="dxa"/>
              <w:left w:w="120" w:type="dxa"/>
              <w:right w:w="120" w:type="dxa"/>
            </w:tcMar>
          </w:tcPr>
          <w:p>
            <w:pPr>
              <w:spacing w:after="0"/>
            </w:pPr>
            <w:r>
              <w:rPr>
                <w:rFonts w:ascii="Calibri" w:hAnsi="Calibri"/>
                <w:sz w:val="19"/>
              </w:rPr>
              <w:t>6</w:t>
            </w:r>
          </w:p>
        </w:tc>
        <w:tc>
          <w:tcPr>
            <w:tcW w:type="dxa" w:w="2340"/>
            <w:tcMar>
              <w:top w:w="100" w:type="dxa"/>
              <w:bottom w:w="100" w:type="dxa"/>
              <w:left w:w="120" w:type="dxa"/>
              <w:right w:w="120" w:type="dxa"/>
            </w:tcMar>
          </w:tcPr>
          <w:p>
            <w:pPr>
              <w:spacing w:after="0"/>
            </w:pPr>
            <w:r>
              <w:rPr>
                <w:rFonts w:ascii="Calibri" w:hAnsi="Calibri"/>
                <w:sz w:val="19"/>
              </w:rPr>
              <w:t>1000 -&gt; 10.00 in (254 mm); 11 -&gt; 11.00 in (279.4 mm). Asigna NaN</w:t>
            </w:r>
          </w:p>
        </w:tc>
        <w:tc>
          <w:tcPr>
            <w:tcW w:type="dxa" w:w="2340"/>
            <w:tcMar>
              <w:top w:w="100" w:type="dxa"/>
              <w:bottom w:w="100" w:type="dxa"/>
              <w:left w:w="120" w:type="dxa"/>
              <w:right w:w="120" w:type="dxa"/>
            </w:tcMar>
          </w:tcPr>
          <w:p>
            <w:pPr>
              <w:spacing w:after="0"/>
            </w:pPr>
            <w:r>
              <w:rPr>
                <w:rFonts w:ascii="Calibri" w:hAnsi="Calibri"/>
                <w:sz w:val="19"/>
              </w:rPr>
              <w:t>1000 R 20 / 18PR</w:t>
              <w:br/>
              <w:t>11 R 22.5 / 18PR</w:t>
            </w:r>
          </w:p>
        </w:tc>
      </w:tr>
    </w:tbl>
    <w:p>
      <w:pPr>
        <w:spacing w:after="120"/>
      </w:pPr>
    </w:p>
    <w:tbl>
      <w:tblPr>
        <w:tblW w:type="auto" w:w="0"/>
        <w:jc w:val="center"/>
        <w:tblLook w:firstColumn="1" w:firstRow="1" w:lastColumn="0" w:lastRow="0" w:noHBand="0" w:noVBand="1" w:val="04A0"/>
      </w:tblPr>
      <w:tblGrid>
        <w:gridCol w:w="9360"/>
      </w:tblGrid>
      <w:tr>
        <w:tc>
          <w:tcPr>
            <w:tcW w:type="dxa" w:w="9360"/>
            <w:shd w:fill="fff7ed"/>
            <w:tcMar>
              <w:top w:w="140" w:type="dxa"/>
              <w:bottom w:w="140" w:type="dxa"/>
              <w:left w:w="200" w:type="dxa"/>
              <w:right w:w="200" w:type="dxa"/>
            </w:tcMar>
            <w:tcBorders>
              <w:top w:val="none"/>
              <w:bottom w:val="none"/>
              <w:left w:val="single" w:sz="24" w:space="0" w:color="f97316"/>
              <w:right w:val="none"/>
            </w:tcBorders>
          </w:tcPr>
          <w:p>
            <w:pPr>
              <w:spacing w:before="0" w:after="0" w:line="276" w:lineRule="auto"/>
            </w:pPr>
            <w:r>
              <w:rPr>
                <w:rFonts w:ascii="Calibri" w:hAnsi="Calibri"/>
                <w:b/>
                <w:color w:val="9A3412"/>
                <w:sz w:val="21"/>
              </w:rPr>
              <w:t>📌 Principio de Diseño 1: Prevención de Fuga de Datos (Data Leakage)</w:t>
              <w:br/>
            </w:r>
            <w:r>
              <w:rPr>
                <w:rFonts w:ascii="Calibri" w:hAnsi="Calibri"/>
                <w:color w:val="7C2D12"/>
                <w:sz w:val="20"/>
              </w:rPr>
              <w:t>Cualquier estadístico de centralidad o dispersión (media, mediana, desvío) constituye un parámetro aprendido del dataset. Calcular la mediana sobre el total del catálogo antes de la partición filtra información del conjunto de prueba hacia el entrenamiento, produciendo métricas sobreoptimistas. Por ello, se ejecutó primero train_test_split, se calculó la mediana de Aspect Ratio exclusivamente sobre Train (65,00%), y dicho parámetro estático se aplicó para imputar los faltantes de Train y Test de forma independiente.</w:t>
            </w:r>
          </w:p>
        </w:tc>
      </w:tr>
    </w:tbl>
    <w:p>
      <w:pPr>
        <w:spacing w:after="80"/>
      </w:pPr>
    </w:p>
    <w:tbl>
      <w:tblPr>
        <w:tblW w:type="auto" w:w="0"/>
        <w:jc w:val="center"/>
        <w:tblLook w:firstColumn="1" w:firstRow="1" w:lastColumn="0" w:lastRow="0" w:noHBand="0" w:noVBand="1" w:val="04A0"/>
      </w:tblPr>
      <w:tblGrid>
        <w:gridCol w:w="9360"/>
      </w:tblGrid>
      <w:tr>
        <w:tc>
          <w:tcPr>
            <w:tcW w:type="dxa" w:w="9360"/>
            <w:shd w:fill="fff7ed"/>
            <w:tcMar>
              <w:top w:w="140" w:type="dxa"/>
              <w:bottom w:w="140" w:type="dxa"/>
              <w:left w:w="200" w:type="dxa"/>
              <w:right w:w="200" w:type="dxa"/>
            </w:tcMar>
            <w:tcBorders>
              <w:top w:val="none"/>
              <w:bottom w:val="none"/>
              <w:left w:val="single" w:sz="24" w:space="0" w:color="f97316"/>
              <w:right w:val="none"/>
            </w:tcBorders>
          </w:tcPr>
          <w:p>
            <w:pPr>
              <w:spacing w:before="0" w:after="0" w:line="276" w:lineRule="auto"/>
            </w:pPr>
            <w:r>
              <w:rPr>
                <w:rFonts w:ascii="Calibri" w:hAnsi="Calibri"/>
                <w:b/>
                <w:color w:val="9A3412"/>
                <w:sz w:val="21"/>
              </w:rPr>
              <w:t>📌 Principio de Diseño 2: Trampa de Multicolinealidad y Dummy Base</w:t>
              <w:br/>
            </w:r>
            <w:r>
              <w:rPr>
                <w:rFonts w:ascii="Calibri" w:hAnsi="Calibri"/>
                <w:color w:val="7C2D12"/>
                <w:sz w:val="20"/>
              </w:rPr>
              <w:t>En regresión lineal con intercepto (beta_0), incluir variables binarias para todas las marcas produce una combinación lineal perfecta (la suma de las columnas es igual a 1, coincidiendo con el vector de unos del intercepto). Esto colapsa el determinante de la matriz X'X haciéndola no invertible. Para evitarlo, se utilizó One-Hot Encoding omitiendo explícitamente a BRAND_A como categoría base (drop_first). El intercepto beta_0 representa el costo base de un neumático BRAND_A, y los coeficientes de BRAND_B, BRAND_C y BRAND_D miden diferenciales directos de costo.</w:t>
            </w:r>
          </w:p>
        </w:tc>
      </w:tr>
    </w:tbl>
    <w:p>
      <w:pPr>
        <w:spacing w:after="80"/>
      </w:pPr>
    </w:p>
    <w:p>
      <w:pPr>
        <w:spacing w:before="360" w:after="20"/>
      </w:pPr>
      <w:r>
        <w:rPr>
          <w:rFonts w:ascii="Calibri" w:hAnsi="Calibri"/>
          <w:b/>
          <w:color w:val="2563EB"/>
          <w:sz w:val="22"/>
        </w:rPr>
        <w:t>FASE 3</w:t>
      </w:r>
    </w:p>
    <w:p>
      <w:pPr>
        <w:spacing w:before="0" w:after="160"/>
      </w:pPr>
      <w:r>
        <w:rPr>
          <w:rFonts w:ascii="Calibri" w:hAnsi="Calibri"/>
          <w:b/>
          <w:color w:val="1E3A8A"/>
          <w:sz w:val="30"/>
        </w:rPr>
        <w:t>Partición de Datos y Decisión Metodológica sobre Escalado</w:t>
      </w:r>
    </w:p>
    <w:p>
      <w:pPr>
        <w:spacing w:before="0" w:after="120" w:line="276" w:lineRule="auto"/>
      </w:pPr>
      <w:r>
        <w:rPr>
          <w:rFonts w:ascii="Calibri" w:hAnsi="Calibri"/>
          <w:color w:val="1A1A2E"/>
          <w:sz w:val="21"/>
        </w:rPr>
        <w:t>• Partición de Datos: Se empleó train_test_split(test_size=0.20, random_state=42). Debido a la naturaleza discreta de N=251, la división arrojó exactamente 200 observaciones en Entrenamiento (79,68%) y 51 observaciones en Prueba (20,32%).</w:t>
        <w:br/>
        <w:br/>
        <w:t>• Justificación de la No Estandarización (Invarianza OLS):</w:t>
        <w:br/>
        <w:t>A diferencia de algoritmos basados en cálculo de distancias (KNN, SVM, K-Means) o modelos linealmente regularizados con penalización (Ridge, Lasso), la solución analítica de Mínimos Cuadrados Ordinarios [beta = (X'X)^(-1) X'y] es invariante a transformaciones lineales de escala. Estandarizar las variables predictoras no modifica el hiperplano óptimo, ni las predicciones puntuales, ni los residuos, ni el coeficiente R². Mantener las unidades originales (pulgadas para rin, milímetros para ancho, porcentaje para perfil) permite conservar la interpretabilidad económica directa de los coeficientes en INR por unidad de medida física, preservando la transparencia pedagógica del Colab de la cátedra.</w:t>
      </w:r>
    </w:p>
    <w:p>
      <w:pPr>
        <w:spacing w:before="360" w:after="20"/>
      </w:pPr>
      <w:r>
        <w:rPr>
          <w:rFonts w:ascii="Calibri" w:hAnsi="Calibri"/>
          <w:b/>
          <w:color w:val="2563EB"/>
          <w:sz w:val="22"/>
        </w:rPr>
        <w:t>FASE 4</w:t>
      </w:r>
    </w:p>
    <w:p>
      <w:pPr>
        <w:spacing w:before="0" w:after="160"/>
      </w:pPr>
      <w:r>
        <w:rPr>
          <w:rFonts w:ascii="Calibri" w:hAnsi="Calibri"/>
          <w:b/>
          <w:color w:val="1E3A8A"/>
          <w:sz w:val="30"/>
        </w:rPr>
        <w:t>Modelado, Coeficientes y Evaluación sobre Test (N=51)</w:t>
      </w:r>
    </w:p>
    <w:p>
      <w:pPr>
        <w:spacing w:before="160" w:after="60"/>
      </w:pPr>
      <w:r>
        <w:rPr>
          <w:rFonts w:ascii="Calibri" w:hAnsi="Calibri"/>
          <w:b/>
          <w:color w:val="1E3A8A"/>
          <w:sz w:val="22"/>
        </w:rPr>
        <w:t>4.1 Modelo 1: Regresión Lineal Simple (Baseline)</w:t>
      </w:r>
    </w:p>
    <w:p>
      <w:pPr>
        <w:spacing w:before="0" w:after="120" w:line="276" w:lineRule="auto"/>
      </w:pPr>
      <w:r>
        <w:rPr>
          <w:rFonts w:ascii="Calibri" w:hAnsi="Calibri"/>
          <w:color w:val="1A1A2E"/>
          <w:sz w:val="21"/>
        </w:rPr>
        <w:t>Ajustado sobre Train utilizando únicamente el predictor individual más correlacionado:</w:t>
        <w:br/>
        <w:t>Ecuación:  Costo_Estimado = -22.783,89 + 1.957,17 · Rim</w:t>
        <w:br/>
        <w:t>Lectura Técnica: Por cada pulgada adicional en el diámetro del rin, el costo unitario esperado aumenta en promedio $1.957,17 INR.</w:t>
      </w:r>
    </w:p>
    <w:p>
      <w:pPr>
        <w:spacing w:before="160" w:after="60"/>
      </w:pPr>
      <w:r>
        <w:rPr>
          <w:rFonts w:ascii="Calibri" w:hAnsi="Calibri"/>
          <w:b/>
          <w:color w:val="1E3A8A"/>
          <w:sz w:val="22"/>
        </w:rPr>
        <w:t>4.2 Modelo 2: Regresión Lineal Múltiple (Integrador)</w:t>
      </w:r>
    </w:p>
    <w:p>
      <w:pPr>
        <w:spacing w:before="0" w:after="120" w:line="276" w:lineRule="auto"/>
      </w:pPr>
      <w:r>
        <w:rPr>
          <w:rFonts w:ascii="Calibri" w:hAnsi="Calibri"/>
          <w:color w:val="1A1A2E"/>
          <w:sz w:val="21"/>
        </w:rPr>
        <w:t>Incorpora la geometría física tridimensional y el factor fabricante (Base de referencia: BRAND_A):</w:t>
        <w:br/>
        <w:t>Ecuación:  Costo_Estimado = -34.926,44 + 1.498,42 · Rim + 24,09 · Width + 223,70 · Ratio + 468,73 · B_B - 1.070,51 · B_C + 4.821,93 · B_D</w:t>
        <w:br/>
        <w:br/>
        <w:t>Lectura Técnica de Coeficientes:</w:t>
        <w:br/>
        <w:t>• Rim (+1.498,42 INR/pulgada): Manteniendo las demás dimensiones y marca constantes, cada pulgada adicional de rin incrementa el costo en $1.498 INR.</w:t>
        <w:br/>
        <w:t>• Width (+24,09 INR/mm): Cada milímetro extra de ancho de banda de rodadura incrementa el costo en $24,09 INR.</w:t>
        <w:br/>
        <w:t>• Ratio (+223,70 INR/%): Cada punto porcentual de perfil añade $223,70 INR.</w:t>
        <w:br/>
        <w:t>• BRAND_B (+468,73 INR): Presenta un sobreprecio moderado respecto a BRAND_A.</w:t>
        <w:br/>
        <w:t>• BRAND_C (-1.070,51 INR): Confirma cuantitativamente su perfil económico, costando en promedio $1.070 INR menos que BRAND_A a iguales medidas.</w:t>
        <w:br/>
        <w:t>• BRAND_D (+4.821,93 INR): Evidencia un recargo muy pronunciado, justificado por su especialización en cubiertas de carga pesada e industrial.</w:t>
      </w:r>
    </w:p>
    <w:p>
      <w:pPr>
        <w:spacing w:before="240" w:after="80"/>
      </w:pPr>
      <w:r>
        <w:rPr>
          <w:rFonts w:ascii="Calibri" w:hAnsi="Calibri"/>
          <w:b/>
          <w:color w:val="1E3A8A"/>
          <w:sz w:val="25"/>
        </w:rPr>
        <w:t>4.3 Tabla Comparativa de Métricas Oficiales sobre Test (N=51)</w:t>
      </w:r>
    </w:p>
    <w:p>
      <w:pPr>
        <w:spacing w:before="0" w:after="120" w:line="276" w:lineRule="auto"/>
      </w:pPr>
      <w:r>
        <w:rPr>
          <w:rFonts w:ascii="Calibri" w:hAnsi="Calibri"/>
          <w:color w:val="1A1A2E"/>
          <w:sz w:val="21"/>
        </w:rPr>
        <w:t>Las métricas fueron calculadas estrictamente sobre las 51 observaciones de prueba independientes nunca observadas durante el entrenamiento:</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shd w:fill="eef2fb"/>
            <w:tcMar>
              <w:top w:w="120" w:type="dxa"/>
              <w:bottom w:w="120" w:type="dxa"/>
              <w:left w:w="120" w:type="dxa"/>
              <w:right w:w="120" w:type="dxa"/>
            </w:tcMar>
          </w:tcPr>
          <w:p>
            <w:pPr>
              <w:spacing w:after="0"/>
              <w:jc w:val="center"/>
            </w:pPr>
            <w:r>
              <w:rPr>
                <w:rFonts w:ascii="Calibri" w:hAnsi="Calibri"/>
                <w:b/>
                <w:color w:val="1E3A8A"/>
                <w:sz w:val="20"/>
              </w:rPr>
              <w:t>Modelo Evaluado</w:t>
            </w:r>
          </w:p>
        </w:tc>
        <w:tc>
          <w:tcPr>
            <w:tcW w:type="dxa" w:w="1560"/>
            <w:shd w:fill="eef2fb"/>
            <w:tcMar>
              <w:top w:w="120" w:type="dxa"/>
              <w:bottom w:w="120" w:type="dxa"/>
              <w:left w:w="120" w:type="dxa"/>
              <w:right w:w="120" w:type="dxa"/>
            </w:tcMar>
          </w:tcPr>
          <w:p>
            <w:pPr>
              <w:spacing w:after="0"/>
              <w:jc w:val="center"/>
            </w:pPr>
            <w:r>
              <w:rPr>
                <w:rFonts w:ascii="Calibri" w:hAnsi="Calibri"/>
                <w:b/>
                <w:color w:val="1E3A8A"/>
                <w:sz w:val="20"/>
              </w:rPr>
              <w:t>MAE (INR)</w:t>
            </w:r>
          </w:p>
        </w:tc>
        <w:tc>
          <w:tcPr>
            <w:tcW w:type="dxa" w:w="1560"/>
            <w:shd w:fill="eef2fb"/>
            <w:tcMar>
              <w:top w:w="120" w:type="dxa"/>
              <w:bottom w:w="120" w:type="dxa"/>
              <w:left w:w="120" w:type="dxa"/>
              <w:right w:w="120" w:type="dxa"/>
            </w:tcMar>
          </w:tcPr>
          <w:p>
            <w:pPr>
              <w:spacing w:after="0"/>
              <w:jc w:val="center"/>
            </w:pPr>
            <w:r>
              <w:rPr>
                <w:rFonts w:ascii="Calibri" w:hAnsi="Calibri"/>
                <w:b/>
                <w:color w:val="1E3A8A"/>
                <w:sz w:val="20"/>
              </w:rPr>
              <w:t>MSE</w:t>
            </w:r>
          </w:p>
        </w:tc>
        <w:tc>
          <w:tcPr>
            <w:tcW w:type="dxa" w:w="1560"/>
            <w:shd w:fill="eef2fb"/>
            <w:tcMar>
              <w:top w:w="120" w:type="dxa"/>
              <w:bottom w:w="120" w:type="dxa"/>
              <w:left w:w="120" w:type="dxa"/>
              <w:right w:w="120" w:type="dxa"/>
            </w:tcMar>
          </w:tcPr>
          <w:p>
            <w:pPr>
              <w:spacing w:after="0"/>
              <w:jc w:val="center"/>
            </w:pPr>
            <w:r>
              <w:rPr>
                <w:rFonts w:ascii="Calibri" w:hAnsi="Calibri"/>
                <w:b/>
                <w:color w:val="1E3A8A"/>
                <w:sz w:val="20"/>
              </w:rPr>
              <w:t>RMSE (INR)</w:t>
            </w:r>
          </w:p>
        </w:tc>
        <w:tc>
          <w:tcPr>
            <w:tcW w:type="dxa" w:w="1560"/>
            <w:shd w:fill="eef2fb"/>
            <w:tcMar>
              <w:top w:w="120" w:type="dxa"/>
              <w:bottom w:w="120" w:type="dxa"/>
              <w:left w:w="120" w:type="dxa"/>
              <w:right w:w="120" w:type="dxa"/>
            </w:tcMar>
          </w:tcPr>
          <w:p>
            <w:pPr>
              <w:spacing w:after="0"/>
              <w:jc w:val="center"/>
            </w:pPr>
            <w:r>
              <w:rPr>
                <w:rFonts w:ascii="Calibri" w:hAnsi="Calibri"/>
                <w:b/>
                <w:color w:val="1E3A8A"/>
                <w:sz w:val="20"/>
              </w:rPr>
              <w:t>R²</w:t>
            </w:r>
          </w:p>
        </w:tc>
        <w:tc>
          <w:tcPr>
            <w:tcW w:type="dxa" w:w="1560"/>
            <w:shd w:fill="eef2fb"/>
            <w:tcMar>
              <w:top w:w="120" w:type="dxa"/>
              <w:bottom w:w="120" w:type="dxa"/>
              <w:left w:w="120" w:type="dxa"/>
              <w:right w:w="120" w:type="dxa"/>
            </w:tcMar>
          </w:tcPr>
          <w:p>
            <w:pPr>
              <w:spacing w:after="0"/>
              <w:jc w:val="center"/>
            </w:pPr>
            <w:r>
              <w:rPr>
                <w:rFonts w:ascii="Calibri" w:hAnsi="Calibri"/>
                <w:b/>
                <w:color w:val="1E3A8A"/>
                <w:sz w:val="20"/>
              </w:rPr>
              <w:t>Mejora</w:t>
            </w:r>
          </w:p>
        </w:tc>
      </w:tr>
      <w:tr>
        <w:tc>
          <w:tcPr>
            <w:tcW w:type="dxa" w:w="1560"/>
            <w:tcMar>
              <w:top w:w="120" w:type="dxa"/>
              <w:bottom w:w="120" w:type="dxa"/>
              <w:left w:w="120" w:type="dxa"/>
              <w:right w:w="120" w:type="dxa"/>
            </w:tcMar>
          </w:tcPr>
          <w:p>
            <w:pPr>
              <w:spacing w:after="0"/>
              <w:jc w:val="left"/>
            </w:pPr>
            <w:r>
              <w:rPr>
                <w:rFonts w:ascii="Calibri" w:hAnsi="Calibri"/>
                <w:sz w:val="19"/>
              </w:rPr>
              <w:t>Regresión Simple (Rim)</w:t>
            </w:r>
          </w:p>
        </w:tc>
        <w:tc>
          <w:tcPr>
            <w:tcW w:type="dxa" w:w="1560"/>
            <w:tcMar>
              <w:top w:w="120" w:type="dxa"/>
              <w:bottom w:w="120" w:type="dxa"/>
              <w:left w:w="120" w:type="dxa"/>
              <w:right w:w="120" w:type="dxa"/>
            </w:tcMar>
          </w:tcPr>
          <w:p>
            <w:pPr>
              <w:spacing w:after="0"/>
              <w:jc w:val="right"/>
            </w:pPr>
            <w:r>
              <w:rPr>
                <w:rFonts w:ascii="Calibri" w:hAnsi="Calibri"/>
                <w:sz w:val="19"/>
              </w:rPr>
              <w:t>2.795,00</w:t>
            </w:r>
          </w:p>
        </w:tc>
        <w:tc>
          <w:tcPr>
            <w:tcW w:type="dxa" w:w="1560"/>
            <w:tcMar>
              <w:top w:w="120" w:type="dxa"/>
              <w:bottom w:w="120" w:type="dxa"/>
              <w:left w:w="120" w:type="dxa"/>
              <w:right w:w="120" w:type="dxa"/>
            </w:tcMar>
          </w:tcPr>
          <w:p>
            <w:pPr>
              <w:spacing w:after="0"/>
              <w:jc w:val="right"/>
            </w:pPr>
            <w:r>
              <w:rPr>
                <w:rFonts w:ascii="Calibri" w:hAnsi="Calibri"/>
                <w:sz w:val="19"/>
              </w:rPr>
              <w:t>14.651.537,71</w:t>
            </w:r>
          </w:p>
        </w:tc>
        <w:tc>
          <w:tcPr>
            <w:tcW w:type="dxa" w:w="1560"/>
            <w:tcMar>
              <w:top w:w="120" w:type="dxa"/>
              <w:bottom w:w="120" w:type="dxa"/>
              <w:left w:w="120" w:type="dxa"/>
              <w:right w:w="120" w:type="dxa"/>
            </w:tcMar>
          </w:tcPr>
          <w:p>
            <w:pPr>
              <w:spacing w:after="0"/>
              <w:jc w:val="right"/>
            </w:pPr>
            <w:r>
              <w:rPr>
                <w:rFonts w:ascii="Calibri" w:hAnsi="Calibri"/>
                <w:sz w:val="19"/>
              </w:rPr>
              <w:t>3.827,73</w:t>
            </w:r>
          </w:p>
        </w:tc>
        <w:tc>
          <w:tcPr>
            <w:tcW w:type="dxa" w:w="1560"/>
            <w:tcMar>
              <w:top w:w="120" w:type="dxa"/>
              <w:bottom w:w="120" w:type="dxa"/>
              <w:left w:w="120" w:type="dxa"/>
              <w:right w:w="120" w:type="dxa"/>
            </w:tcMar>
          </w:tcPr>
          <w:p>
            <w:pPr>
              <w:spacing w:after="0"/>
              <w:jc w:val="right"/>
            </w:pPr>
            <w:r>
              <w:rPr>
                <w:rFonts w:ascii="Calibri" w:hAnsi="Calibri"/>
                <w:sz w:val="19"/>
              </w:rPr>
              <w:t>0,5421</w:t>
            </w:r>
          </w:p>
        </w:tc>
        <w:tc>
          <w:tcPr>
            <w:tcW w:type="dxa" w:w="1560"/>
            <w:tcMar>
              <w:top w:w="120" w:type="dxa"/>
              <w:bottom w:w="120" w:type="dxa"/>
              <w:left w:w="120" w:type="dxa"/>
              <w:right w:w="120" w:type="dxa"/>
            </w:tcMar>
          </w:tcPr>
          <w:p>
            <w:pPr>
              <w:spacing w:after="0"/>
              <w:jc w:val="left"/>
            </w:pPr>
            <w:r>
              <w:rPr>
                <w:rFonts w:ascii="Calibri" w:hAnsi="Calibri"/>
                <w:sz w:val="19"/>
              </w:rPr>
              <w:t>Línea Base</w:t>
            </w:r>
          </w:p>
        </w:tc>
      </w:tr>
      <w:tr>
        <w:tc>
          <w:tcPr>
            <w:tcW w:type="dxa" w:w="1560"/>
            <w:tcMar>
              <w:top w:w="120" w:type="dxa"/>
              <w:bottom w:w="120" w:type="dxa"/>
              <w:left w:w="120" w:type="dxa"/>
              <w:right w:w="120" w:type="dxa"/>
            </w:tcMar>
          </w:tcPr>
          <w:p>
            <w:pPr>
              <w:spacing w:after="0"/>
              <w:jc w:val="left"/>
            </w:pPr>
            <w:r>
              <w:rPr>
                <w:rFonts w:ascii="Calibri" w:hAnsi="Calibri"/>
                <w:sz w:val="19"/>
              </w:rPr>
              <w:t>Regresión Múltiple (Specs+Brand)</w:t>
            </w:r>
          </w:p>
        </w:tc>
        <w:tc>
          <w:tcPr>
            <w:tcW w:type="dxa" w:w="1560"/>
            <w:tcMar>
              <w:top w:w="120" w:type="dxa"/>
              <w:bottom w:w="120" w:type="dxa"/>
              <w:left w:w="120" w:type="dxa"/>
              <w:right w:w="120" w:type="dxa"/>
            </w:tcMar>
          </w:tcPr>
          <w:p>
            <w:pPr>
              <w:spacing w:after="0"/>
              <w:jc w:val="right"/>
            </w:pPr>
            <w:r>
              <w:rPr>
                <w:rFonts w:ascii="Calibri" w:hAnsi="Calibri"/>
                <w:b/>
                <w:color w:val="15803D"/>
                <w:sz w:val="19"/>
              </w:rPr>
              <w:t>1.678,60</w:t>
            </w:r>
          </w:p>
        </w:tc>
        <w:tc>
          <w:tcPr>
            <w:tcW w:type="dxa" w:w="1560"/>
            <w:tcMar>
              <w:top w:w="120" w:type="dxa"/>
              <w:bottom w:w="120" w:type="dxa"/>
              <w:left w:w="120" w:type="dxa"/>
              <w:right w:w="120" w:type="dxa"/>
            </w:tcMar>
          </w:tcPr>
          <w:p>
            <w:pPr>
              <w:spacing w:after="0"/>
              <w:jc w:val="right"/>
            </w:pPr>
            <w:r>
              <w:rPr>
                <w:rFonts w:ascii="Calibri" w:hAnsi="Calibri"/>
                <w:sz w:val="19"/>
              </w:rPr>
              <w:t>6.499.975,49</w:t>
            </w:r>
          </w:p>
        </w:tc>
        <w:tc>
          <w:tcPr>
            <w:tcW w:type="dxa" w:w="1560"/>
            <w:tcMar>
              <w:top w:w="120" w:type="dxa"/>
              <w:bottom w:w="120" w:type="dxa"/>
              <w:left w:w="120" w:type="dxa"/>
              <w:right w:w="120" w:type="dxa"/>
            </w:tcMar>
          </w:tcPr>
          <w:p>
            <w:pPr>
              <w:spacing w:after="0"/>
              <w:jc w:val="right"/>
            </w:pPr>
            <w:r>
              <w:rPr>
                <w:rFonts w:ascii="Calibri" w:hAnsi="Calibri"/>
                <w:sz w:val="19"/>
              </w:rPr>
              <w:t>2.549,50</w:t>
            </w:r>
          </w:p>
        </w:tc>
        <w:tc>
          <w:tcPr>
            <w:tcW w:type="dxa" w:w="1560"/>
            <w:tcMar>
              <w:top w:w="120" w:type="dxa"/>
              <w:bottom w:w="120" w:type="dxa"/>
              <w:left w:w="120" w:type="dxa"/>
              <w:right w:w="120" w:type="dxa"/>
            </w:tcMar>
          </w:tcPr>
          <w:p>
            <w:pPr>
              <w:spacing w:after="0"/>
              <w:jc w:val="right"/>
            </w:pPr>
            <w:r>
              <w:rPr>
                <w:rFonts w:ascii="Calibri" w:hAnsi="Calibri"/>
                <w:b/>
                <w:color w:val="15803D"/>
                <w:sz w:val="19"/>
              </w:rPr>
              <w:t>0,7968</w:t>
            </w:r>
          </w:p>
        </w:tc>
        <w:tc>
          <w:tcPr>
            <w:tcW w:type="dxa" w:w="1560"/>
            <w:tcMar>
              <w:top w:w="120" w:type="dxa"/>
              <w:bottom w:w="120" w:type="dxa"/>
              <w:left w:w="120" w:type="dxa"/>
              <w:right w:w="120" w:type="dxa"/>
            </w:tcMar>
          </w:tcPr>
          <w:p>
            <w:pPr>
              <w:spacing w:after="0"/>
              <w:jc w:val="left"/>
            </w:pPr>
            <w:r>
              <w:rPr>
                <w:rFonts w:ascii="Calibri" w:hAnsi="Calibri"/>
                <w:b/>
                <w:color w:val="15803D"/>
                <w:sz w:val="19"/>
              </w:rPr>
              <w:t>-39,94% MAE</w:t>
              <w:br/>
              <w:t>+46,98% R²</w:t>
            </w:r>
          </w:p>
        </w:tc>
      </w:tr>
    </w:tbl>
    <w:p>
      <w:pPr>
        <w:spacing w:after="160"/>
      </w:pPr>
    </w:p>
    <w:tbl>
      <w:tblPr>
        <w:tblW w:type="auto" w:w="0"/>
        <w:jc w:val="center"/>
        <w:tblLook w:firstColumn="1" w:firstRow="1" w:lastColumn="0" w:lastRow="0" w:noHBand="0" w:noVBand="1" w:val="04A0"/>
      </w:tblPr>
      <w:tblGrid>
        <w:gridCol w:w="9360"/>
      </w:tblGrid>
      <w:tr>
        <w:tc>
          <w:tcPr>
            <w:tcW w:type="dxa" w:w="9360"/>
            <w:shd w:fill="fff7ed"/>
            <w:tcMar>
              <w:top w:w="140" w:type="dxa"/>
              <w:bottom w:w="140" w:type="dxa"/>
              <w:left w:w="200" w:type="dxa"/>
              <w:right w:w="200" w:type="dxa"/>
            </w:tcMar>
            <w:tcBorders>
              <w:top w:val="none"/>
              <w:bottom w:val="none"/>
              <w:left w:val="single" w:sz="24" w:space="0" w:color="f97316"/>
              <w:right w:val="none"/>
            </w:tcBorders>
          </w:tcPr>
          <w:p>
            <w:pPr>
              <w:spacing w:before="0" w:after="0" w:line="276" w:lineRule="auto"/>
            </w:pPr>
            <w:r>
              <w:rPr>
                <w:rFonts w:ascii="Calibri" w:hAnsi="Calibri"/>
                <w:b/>
                <w:color w:val="9A3412"/>
                <w:sz w:val="21"/>
              </w:rPr>
              <w:t>📌 Interpretación Pedagógica de Métricas (MAE frente a RMSE)</w:t>
              <w:br/>
            </w:r>
            <w:r>
              <w:rPr>
                <w:rFonts w:ascii="Calibri" w:hAnsi="Calibri"/>
                <w:color w:val="7C2D12"/>
                <w:sz w:val="20"/>
              </w:rPr>
              <w:t>El Error Absoluto Medio (MAE) cuantifica la magnitud media del error sin ponderación diferencial: en promedio, las predicciones del modelo múltiple se desvían en $1.678,60 INR del valor real. Por su parte, la Raíz del Error Cuadrático Medio (RMSE) eleva las diferencias al cuadrado antes de promediar, penalizando de manera cuadrática los desvíos severos. La diferencia entre RMSE ($2.549,50) y MAE ($1.678,60) evidencia que, aunque el modelo predice con alta precisión el cuerpo central del catálogo, coexiste un número reducido de productos atípicos en la gama premium con errores mayores.</w:t>
            </w:r>
          </w:p>
        </w:tc>
      </w:tr>
    </w:tbl>
    <w:p>
      <w:pPr>
        <w:spacing w:after="80"/>
      </w:pPr>
    </w:p>
    <w:p>
      <w:pPr>
        <w:spacing w:before="0" w:after="120" w:line="276" w:lineRule="auto"/>
      </w:pPr>
      <w:r>
        <w:rPr>
          <w:rFonts w:ascii="Calibri" w:hAnsi="Calibri"/>
          <w:color w:val="1A1A2E"/>
          <w:sz w:val="21"/>
        </w:rPr>
        <w:t>• Diagnóstico de Generalización (Capacidad Predictiva Train vs. Test):</w:t>
        <w:br/>
        <w:t xml:space="preserve">  - Train: R² = 0,8966  |  RMSE = 1.832,23 INR</w:t>
        <w:br/>
        <w:t xml:space="preserve">  - Test:  R² = 0,7968  |  RMSE = 2.549,50 INR</w:t>
        <w:br/>
        <w:t>La estrecha correspondencia de desempeño entre el conjunto de entrenamiento y el de prueba descarta la presencia de sobreajuste severo (overfitting) y confirma la robustez del modelo para generalizar ante nuevas especificaciones técnicas de productos.</w:t>
      </w:r>
    </w:p>
    <w:p>
      <w:pPr>
        <w:spacing w:before="200" w:after="40"/>
        <w:jc w:val="center"/>
      </w:pPr>
    </w:p>
    <w:p>
      <w:r>
        <w:drawing>
          <wp:inline xmlns:a="http://schemas.openxmlformats.org/drawingml/2006/main" xmlns:pic="http://schemas.openxmlformats.org/drawingml/2006/picture">
            <wp:extent cx="5669280" cy="1574800"/>
            <wp:docPr id="1" name="Picture 1"/>
            <wp:cNvGraphicFramePr>
              <a:graphicFrameLocks noChangeAspect="1"/>
            </wp:cNvGraphicFramePr>
            <a:graphic>
              <a:graphicData uri="http://schemas.openxmlformats.org/drawingml/2006/picture">
                <pic:pic>
                  <pic:nvPicPr>
                    <pic:cNvPr id="0" name="diagnostico_regresion.png"/>
                    <pic:cNvPicPr/>
                  </pic:nvPicPr>
                  <pic:blipFill>
                    <a:blip r:embed="rId9"/>
                    <a:stretch>
                      <a:fillRect/>
                    </a:stretch>
                  </pic:blipFill>
                  <pic:spPr>
                    <a:xfrm>
                      <a:off x="0" y="0"/>
                      <a:ext cx="5669280" cy="1574800"/>
                    </a:xfrm>
                    <a:prstGeom prst="rect"/>
                  </pic:spPr>
                </pic:pic>
              </a:graphicData>
            </a:graphic>
          </wp:inline>
        </w:drawing>
      </w:r>
    </w:p>
    <w:p>
      <w:pPr>
        <w:spacing w:after="280"/>
        <w:jc w:val="center"/>
      </w:pPr>
      <w:r>
        <w:rPr>
          <w:rFonts w:ascii="Calibri" w:hAnsi="Calibri"/>
          <w:i/>
          <w:color w:val="5B6472"/>
          <w:sz w:val="19"/>
        </w:rPr>
        <w:t>Figura 1: Diagnóstico Visual del Modelo — Recta Simple, Valores Reales vs. Predichos y Dispersión de Residuos.</w:t>
      </w:r>
    </w:p>
    <w:p>
      <w:pPr>
        <w:spacing w:before="360" w:after="20"/>
      </w:pPr>
      <w:r>
        <w:rPr>
          <w:rFonts w:ascii="Calibri" w:hAnsi="Calibri"/>
          <w:b/>
          <w:color w:val="2563EB"/>
          <w:sz w:val="22"/>
        </w:rPr>
        <w:t>FASE 5</w:t>
      </w:r>
    </w:p>
    <w:p>
      <w:pPr>
        <w:spacing w:before="0" w:after="160"/>
      </w:pPr>
      <w:r>
        <w:rPr>
          <w:rFonts w:ascii="Calibri" w:hAnsi="Calibri"/>
          <w:b/>
          <w:color w:val="1E3A8A"/>
          <w:sz w:val="30"/>
        </w:rPr>
        <w:t>Respuestas a las Preguntas Guía de la Cátedra</w:t>
      </w:r>
    </w:p>
    <w:p>
      <w:pPr>
        <w:spacing w:before="0" w:after="120" w:line="276" w:lineRule="auto"/>
      </w:pPr>
      <w:r>
        <w:rPr>
          <w:rFonts w:ascii="Calibri" w:hAnsi="Calibri"/>
          <w:color w:val="1A1A2E"/>
          <w:sz w:val="21"/>
        </w:rPr>
        <w:t>Para estructurar la defensa académica de la evidencia, se sintetizan las respuestas a los interrogantes planteados en las orientaciones docentes:</w:t>
      </w:r>
    </w:p>
    <w:p>
      <w:pPr>
        <w:spacing w:before="80" w:after="20"/>
      </w:pPr>
      <w:r>
        <w:rPr>
          <w:rFonts w:ascii="Calibri" w:hAnsi="Calibri"/>
          <w:b/>
          <w:color w:val="1E3A8A"/>
          <w:sz w:val="21"/>
        </w:rPr>
        <w:t>1. ¿Qué variable queremos predecir y cuál es su naturaleza?</w:t>
      </w:r>
    </w:p>
    <w:p>
      <w:pPr>
        <w:spacing w:before="0" w:after="80"/>
        <w:ind w:left="288"/>
      </w:pPr>
      <w:r>
        <w:rPr>
          <w:rFonts w:ascii="Calibri" w:hAnsi="Calibri"/>
          <w:color w:val="1A1A2E"/>
          <w:sz w:val="20"/>
        </w:rPr>
        <w:t>El costo unitario (Unit Cost (INR)). Es una variable cuantitativa continua en escala de razón, correspondiente al costo individual de manufactura de cada SKU en inventario.</w:t>
      </w:r>
    </w:p>
    <w:p>
      <w:pPr>
        <w:spacing w:before="80" w:after="20"/>
      </w:pPr>
      <w:r>
        <w:rPr>
          <w:rFonts w:ascii="Calibri" w:hAnsi="Calibri"/>
          <w:b/>
          <w:color w:val="1E3A8A"/>
          <w:sz w:val="21"/>
        </w:rPr>
        <w:t>2. ¿Qué variables ayudan a explicarla y cuál es la jerarquía observada en el EDA?</w:t>
      </w:r>
    </w:p>
    <w:p>
      <w:pPr>
        <w:spacing w:before="0" w:after="80"/>
        <w:ind w:left="288"/>
      </w:pPr>
      <w:r>
        <w:rPr>
          <w:rFonts w:ascii="Calibri" w:hAnsi="Calibri"/>
          <w:color w:val="1A1A2E"/>
          <w:sz w:val="20"/>
        </w:rPr>
        <w:t>Las cotas físicas extraídas de Product Name (Rim, Width y Aspect Ratio) y el fabricante (Brand). El rin es el predictor individual con mayor correlación (r = 0,76), seguido del ancho (r = 0,44).</w:t>
      </w:r>
    </w:p>
    <w:p>
      <w:pPr>
        <w:spacing w:before="80" w:after="20"/>
      </w:pPr>
      <w:r>
        <w:rPr>
          <w:rFonts w:ascii="Calibri" w:hAnsi="Calibri"/>
          <w:b/>
          <w:color w:val="1E3A8A"/>
          <w:sz w:val="21"/>
        </w:rPr>
        <w:t>3. ¿Qué tan bien funciona el modelo simple con una sola variable predictora?</w:t>
      </w:r>
    </w:p>
    <w:p>
      <w:pPr>
        <w:spacing w:before="0" w:after="80"/>
        <w:ind w:left="288"/>
      </w:pPr>
      <w:r>
        <w:rPr>
          <w:rFonts w:ascii="Calibri" w:hAnsi="Calibri"/>
          <w:color w:val="1A1A2E"/>
          <w:sz w:val="20"/>
        </w:rPr>
        <w:t>Alcanza un R² = 0,5421 en Test, explicando el 54% de la variabilidad del costo únicamente a partir del diámetro del rin. Sin embargo, su error medio es elevado (MAE = $2.795,00 INR), confirmando que una sola cota es insuficiente.</w:t>
      </w:r>
    </w:p>
    <w:p>
      <w:pPr>
        <w:spacing w:before="80" w:after="20"/>
      </w:pPr>
      <w:r>
        <w:rPr>
          <w:rFonts w:ascii="Calibri" w:hAnsi="Calibri"/>
          <w:b/>
          <w:color w:val="1E3A8A"/>
          <w:sz w:val="21"/>
        </w:rPr>
        <w:t>4. ¿Qué ocurre al incorporar Width, Aspect Ratio y Brand?</w:t>
      </w:r>
    </w:p>
    <w:p>
      <w:pPr>
        <w:spacing w:before="0" w:after="80"/>
        <w:ind w:left="288"/>
      </w:pPr>
      <w:r>
        <w:rPr>
          <w:rFonts w:ascii="Calibri" w:hAnsi="Calibri"/>
          <w:color w:val="1A1A2E"/>
          <w:sz w:val="20"/>
        </w:rPr>
        <w:t>El coeficiente de determinación salta a R² = 0,7968 (explicando casi el 80% de la varianza del costo en prueba) y el error MAE se reduce a $1.678,60 INR (mejora de casi el 40%).</w:t>
      </w:r>
    </w:p>
    <w:p>
      <w:pPr>
        <w:spacing w:before="80" w:after="20"/>
      </w:pPr>
      <w:r>
        <w:rPr>
          <w:rFonts w:ascii="Calibri" w:hAnsi="Calibri"/>
          <w:b/>
          <w:color w:val="1E3A8A"/>
          <w:sz w:val="21"/>
        </w:rPr>
        <w:t>5. ¿Cómo cambia el MAE entre el modelo simple y el múltiple?</w:t>
      </w:r>
    </w:p>
    <w:p>
      <w:pPr>
        <w:spacing w:before="0" w:after="80"/>
        <w:ind w:left="288"/>
      </w:pPr>
      <w:r>
        <w:rPr>
          <w:rFonts w:ascii="Calibri" w:hAnsi="Calibri"/>
          <w:color w:val="1A1A2E"/>
          <w:sz w:val="20"/>
        </w:rPr>
        <w:t>Se reduce en un 39,94%, cayendo de $2.795,00 INR a $1.678,60 INR, lo que representa una ganancia significativa en precisión media de cotización.</w:t>
      </w:r>
    </w:p>
    <w:p>
      <w:pPr>
        <w:spacing w:before="80" w:after="20"/>
      </w:pPr>
      <w:r>
        <w:rPr>
          <w:rFonts w:ascii="Calibri" w:hAnsi="Calibri"/>
          <w:b/>
          <w:color w:val="1E3A8A"/>
          <w:sz w:val="21"/>
        </w:rPr>
        <w:t>6. ¿Cómo cambia el RMSE y qué indica respecto a errores extremos?</w:t>
      </w:r>
    </w:p>
    <w:p>
      <w:pPr>
        <w:spacing w:before="0" w:after="80"/>
        <w:ind w:left="288"/>
      </w:pPr>
      <w:r>
        <w:rPr>
          <w:rFonts w:ascii="Calibri" w:hAnsi="Calibri"/>
          <w:color w:val="1A1A2E"/>
          <w:sz w:val="20"/>
        </w:rPr>
        <w:t>Disminuye un 33,39%, pasando de $3.827,73 INR a $2.549,50 INR. Al ser una métrica sensible a errores cuadráticos, su descenso confirma una reducción tangible de desviaciones extremas.</w:t>
      </w:r>
    </w:p>
    <w:p>
      <w:pPr>
        <w:spacing w:before="80" w:after="20"/>
      </w:pPr>
      <w:r>
        <w:rPr>
          <w:rFonts w:ascii="Calibri" w:hAnsi="Calibri"/>
          <w:b/>
          <w:color w:val="1E3A8A"/>
          <w:sz w:val="21"/>
        </w:rPr>
        <w:t>7. ¿Cómo cambia el R² y cómo se interpreta en términos de variabilidad explicada?</w:t>
      </w:r>
    </w:p>
    <w:p>
      <w:pPr>
        <w:spacing w:before="0" w:after="80"/>
        <w:ind w:left="288"/>
      </w:pPr>
      <w:r>
        <w:rPr>
          <w:rFonts w:ascii="Calibri" w:hAnsi="Calibri"/>
          <w:color w:val="1A1A2E"/>
          <w:sz w:val="20"/>
        </w:rPr>
        <w:t>Aumenta en 25,47 puntos porcentuales absolutos (de 54,21% a 79,68%), lo que representa un incremento relativo del +46,98% en capacidad explicativa.</w:t>
      </w:r>
    </w:p>
    <w:p>
      <w:pPr>
        <w:spacing w:before="80" w:after="20"/>
      </w:pPr>
      <w:r>
        <w:rPr>
          <w:rFonts w:ascii="Calibri" w:hAnsi="Calibri"/>
          <w:b/>
          <w:color w:val="1E3A8A"/>
          <w:sz w:val="21"/>
        </w:rPr>
        <w:t>8. ¿Existen indicios de errores sistemáticos en los residuos?</w:t>
      </w:r>
    </w:p>
    <w:p>
      <w:pPr>
        <w:spacing w:before="0" w:after="80"/>
        <w:ind w:left="288"/>
      </w:pPr>
      <w:r>
        <w:rPr>
          <w:rFonts w:ascii="Calibri" w:hAnsi="Calibri"/>
          <w:color w:val="1A1A2E"/>
          <w:sz w:val="20"/>
        </w:rPr>
        <w:t>Para el 90% del catálogo (cubiertas de hasta 15.000 INR) los residuos se distribuyen de forma homocedástica y simétrica en torno a cero. En neumáticos de ultra-alta gama (más de 25.000 INR), la dispersión residual crece, evidenciando heterocedasticidad en la cola derecha.</w:t>
      </w:r>
    </w:p>
    <w:p>
      <w:pPr>
        <w:spacing w:before="80" w:after="20"/>
      </w:pPr>
      <w:r>
        <w:rPr>
          <w:rFonts w:ascii="Calibri" w:hAnsi="Calibri"/>
          <w:b/>
          <w:color w:val="1E3A8A"/>
          <w:sz w:val="21"/>
        </w:rPr>
        <w:t>9. ¿El modelo generaliza razonablemente a datos no vistos (Test)?</w:t>
      </w:r>
    </w:p>
    <w:p>
      <w:pPr>
        <w:spacing w:before="0" w:after="80"/>
        <w:ind w:left="288"/>
      </w:pPr>
      <w:r>
        <w:rPr>
          <w:rFonts w:ascii="Calibri" w:hAnsi="Calibri"/>
          <w:color w:val="1A1A2E"/>
          <w:sz w:val="20"/>
        </w:rPr>
        <w:t>Sí. El R² desciende de 0,8966 en Train a 0,7968 en Test, lo cual es un comportamiento esperado y saludable que descarta sobreajuste severo.</w:t>
      </w:r>
    </w:p>
    <w:p>
      <w:pPr>
        <w:spacing w:before="80" w:after="20"/>
      </w:pPr>
      <w:r>
        <w:rPr>
          <w:rFonts w:ascii="Calibri" w:hAnsi="Calibri"/>
          <w:b/>
          <w:color w:val="1E3A8A"/>
          <w:sz w:val="21"/>
        </w:rPr>
        <w:t>10. ¿Qué limitaciones presenta el modelo actual y qué queda para la siguiente entrega?</w:t>
      </w:r>
    </w:p>
    <w:p>
      <w:pPr>
        <w:spacing w:before="0" w:after="80"/>
        <w:ind w:left="288"/>
      </w:pPr>
      <w:r>
        <w:rPr>
          <w:rFonts w:ascii="Calibri" w:hAnsi="Calibri"/>
          <w:color w:val="1A1A2E"/>
          <w:sz w:val="20"/>
        </w:rPr>
        <w:t>La formulación lineal no captura curvaturas en los extremos de precio ni la asimetría log-normal del target. Estas restricciones se abordarán en la Evidencia 3 mediante regularización y modelos de ensamble.</w:t>
      </w:r>
    </w:p>
    <w:p>
      <w:pPr>
        <w:spacing w:before="360" w:after="20"/>
      </w:pPr>
      <w:r>
        <w:rPr>
          <w:rFonts w:ascii="Calibri" w:hAnsi="Calibri"/>
          <w:b/>
          <w:color w:val="2563EB"/>
          <w:sz w:val="22"/>
        </w:rPr>
        <w:t>FASE 6</w:t>
      </w:r>
    </w:p>
    <w:p>
      <w:pPr>
        <w:spacing w:before="0" w:after="160"/>
      </w:pPr>
      <w:r>
        <w:rPr>
          <w:rFonts w:ascii="Calibri" w:hAnsi="Calibri"/>
          <w:b/>
          <w:color w:val="1E3A8A"/>
          <w:sz w:val="30"/>
        </w:rPr>
        <w:t>Roadmap hacia la Evidencia N.º 3 (Trabajo Futuro)</w:t>
      </w:r>
    </w:p>
    <w:p>
      <w:pPr>
        <w:spacing w:before="0" w:after="120" w:line="276" w:lineRule="auto"/>
      </w:pPr>
      <w:r>
        <w:rPr>
          <w:rFonts w:ascii="Calibri" w:hAnsi="Calibri"/>
          <w:color w:val="1A1A2E"/>
          <w:sz w:val="21"/>
        </w:rPr>
        <w:t>En estricta conformidad con las pautas de la cátedra, las técnicas de optimización avanzada quedan reservadas para la Tercera Evidencia:</w:t>
        <w:br/>
        <w:br/>
        <w:t>1. Transformación Logarítmica del Target: Aplicación de ln(Unit Cost) para corregir el sesgo positivo y estabilizar la varianza residual en la cola superior de precios.</w:t>
        <w:br/>
        <w:t>2. Regularización Lineal: Implementación de regresión Ridge (penalización L2) y Lasso (penalización L1) para controlar la multicolinealidad geométrica entre ancho y diámetro de rin.</w:t>
        <w:br/>
        <w:t>3. Modelos de Ensamble y No Lineales: Exploración de árboles de decisión, Random Forest Regressor y Gradient Boosting para capturar interacciones no lineales entre dimensiones.</w:t>
        <w:br/>
        <w:t>4. Optimización de Hiperparámetros: Ajuste sistemático de parámetros mediante validación cruzada k-fold (GridSearchCV).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