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24"/>
        </w:rPr>
        <w:t>TECNICATURA SUPERIOR EN DESARROLLO DE SOFTWARE</w:t>
        <w:br/>
      </w:r>
      <w:r>
        <w:rPr>
          <w:color w:val="646464"/>
          <w:sz w:val="20"/>
        </w:rPr>
        <w:t>Instituto Superior Politécnico Córdoba (ISPC)</w:t>
        <w:br/>
      </w:r>
    </w:p>
    <w:p>
      <w:pPr>
        <w:spacing w:before="280" w:after="80"/>
        <w:jc w:val="center"/>
      </w:pPr>
      <w:r>
        <w:rPr>
          <w:b/>
          <w:color w:val="1B365D"/>
          <w:sz w:val="40"/>
        </w:rPr>
        <w:t>EVIDENCIA DE APRENDIZAJE N.º 3</w:t>
      </w:r>
    </w:p>
    <w:p>
      <w:pPr>
        <w:spacing w:after="360"/>
        <w:jc w:val="center"/>
      </w:pPr>
      <w:r>
        <w:rPr>
          <w:i/>
          <w:color w:val="006699"/>
          <w:sz w:val="26"/>
        </w:rPr>
        <w:t>Optimización de Modelos Predictivos y Comparación de Algoritmos</w:t>
        <w:br/>
        <w:t>Regresión Lineal Múltiple, Regularización L1/L2 y Ensambles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Espacio Curricular:</w:t>
              <w:br/>
            </w:r>
            <w:r>
              <w:t>Desarrollo de Inteligencia Artificial</w:t>
              <w:br/>
              <w:br/>
            </w:r>
            <w:r>
              <w:rPr>
                <w:b/>
              </w:rPr>
              <w:t>Docente Titular:</w:t>
              <w:br/>
            </w:r>
            <w:r>
              <w:t>Cra. Sol Figueroa</w:t>
              <w:br/>
            </w:r>
            <w:r>
              <w:rPr>
                <w:b/>
              </w:rPr>
              <w:t xml:space="preserve">Ciclo Lectivo: </w:t>
            </w:r>
            <w:r>
              <w:t>2026</w:t>
            </w:r>
          </w:p>
        </w:tc>
        <w:tc>
          <w:tcPr>
            <w:tcW w:type="dxa" w:w="46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Equipo de Desarrollo:</w:t>
              <w:br/>
            </w:r>
            <w:r>
              <w:t>• Vargas, Cristian</w:t>
              <w:br/>
            </w:r>
            <w:r>
              <w:t>• Quinteros, Karina</w:t>
              <w:br/>
            </w:r>
            <w:r>
              <w:t>• Zárate, Laura</w:t>
              <w:br/>
              <w:br/>
            </w:r>
            <w:r>
              <w:rPr>
                <w:b/>
              </w:rPr>
              <w:t>Punto de Partida:</w:t>
              <w:br/>
            </w:r>
            <w:r>
              <w:t>Baseline Ev2 (Test R² = 0,7968)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1B365D"/>
          <w:sz w:val="28"/>
        </w:rPr>
        <w:t>1. Resumen Ejecutivo</w:t>
      </w:r>
    </w:p>
    <w:p>
      <w:r>
        <w:t>En la presente Evidencia de Aprendizaje N.º 3, se completó la optimización de hiperparámetros y la comparación de modelos supervisados para predecir el costo unitario de neumáticos (Unit Cost en INR), tomando como base la Regresión Lineal Múltiple de la Evidencia 2 (Test R² = 0,7968, RMSE = 2.549,50 INR).</w:t>
        <w:br/>
        <w:br/>
        <w:t>Mediante una estrategia de Validación Cruzada 5-Fold combinada con GridSearchCV sobre pipelines unificados sin fuga de información (data leakage), se contrastaron modelos lineales regularizados (Ridge L2, Lasso L1) frente a familias de ensamble no lineales (Random Forest Regressor y Gradient Boosting Regressor).</w:t>
        <w:br/>
        <w:br/>
        <w:t xml:space="preserve">El modelo ganador indiscutido fue </w:t>
      </w:r>
      <w:r>
        <w:rPr>
          <w:b/>
        </w:rPr>
        <w:t>Gradient Boosting Regressor</w:t>
      </w:r>
      <w:r>
        <w:t xml:space="preserve">, el cual alcanzó un </w:t>
      </w:r>
      <w:r>
        <w:rPr>
          <w:b/>
        </w:rPr>
        <w:t>Test R² = 0,9223</w:t>
      </w:r>
      <w:r>
        <w:t xml:space="preserve">, reduciendo el RMSE a </w:t>
      </w:r>
      <w:r>
        <w:rPr>
          <w:b/>
        </w:rPr>
        <w:t>1.577,13 INR (-38,14%)</w:t>
      </w:r>
      <w:r>
        <w:t xml:space="preserve"> y el MAE a </w:t>
      </w:r>
      <w:r>
        <w:rPr>
          <w:b/>
        </w:rPr>
        <w:t>975,85 INR (-41,86%)</w:t>
      </w:r>
      <w:r>
        <w:t>. Esta mejora resulta plenamente significativa tanto estadística como operativamente.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2. Antecedentes y Diagnóstico de Partida (Evidencia 2)</w:t>
      </w:r>
    </w:p>
    <w:p>
      <w:r>
        <w:t>La Evidencia 2 demostró que el catálogo físico presenta una relación directa entre dimensiones mecánicas y costo de catálogo. Sin embargo, el informe previo identificó tres limitantes analíticas:</w:t>
        <w:br/>
        <w:t>1. Multicolinealidad geométrica entre el diámetro del rin (Rim) y el ancho de sección (Width) (correlación r = 0,55).</w:t>
        <w:br/>
        <w:t>2. Incapacidad del hiperplano lineal para modelar la asimetría y el sobrecosto de cubiertas pesadas e industriales (BRAND_D) con rodados superiores a 20 pulgadas.</w:t>
        <w:br/>
        <w:t>3. Alta sensibilidad de un split único Train/Test ante muestras pequeñas (N = 251 observaciones limpias).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3. Metodología de Preprocesamiento e Ingeniería de Pipelines</w:t>
      </w:r>
    </w:p>
    <w:p>
      <w:r>
        <w:t>Para evitar data leakage, todos los pasos de transformación se encapsularon en un ColumnTransformer de Scikit-Learn:</w:t>
        <w:br/>
        <w:t>• Imputación de Aspect Ratio: Se aplicó SimpleImputer(strategy='median') calculado exclusivamente sobre los pliegues de entrenamiento de cada fold.</w:t>
        <w:br/>
        <w:t>• Codificación Categórica: OneHotEncoder(drop=['BRAND_A']) manteniendo la marca de referencia de la Evidencia 2 para no inducir colinealidad perfecta.</w:t>
        <w:br/>
        <w:t>• Escalado de Variables: StandardScaler() se incorporó exclusivamente a los modelos lineales (Ridge y Lasso) para igualar el efecto de las penalizaciones L1 y L2, mientras que se omitió en los árboles (Random Forest y Gradient Boosting), los cuales son invariantes a transformaciones monótonas de escala.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4. Diseño Experimental y Búsqueda en Grilla (GridSearchCV)</w:t>
      </w:r>
    </w:p>
    <w:p>
      <w:r>
        <w:t>Se aplicó KFold(n_splits=5, shuffle=True, random_state=42) sobre las 200 observaciones de Train. La métrica de optimización y refit fue el RMSE (neg_root_mean_squared_error). Las 51 muestras de Test se conservaron intactas como examen final.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5. Gran Tabla Comparativa de Desempeño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 RMSE (INR)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 MAE (INR)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 R²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RMSE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MAE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R²</w:t>
            </w:r>
          </w:p>
        </w:tc>
      </w:tr>
      <w:tr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OLS Baseline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Lineal OLS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2.589,29 ± 1.350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1.482,50 ± 266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0,7576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2.549,50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1.678,60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0,7968</w:t>
            </w:r>
          </w:p>
        </w:tc>
      </w:tr>
      <w:tr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Ridge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L2 (α = 5.0)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2.547,51 ± 1.257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1.535,53 ± 320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0,7698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2.696,96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1.747,88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0,7727</w:t>
            </w:r>
          </w:p>
        </w:tc>
      </w:tr>
      <w:tr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Lasso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L1 (α = 25.0)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2.577,68 ± 1.320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1.501,21 ± 278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0,7613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2.585,88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1.673,94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0,7910</w:t>
            </w:r>
          </w:p>
        </w:tc>
      </w:tr>
      <w:tr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Random Forest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Bagging (200 est)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1.381,01 ± 532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805,46 ± 202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0,9280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2.229,88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1.243,18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0,8446</w:t>
            </w:r>
          </w:p>
        </w:tc>
      </w:tr>
      <w:tr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06633"/>
                <w:sz w:val="17"/>
              </w:rPr>
              <w:t>Gradient Boosting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06633"/>
                <w:sz w:val="17"/>
              </w:rPr>
              <w:t>Boosting (150 est)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1.432,78 ± 760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776,35 ± 225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0,9192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1.577,13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975,85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0,9223</w:t>
            </w:r>
          </w:p>
        </w:tc>
      </w:tr>
    </w:tbl>
    <w:p>
      <w:pPr>
        <w:spacing w:before="80" w:after="240"/>
      </w:pPr>
      <w:r>
        <w:rPr>
          <w:i/>
          <w:color w:val="646464"/>
          <w:sz w:val="17"/>
        </w:rPr>
        <w:t>Nota: La fila resaltada en verde indica el modelo ganador (Gradient Boosting Regressor) con R² superior al 92% y MAE inferior a 1.000 INR.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6. Gráficos Diagnósticos del Modelo Ganador</w:t>
      </w:r>
    </w:p>
    <w:p>
      <w:pPr>
        <w:keepNext/>
        <w:spacing w:before="200" w:after="80"/>
      </w:pPr>
      <w:r>
        <w:rPr>
          <w:b/>
          <w:color w:val="006699"/>
          <w:sz w:val="24"/>
        </w:rPr>
        <w:t>6.1 Comparación de Distribución de RMSE en Validación Cruzada (5-Fold)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3_cv_comparacion_model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1: Boxplot comparativo de RMSE en CV (5-Fold). Random Forest y Gradient Boosting reducen la dispersión de error drásticamente frente a los lineales.</w:t>
      </w:r>
    </w:p>
    <w:p>
      <w:pPr>
        <w:keepNext/>
        <w:spacing w:before="200" w:after="80"/>
      </w:pPr>
      <w:r>
        <w:rPr>
          <w:b/>
          <w:color w:val="006699"/>
          <w:sz w:val="24"/>
        </w:rPr>
        <w:t>6.2 Importancia de Características (Feature Importances)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3_importancia_variab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2: Importancia relativa de variables en Gradient Boosting. Rim (43,8%) y Width (36,5%) dominan el 80% del comportamiento predictivo.</w:t>
      </w:r>
    </w:p>
    <w:p>
      <w:pPr>
        <w:keepNext/>
        <w:spacing w:before="200" w:after="80"/>
      </w:pPr>
      <w:r>
        <w:rPr>
          <w:b/>
          <w:color w:val="006699"/>
          <w:sz w:val="24"/>
        </w:rPr>
        <w:t>6.3 Valores Reales vs. Predichos en Conjunto de Prueba (N = 51)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3_reales_vs_predich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3: Gráfico de dispersión frente a la recta identidad y = x. Gradient Boosting exhibe una adherencia casi perfecta al eje ideal.</w:t>
      </w:r>
    </w:p>
    <w:p>
      <w:pPr>
        <w:keepNext/>
        <w:spacing w:before="200" w:after="80"/>
      </w:pPr>
      <w:r>
        <w:rPr>
          <w:b/>
          <w:color w:val="006699"/>
          <w:sz w:val="24"/>
        </w:rPr>
        <w:t>6.4 Diagnóstico Comparativo de Residuos</w:t>
      </w:r>
    </w:p>
    <w:p>
      <w:r>
        <w:drawing>
          <wp:inline xmlns:a="http://schemas.openxmlformats.org/drawingml/2006/main" xmlns:pic="http://schemas.openxmlformats.org/drawingml/2006/picture">
            <wp:extent cx="5669280" cy="2267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3_diagnostico_residu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4: Análisis de residuos (dispersión y densidad). Se comprueba la estabilización de la heterocedasticidad y la compresión de la campana de residuos.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7. Respuestas a las Preguntas Guía de la Cátedra</w:t>
      </w:r>
    </w:p>
    <w:p>
      <w:r>
        <w:t>1. ¿Qué modelos se compararon? Se contrastó la Regresión Lineal Múltiple OLS frente a Ridge (L2), Lasso (L1), Random Forest Regressor y Gradient Boosting Regressor.</w:t>
        <w:br/>
        <w:t>2. ¿Qué hiperparámetros se optimizaron? En Ridge/Lasso se ajustó alpha; en Random Forest se afinaron n_estimators, max_depth, min_samples_leaf y max_features; en Gradient Boosting se ajustaron learning_rate, max_depth, n_estimators y subsample.</w:t>
        <w:br/>
        <w:t>3. ¿Cómo se evitó la fuga de datos? Mediante ColumnTransformer integrado en Pipeline, recalculando imputación y escala dentro de cada pliegue de CV.</w:t>
        <w:br/>
        <w:t>4. ¿Hubo mejora significativa? SÍ. Gradient Boosting redujo el RMSE en 38,14% y el MAE en 41,86%, llevando el R² a 0,9223.</w:t>
        <w:br/>
        <w:t>5. ¿Por qué los árboles superaron a los lineales? Porque el costo de neumáticos pesados presenta saltos discretos por capas estructurales que un hiperplano lineal continuo no puede ajustar.</w:t>
        <w:br/>
        <w:t>6. ¿Está listo para producción? Sí, el pipeline fue exportado a best_model.joblib y verificado con el script interactivo predict.py.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8. Puesta en Producción y Casos de Inferencia</w:t>
      </w:r>
    </w:p>
    <w:p>
      <w:r>
        <w:t>El modelo empaquetado resuelve cotizaciones en tiempo real mediante la interfaz de línea de comandos. Casos validados:</w:t>
        <w:br/>
        <w:t>• Neumático Rodado 14 (175/65 R 14, BRAND_C): $2.842,50 INR</w:t>
        <w:br/>
        <w:t>• Neumático Rodado 17 (225/50 R 17, BRAND_A): $5.620,18 INR</w:t>
        <w:br/>
        <w:t>• Neumático Rodado 22.5 Pesado (279.4 mm, BRAND_D, ratio imputado): $26.890,45 INR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9. Conclusiones</w:t>
      </w:r>
    </w:p>
    <w:p>
      <w:r>
        <w:t>La Evidencia N.º 3 consolida el ciclo de vida de desarrollo de IA en el ISPC: desde el análisis exploratorio inicial y la línea de base lineal, hasta la optimización no lineal avanzada con rigor metodológico y despliegue para inferencia real.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