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24"/>
        </w:rPr>
        <w:t>TECNICATURA SUPERIOR EN DESARROLLO DE SOFTWARE</w:t>
        <w:br/>
      </w:r>
      <w:r>
        <w:rPr>
          <w:color w:val="646464"/>
          <w:sz w:val="20"/>
        </w:rPr>
        <w:t>Instituto Superior Politécnico Córdoba (ISPC)</w:t>
        <w:br/>
      </w:r>
    </w:p>
    <w:p>
      <w:pPr>
        <w:spacing w:before="240" w:after="80"/>
        <w:jc w:val="center"/>
      </w:pPr>
      <w:r>
        <w:rPr>
          <w:b/>
          <w:color w:val="1B365D"/>
          <w:sz w:val="40"/>
        </w:rPr>
        <w:t>EVIDENCIA DE APRENDIZAJE N.º 3</w:t>
      </w:r>
    </w:p>
    <w:p>
      <w:pPr>
        <w:spacing w:after="320"/>
        <w:jc w:val="center"/>
      </w:pPr>
      <w:r>
        <w:rPr>
          <w:i/>
          <w:color w:val="006699"/>
          <w:sz w:val="26"/>
        </w:rPr>
        <w:t>Optimización de Modelos Predictivos y Comparación de Algoritmos</w:t>
        <w:br/>
        <w:t>Regresión Lineal Múltiple, Ridge y Random Forest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Espacio Curricular:</w:t>
              <w:br/>
            </w:r>
            <w:r>
              <w:t>Desarrollo de Inteligencia Artificial</w:t>
              <w:br/>
              <w:br/>
            </w:r>
            <w:r>
              <w:rPr>
                <w:b/>
              </w:rPr>
              <w:t>Docente Titular:</w:t>
              <w:br/>
            </w:r>
            <w:r>
              <w:t>Cra. Sol Figueroa</w:t>
              <w:br/>
            </w:r>
            <w:r>
              <w:rPr>
                <w:b/>
              </w:rPr>
              <w:t xml:space="preserve">Ciclo Lectivo: </w:t>
            </w:r>
            <w:r>
              <w:t>2026</w:t>
            </w:r>
          </w:p>
        </w:tc>
        <w:tc>
          <w:tcPr>
            <w:tcW w:type="dxa" w:w="468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Equipo de Desarrollo:</w:t>
              <w:br/>
            </w:r>
            <w:r>
              <w:t>• Vargas, Cristian</w:t>
              <w:br/>
            </w:r>
            <w:r>
              <w:t>• Quinteros, Karina</w:t>
              <w:br/>
            </w:r>
            <w:r>
              <w:t>• Zárate, Laura</w:t>
              <w:br/>
              <w:br/>
            </w:r>
            <w:r>
              <w:rPr>
                <w:b/>
              </w:rPr>
              <w:t>Punto de Partida:</w:t>
              <w:br/>
            </w:r>
            <w:r>
              <w:t>Baseline Ev2 (Test R² = 0,7968)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ENLACES OFICIALES DEL PROYECTO Y RECURSOS EN LÍNEA</w:t>
              <w:br/>
            </w:r>
            <w:r>
              <w:rPr>
                <w:b/>
              </w:rPr>
              <w:t xml:space="preserve">• Aplicación Web en Producción (Vercel Live): </w:t>
            </w:r>
            <w:r>
              <w:t>https://desarrollo-de-ia.vercel.app/</w:t>
              <w:br/>
            </w:r>
            <w:r>
              <w:rPr>
                <w:b/>
              </w:rPr>
              <w:t xml:space="preserve">• Repositorio en GitHub: </w:t>
            </w:r>
            <w:r>
              <w:t>https://github.com/TeamYear3/Desarrollo-de-IA</w:t>
              <w:br/>
            </w:r>
            <w:r>
              <w:rPr>
                <w:b/>
              </w:rPr>
              <w:t xml:space="preserve">• Notebook Ejecutado (Evidencia 3): </w:t>
            </w:r>
            <w:r>
              <w:t>https://github.com/TeamYear3/Desarrollo-de-IA/blob/main/notebooks/Evidencia_3_Optimizacion.ipynb</w:t>
              <w:br/>
            </w:r>
            <w:r>
              <w:rPr>
                <w:b/>
              </w:rPr>
              <w:t xml:space="preserve">• Modelo Serializado (Producción): </w:t>
            </w:r>
            <w:r>
              <w:t>https://github.com/TeamYear3/Desarrollo-de-IA/blob/main/models/best_model.joblib</w:t>
              <w:br/>
            </w:r>
            <w:r>
              <w:rPr>
                <w:b/>
              </w:rPr>
              <w:t xml:space="preserve">• Script de Inferencia CLI: </w:t>
            </w:r>
            <w:r>
              <w:t>https://github.com/TeamYear3/Desarrollo-de-IA/blob/main/src/predict.py</w:t>
              <w:br/>
            </w:r>
            <w:r>
              <w:rPr>
                <w:b/>
              </w:rPr>
              <w:t xml:space="preserve">• Código Fuente del Despliegue: </w:t>
            </w:r>
            <w:r>
              <w:t>https://github.com/Malvadapapa/Desarrollo-de-IA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1B365D"/>
          <w:sz w:val="26"/>
        </w:rPr>
        <w:t>1. Resumen Ejecutivo</w:t>
      </w:r>
    </w:p>
    <w:p>
      <w:r>
        <w:t>En la Evidencia de Aprendizaje N.º 3 se optimizó el modelo predictivo de costo unitario de neumáticos (Unit Cost en INR), tomando como base la Regresión Lineal Múltiple de la Evidencia 2 (Test R² = 0,7968, RMSE = 2.549,50 INR).</w:t>
        <w:br/>
        <w:br/>
        <w:t>Mediante Validación Cruzada 5-Fold y GridSearchCV encapsulados en un ColumnTransformer sin fuga de datos, se compararon tres modelos: Regresión Lineal OLS, Regresión Ridge (L2) y Random Forest Regressor.</w:t>
        <w:br/>
        <w:br/>
        <w:t xml:space="preserve">La selección del modelo se realizó exclusivamente a partir del desempeño en validación cruzada sobre los datos de entrenamiento (Train, N = 200). </w:t>
      </w:r>
      <w:r>
        <w:rPr>
          <w:b/>
        </w:rPr>
        <w:t>Random Forest Regressor</w:t>
      </w:r>
      <w:r>
        <w:t xml:space="preserve"> resultó el ganador indiscutido:</w:t>
        <w:br/>
        <w:t xml:space="preserve">• En Validación Cruzada 5-Fold redujo el RMSE medio a </w:t>
      </w:r>
      <w:r>
        <w:rPr>
          <w:b/>
        </w:rPr>
        <w:t>1.381,01 INR</w:t>
      </w:r>
      <w:r>
        <w:t xml:space="preserve"> (reducción del 46,67% frente al baseline).</w:t>
        <w:br/>
        <w:t xml:space="preserve">• En la comparación pareada fold por fold superó al modelo lineal en </w:t>
      </w:r>
      <w:r>
        <w:rPr>
          <w:b/>
        </w:rPr>
        <w:t>5 de los 5 pliegues (100% de victorias)</w:t>
      </w:r>
      <w:r>
        <w:t xml:space="preserve">, con una diferencia media a favor de </w:t>
      </w:r>
      <w:r>
        <w:rPr>
          <w:b/>
        </w:rPr>
        <w:t>1.208,3 ± 1.309,1 INR</w:t>
      </w:r>
      <w:r>
        <w:t>.</w:t>
        <w:br/>
        <w:t xml:space="preserve">• En el conjunto Test independiente (N = 51) ratificó la mejora: el RMSE descendió a </w:t>
      </w:r>
      <w:r>
        <w:rPr>
          <w:b/>
        </w:rPr>
        <w:t>2.229,88 INR (+12,54%)</w:t>
      </w:r>
      <w:r>
        <w:t xml:space="preserve">, el MAE cayó a </w:t>
      </w:r>
      <w:r>
        <w:rPr>
          <w:b/>
        </w:rPr>
        <w:t>1.243,18 INR (-25,94%)</w:t>
      </w:r>
      <w:r>
        <w:t xml:space="preserve"> y el R² ascendió a </w:t>
      </w:r>
      <w:r>
        <w:rPr>
          <w:b/>
        </w:rPr>
        <w:t>0,8446</w:t>
      </w:r>
      <w:r>
        <w:t xml:space="preserve"> (+4,78 p.p. netos).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2. Antecedentes y Diagnóstico de Partida (Evidencia 2)</w:t>
      </w:r>
    </w:p>
    <w:p>
      <w:r>
        <w:t>La Evidencia 2 demostró que el catálogo físico presenta una relación directa entre dimensiones mecánicas y costo. Sin embargo, el informe previo identificó tres limitantes:</w:t>
        <w:br/>
        <w:t>1. Correlación geométrica entre el diámetro del rin (Rim) y el ancho de sección (Width) (r = 0,57 en Train), que infla la varianza de los coeficientes lineales.</w:t>
        <w:br/>
        <w:t>2. No linealidad en neumáticos pesados e industriales (BRAND_D) con rodados superiores a 20 pulgadas, cuyos sobrecostos no escalan de forma lineal aditiva.</w:t>
        <w:br/>
        <w:t>3. Inestabilidad de una partición única Train/Test en muestras acotadas (N = 251 observaciones limpias).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3. Metodología de Preprocesamiento e Ingeniería de Pipelines</w:t>
      </w:r>
    </w:p>
    <w:p>
      <w:r>
        <w:t>Para erradicar la fuga de datos (data leakage), todas las transformaciones se integraron en un ColumnTransformer:</w:t>
        <w:br/>
        <w:t>• Imputación de Aspect Ratio: SimpleImputer(strategy='median') calculado exclusivamente sobre los pliegues de entrenamiento de cada fold.</w:t>
        <w:br/>
        <w:t>• Codificación Categórica: OneHotEncoder(drop=['BRAND_A']) manteniendo la marca de referencia de la Evidencia 2 para evitar multicolinealidad exacta.</w:t>
        <w:br/>
        <w:t>• Escalado condicional: StandardScaler() aplicado únicamente a Ridge para equiparar la penalización L2 entre variables con distintas escalas; omitido en Random Forest debido a que los árboles son invariantes a transformaciones monótonas.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4. Diseño Experimental y Búsqueda en Grilla (GridSearchCV)</w:t>
      </w:r>
    </w:p>
    <w:p>
      <w:r>
        <w:t>Se utilizó KFold(n_splits=5, shuffle=True, random_state=42) sobre las 200 observaciones de Train. La métrica de optimización y refit fue neg_root_mean_squared_error. Las 51 muestras de Test se preservaron intactas como examen final.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5. Gran Tabla Comparativa de Desempeño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Técnica / Config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RMSE (INR)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MAE (INR)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R²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RMSE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  <w:tc>
          <w:tcPr>
            <w:tcW w:type="dxa" w:w="117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R²</w:t>
            </w:r>
          </w:p>
        </w:tc>
      </w:tr>
      <w:tr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OLS Baseline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Lineal analítico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2.589,29 ± 1.350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1.482,50 ± 266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0,7576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2.549,50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1.678,60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0,7968</w:t>
            </w:r>
          </w:p>
        </w:tc>
      </w:tr>
      <w:tr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Ridge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L2 (α = 5.0)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2.547,51 ± 1.257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1.535,53 ± 320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0,7698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2.696,96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1.747,88</w:t>
            </w:r>
          </w:p>
        </w:tc>
        <w:tc>
          <w:tcPr>
            <w:tcW w:type="dxa" w:w="1170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0,7727</w:t>
            </w:r>
          </w:p>
        </w:tc>
      </w:tr>
      <w:tr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06633"/>
                <w:sz w:val="17"/>
              </w:rPr>
              <w:t>Random Forest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006633"/>
                <w:sz w:val="17"/>
              </w:rPr>
              <w:t>Bagging (200 est)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1.381,01 ± 532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805,46 ± 202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0,9280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2.229,88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1.243,18</w:t>
            </w:r>
          </w:p>
        </w:tc>
        <w:tc>
          <w:tcPr>
            <w:tcW w:type="dxa" w:w="1170"/>
            <w:shd w:fill="EBF3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006633"/>
                <w:sz w:val="17"/>
              </w:rPr>
              <w:t>0,8446</w:t>
            </w:r>
          </w:p>
        </w:tc>
      </w:tr>
    </w:tbl>
    <w:p>
      <w:pPr>
        <w:spacing w:before="80" w:after="200"/>
      </w:pPr>
      <w:r>
        <w:rPr>
          <w:i/>
          <w:color w:val="646464"/>
          <w:sz w:val="17"/>
        </w:rPr>
        <w:t>Nota: La fila resaltada en verde indica el modelo ganador (Random Forest Regressor) seleccionado por validación cruzada.</w:t>
      </w:r>
    </w:p>
    <w:p>
      <w:pPr>
        <w:keepNext/>
        <w:spacing w:before="200" w:after="60"/>
      </w:pPr>
      <w:r>
        <w:rPr>
          <w:b/>
          <w:color w:val="006699"/>
          <w:sz w:val="23"/>
        </w:rPr>
        <w:t>5.1 Comparación Pareada Fold por Fold (CV 5-Fold)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Pliegue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OLS Baseline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Ridge (α=5.0)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Random Forest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Diferencia OLS vs RF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6"/>
              </w:rPr>
              <w:t>Fold 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2.023,4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2.011,2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1.212,4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+811,0 INR</w:t>
            </w:r>
          </w:p>
        </w:tc>
      </w:tr>
      <w:tr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6"/>
              </w:rPr>
              <w:t>Fold 2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2.212,0 INR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2.112,0 INR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2.187,1 INR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+24,9 INR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6"/>
              </w:rPr>
              <w:t>Fold 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1.881,8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2.016,4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880,1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+1.001,7 INR</w:t>
            </w:r>
          </w:p>
        </w:tc>
      </w:tr>
      <w:tr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6"/>
              </w:rPr>
              <w:t>Fold 4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5.257,2 INR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5.033,0 INR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1.803,1 INR</w:t>
            </w:r>
          </w:p>
        </w:tc>
        <w:tc>
          <w:tcPr>
            <w:tcW w:type="dxa" w:w="1872"/>
            <w:shd w:fill="F9FBFD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+3.454,1 INR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6"/>
              </w:rPr>
              <w:t>Fold 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1.572,1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1.564,9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822,4 INR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+749,7 INR</w:t>
            </w:r>
          </w:p>
        </w:tc>
      </w:tr>
      <w:tr>
        <w:tc>
          <w:tcPr>
            <w:tcW w:type="dxa" w:w="1872"/>
            <w:shd w:fill="EBF3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Promedio ± Desvío</w:t>
            </w:r>
          </w:p>
        </w:tc>
        <w:tc>
          <w:tcPr>
            <w:tcW w:type="dxa" w:w="1872"/>
            <w:shd w:fill="EBF3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2.589,3 ± 1.350</w:t>
            </w:r>
          </w:p>
        </w:tc>
        <w:tc>
          <w:tcPr>
            <w:tcW w:type="dxa" w:w="1872"/>
            <w:shd w:fill="EBF3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2.547,5 ± 1.257</w:t>
            </w:r>
          </w:p>
        </w:tc>
        <w:tc>
          <w:tcPr>
            <w:tcW w:type="dxa" w:w="1872"/>
            <w:shd w:fill="EBF3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1.381,0 ± 533</w:t>
            </w:r>
          </w:p>
        </w:tc>
        <w:tc>
          <w:tcPr>
            <w:tcW w:type="dxa" w:w="1872"/>
            <w:shd w:fill="EBF3F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+1.208,3 ± 1.309 INR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1B365D"/>
          <w:sz w:val="26"/>
        </w:rPr>
        <w:t>6. Diagnóstico del Modelo Ganador (Random Forest)</w:t>
      </w:r>
    </w:p>
    <w:p>
      <w:pPr>
        <w:keepNext/>
        <w:spacing w:before="200" w:after="60"/>
      </w:pPr>
      <w:r>
        <w:rPr>
          <w:b/>
          <w:color w:val="006699"/>
          <w:sz w:val="23"/>
        </w:rPr>
        <w:t>6.1 Distribución de RMSE en Validación Cruzada (5-Fold)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cv_comparacion_mode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Boxplot de RMSE en CV 5-Fold. Random Forest muestra una reducción marcada y mayor estabilidad que los modelos lineales.</w:t>
      </w:r>
    </w:p>
    <w:p>
      <w:pPr>
        <w:keepNext/>
        <w:spacing w:before="200" w:after="60"/>
      </w:pPr>
      <w:r>
        <w:rPr>
          <w:b/>
          <w:color w:val="006699"/>
          <w:sz w:val="23"/>
        </w:rPr>
        <w:t>6.2 Importancia de Características (Feature Importances)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importancia_vari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2: Importancia de variables en Random Forest: Width (40,3%), Rim (32,1%), BRAND_D (13,2%) y Ratio (11,9%).</w:t>
      </w:r>
    </w:p>
    <w:p>
      <w:pPr>
        <w:keepNext/>
        <w:spacing w:before="200" w:after="60"/>
      </w:pPr>
      <w:r>
        <w:rPr>
          <w:b/>
          <w:color w:val="006699"/>
          <w:sz w:val="23"/>
        </w:rPr>
        <w:t>6.3 Valores Reales vs. Predichos en Conjunto de Prueba (N = 51)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reales_vs_predich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3: Comparación frente a la recta identidad y = x. Random Forest corrige la subestimación en productos caros.</w:t>
      </w:r>
    </w:p>
    <w:p>
      <w:pPr>
        <w:keepNext/>
        <w:spacing w:before="200" w:after="60"/>
      </w:pPr>
      <w:r>
        <w:rPr>
          <w:b/>
          <w:color w:val="006699"/>
          <w:sz w:val="23"/>
        </w:rPr>
        <w:t>6.4 Diagnóstico de Residuos</w:t>
      </w:r>
    </w:p>
    <w:p>
      <w:r>
        <w:drawing>
          <wp:inline xmlns:a="http://schemas.openxmlformats.org/drawingml/2006/main" xmlns:pic="http://schemas.openxmlformats.org/drawingml/2006/picture">
            <wp:extent cx="5486400" cy="2190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diagnostico_residu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4: Residuos vs predichos e histograma de densidad. Se observa mayor concentración en torno al cero y colas más acotadas.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7. Puesta en Producción e Inferencia Real</w:t>
      </w:r>
    </w:p>
    <w:p>
      <w:r>
        <w:t>El pipeline ganador fue exportado en models/best_model.joblib. Mediante src/predict.py se validaron tres casos reales:</w:t>
        <w:br/>
        <w:t>• Turismo económico (175/65 R 14, BRAND_C): $3.870,80 INR</w:t>
        <w:br/>
        <w:t>• Turismo estándar (225/50 R 17, BRAND_A): $7.123,11 INR</w:t>
        <w:br/>
        <w:t>• Camión pesado (279.4 mm rodado 22.5, BRAND_D, ratio imputado): $24.186,33 INR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8. Respuestas a las Preguntas Guía de la Cátedra</w:t>
      </w:r>
    </w:p>
    <w:p>
      <w:r>
        <w:t>1. ¿Qué modelos se compararon? Regresión Lineal OLS, Ridge (L2) y Random Forest Regressor.</w:t>
        <w:br/>
        <w:t>2. ¿Qué hiperparámetros se optimizaron? En Ridge se evaluó alpha; en Random Forest se optimizaron n_estimators, max_depth, min_samples_leaf y max_features.</w:t>
        <w:br/>
        <w:t>3. ¿Cómo se evitó la fuga de datos? Con ColumnTransformer integrado en Pipeline, recalculando imputación y escala dentro de cada pliegue de entrenamiento.</w:t>
        <w:br/>
        <w:t>4. ¿Por qué Ridge no mejoró sustancialmente? Porque la relación entre variables y costo presenta no linealidades que no se resuelven penalizando coeficientes lineales.</w:t>
        <w:br/>
        <w:t>5. ¿Hubo mejora significativa? Sí: Random Forest ganó en 5/5 pliegues en validación cruzada y en Test redujo el MAE un 25,94% y el RMSE un 12,54%, elevando el R² a 0,8446.</w:t>
        <w:br/>
        <w:t>6. ¿Está listo para producción? Sí, empaquetado en best_model.joblib con interfaz CLI ejecutable.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9. Conclusiones</w:t>
      </w:r>
    </w:p>
    <w:p>
      <w:r>
        <w:t>La Evidencia N.º 3 consolida el flujo de machine learning del ISPC con un enfoque transparente, reproducible y sin fuga de datos, demostrando la superioridad de los ensambles no lineales sobre el catálogo de neumáticos.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