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276" w:lineRule="auto"/>
        <w:ind w:firstLine="14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</w:rPr>
        <w:drawing>
          <wp:inline distB="114300" distT="114300" distL="114300" distR="114300">
            <wp:extent cx="895350" cy="89535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                                                                                 </w:t>
      </w:r>
      <w:r w:rsidDel="00000000" w:rsidR="00000000" w:rsidRPr="00000000">
        <w:rPr>
          <w:b w:val="1"/>
          <w:bCs w:val="1"/>
          <w:sz w:val="22"/>
          <w:szCs w:val="22"/>
        </w:rPr>
        <w:drawing>
          <wp:inline distB="114300" distT="114300" distL="114300" distR="114300">
            <wp:extent cx="1345154" cy="705046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5154" cy="7050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hd w:fill="ffffff" w:val="clear"/>
        <w:spacing w:after="0" w:before="0" w:line="256.8" w:lineRule="auto"/>
        <w:ind w:left="100" w:firstLine="0"/>
        <w:jc w:val="both"/>
        <w:rPr>
          <w:rFonts w:ascii="Calibri" w:cs="Calibri" w:eastAsia="Calibri" w:hAnsi="Calibri"/>
          <w:color w:val="00a8e3"/>
          <w:sz w:val="30"/>
          <w:szCs w:val="30"/>
        </w:rPr>
      </w:pPr>
      <w:bookmarkStart w:colFirst="0" w:colLast="0" w:name="_heading=h.ofnaoutktot7" w:id="0"/>
      <w:bookmarkEnd w:id="0"/>
      <w:r w:rsidDel="00000000" w:rsidR="00000000" w:rsidRPr="00000000">
        <w:rPr>
          <w:rFonts w:ascii="Calibri" w:cs="Calibri" w:eastAsia="Calibri" w:hAnsi="Calibri"/>
          <w:color w:val="00a8e3"/>
          <w:sz w:val="30"/>
          <w:szCs w:val="30"/>
          <w:rtl w:val="0"/>
        </w:rPr>
        <w:t xml:space="preserve">TECNICATURA SUPERIOR EN</w:t>
      </w:r>
    </w:p>
    <w:p w:rsidR="00000000" w:rsidDel="00000000" w:rsidP="00000000" w:rsidRDefault="00000000" w:rsidRPr="00000000" w14:paraId="00000004">
      <w:pPr>
        <w:spacing w:line="256.8" w:lineRule="auto"/>
        <w:ind w:left="100" w:firstLine="0"/>
        <w:jc w:val="both"/>
        <w:rPr>
          <w:rFonts w:ascii="Calibri" w:cs="Calibri" w:eastAsia="Calibri" w:hAnsi="Calibri"/>
          <w:b w:val="1"/>
          <w:bCs w:val="1"/>
          <w:color w:val="00a8e3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a8e3"/>
          <w:sz w:val="30"/>
          <w:szCs w:val="30"/>
          <w:rtl w:val="0"/>
        </w:rPr>
        <w:t xml:space="preserve">Desarrollo de Software</w:t>
      </w:r>
    </w:p>
    <w:p w:rsidR="00000000" w:rsidDel="00000000" w:rsidP="00000000" w:rsidRDefault="00000000" w:rsidRPr="00000000" w14:paraId="00000005">
      <w:pPr>
        <w:spacing w:line="256.8" w:lineRule="auto"/>
        <w:ind w:left="100" w:firstLine="0"/>
        <w:jc w:val="both"/>
        <w:rPr>
          <w:rFonts w:ascii="Calibri" w:cs="Calibri" w:eastAsia="Calibri" w:hAnsi="Calibri"/>
          <w:b w:val="1"/>
          <w:bCs w:val="1"/>
          <w:color w:val="00a8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56.8" w:lineRule="auto"/>
        <w:ind w:left="100" w:firstLine="0"/>
        <w:jc w:val="both"/>
        <w:rPr>
          <w:rFonts w:ascii="Calibri" w:cs="Calibri" w:eastAsia="Calibri" w:hAnsi="Calibri"/>
          <w:b w:val="1"/>
          <w:bCs w:val="1"/>
          <w:color w:val="00a8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56.8" w:lineRule="auto"/>
        <w:ind w:left="100" w:firstLine="0"/>
        <w:jc w:val="both"/>
        <w:rPr>
          <w:rFonts w:ascii="Calibri" w:cs="Calibri" w:eastAsia="Calibri" w:hAnsi="Calibri"/>
          <w:b w:val="1"/>
          <w:bCs w:val="1"/>
          <w:color w:val="00a8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56.8" w:lineRule="auto"/>
        <w:ind w:left="100" w:firstLine="0"/>
        <w:jc w:val="both"/>
        <w:rPr>
          <w:rFonts w:ascii="Calibri" w:cs="Calibri" w:eastAsia="Calibri" w:hAnsi="Calibri"/>
          <w:b w:val="1"/>
          <w:bCs w:val="1"/>
          <w:color w:val="00a8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56.8" w:lineRule="auto"/>
        <w:ind w:left="100" w:firstLine="0"/>
        <w:jc w:val="both"/>
        <w:rPr>
          <w:rFonts w:ascii="Calibri" w:cs="Calibri" w:eastAsia="Calibri" w:hAnsi="Calibri"/>
          <w:b w:val="1"/>
          <w:bCs w:val="1"/>
          <w:color w:val="00a8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56.8" w:lineRule="auto"/>
        <w:ind w:left="100" w:firstLine="0"/>
        <w:jc w:val="both"/>
        <w:rPr>
          <w:rFonts w:ascii="Calibri" w:cs="Calibri" w:eastAsia="Calibri" w:hAnsi="Calibri"/>
          <w:b w:val="1"/>
          <w:bCs w:val="1"/>
          <w:color w:val="00a8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rFonts w:ascii="Calibri" w:cs="Calibri" w:eastAsia="Calibri" w:hAnsi="Calibri"/>
          <w:color w:val="00a8e3"/>
          <w:sz w:val="38"/>
          <w:szCs w:val="38"/>
        </w:rPr>
      </w:pPr>
      <w:r w:rsidDel="00000000" w:rsidR="00000000" w:rsidRPr="00000000">
        <w:rPr>
          <w:rFonts w:ascii="Calibri" w:cs="Calibri" w:eastAsia="Calibri" w:hAnsi="Calibri"/>
          <w:color w:val="00a8e3"/>
          <w:sz w:val="38"/>
          <w:szCs w:val="38"/>
          <w:rtl w:val="0"/>
        </w:rPr>
        <w:t xml:space="preserve">Espacio curricular</w:t>
      </w:r>
    </w:p>
    <w:p w:rsidR="00000000" w:rsidDel="00000000" w:rsidP="00000000" w:rsidRDefault="00000000" w:rsidRPr="00000000" w14:paraId="0000000C">
      <w:pPr>
        <w:spacing w:line="256.8" w:lineRule="auto"/>
        <w:ind w:left="100" w:firstLine="0"/>
        <w:jc w:val="center"/>
        <w:rPr>
          <w:b w:val="1"/>
          <w:bCs w:val="1"/>
          <w:sz w:val="10"/>
          <w:szCs w:val="1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a8e3"/>
          <w:sz w:val="50"/>
          <w:szCs w:val="50"/>
          <w:rtl w:val="0"/>
        </w:rPr>
        <w:t xml:space="preserve">Desarrollo de Inteligencia Artificial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56.8" w:lineRule="auto"/>
        <w:ind w:left="100" w:firstLine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56.8" w:lineRule="auto"/>
        <w:ind w:left="100" w:firstLine="0"/>
        <w:jc w:val="center"/>
        <w:rPr>
          <w:rFonts w:ascii="Calibri" w:cs="Calibri" w:eastAsia="Calibri" w:hAnsi="Calibri"/>
          <w:b w:val="1"/>
          <w:bCs w:val="1"/>
          <w:sz w:val="42"/>
          <w:szCs w:val="4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a8e3"/>
          <w:sz w:val="42"/>
          <w:szCs w:val="42"/>
          <w:rtl w:val="0"/>
        </w:rPr>
        <w:t xml:space="preserve">Profesora: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2"/>
          <w:szCs w:val="4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42"/>
          <w:szCs w:val="42"/>
          <w:rtl w:val="0"/>
        </w:rPr>
        <w:t xml:space="preserve">Cra. Sol Figueroa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56.8" w:lineRule="auto"/>
        <w:ind w:left="100" w:firstLine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56.8" w:lineRule="auto"/>
        <w:ind w:left="100" w:firstLine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56.8" w:lineRule="auto"/>
        <w:ind w:left="100" w:firstLine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56.8" w:lineRule="auto"/>
        <w:ind w:left="100" w:firstLine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56.8" w:lineRule="auto"/>
        <w:ind w:left="100" w:firstLine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56.8" w:lineRule="auto"/>
        <w:ind w:left="100" w:firstLine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56.8" w:lineRule="auto"/>
        <w:ind w:left="100" w:firstLine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56.8" w:lineRule="auto"/>
        <w:ind w:left="100" w:firstLine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56.8" w:lineRule="auto"/>
        <w:ind w:left="100" w:firstLine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56.8" w:lineRule="auto"/>
        <w:ind w:left="100" w:firstLine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56.8" w:lineRule="auto"/>
        <w:ind w:left="100" w:firstLine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56.8" w:lineRule="auto"/>
        <w:ind w:left="100" w:firstLine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56.8" w:lineRule="auto"/>
        <w:ind w:left="100" w:firstLine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56.8" w:lineRule="auto"/>
        <w:ind w:left="100" w:firstLine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="276" w:lineRule="auto"/>
        <w:jc w:val="right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INTEGRANTES:</w:t>
      </w:r>
    </w:p>
    <w:p w:rsidR="00000000" w:rsidDel="00000000" w:rsidP="00000000" w:rsidRDefault="00000000" w:rsidRPr="00000000" w14:paraId="0000001F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Vargas, Cristian</w:t>
      </w:r>
    </w:p>
    <w:p w:rsidR="00000000" w:rsidDel="00000000" w:rsidP="00000000" w:rsidRDefault="00000000" w:rsidRPr="00000000" w14:paraId="00000020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Quinteros, Karina</w:t>
      </w:r>
    </w:p>
    <w:p w:rsidR="00000000" w:rsidDel="00000000" w:rsidP="00000000" w:rsidRDefault="00000000" w:rsidRPr="00000000" w14:paraId="00000021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Zárate, Laura</w:t>
      </w:r>
    </w:p>
    <w:p w:rsidR="00000000" w:rsidDel="00000000" w:rsidP="00000000" w:rsidRDefault="00000000" w:rsidRPr="00000000" w14:paraId="00000022">
      <w:pPr>
        <w:spacing w:line="256.8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40" w:before="0" w:lineRule="auto"/>
        <w:jc w:val="left"/>
        <w:rPr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40" w:before="0" w:lineRule="auto"/>
        <w:jc w:val="left"/>
        <w:rPr>
          <w:b w:val="1"/>
          <w:bCs w:val="1"/>
          <w:color w:val="1f4e79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40" w:lineRule="auto"/>
        <w:jc w:val="center"/>
        <w:rPr>
          <w:sz w:val="36"/>
          <w:szCs w:val="36"/>
        </w:rPr>
      </w:pPr>
      <w:r w:rsidDel="00000000" w:rsidR="00000000" w:rsidRPr="00000000">
        <w:rPr>
          <w:b w:val="1"/>
          <w:bCs w:val="1"/>
          <w:color w:val="1e3a8a"/>
          <w:sz w:val="36"/>
          <w:szCs w:val="36"/>
          <w:rtl w:val="0"/>
        </w:rPr>
        <w:t xml:space="preserve">Análisis Exploratorio de Datos (EDA)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60" w:lineRule="auto"/>
        <w:jc w:val="center"/>
        <w:rPr>
          <w:sz w:val="24"/>
          <w:szCs w:val="24"/>
        </w:rPr>
      </w:pPr>
      <w:r w:rsidDel="00000000" w:rsidR="00000000" w:rsidRPr="00000000">
        <w:rPr>
          <w:color w:val="5b6472"/>
          <w:sz w:val="24"/>
          <w:szCs w:val="24"/>
          <w:rtl w:val="0"/>
        </w:rPr>
        <w:t xml:space="preserve">Dataset de venta y stock de neumáticos — Stock, Sales y Supplier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f7f8fb" w:val="clear"/>
            <w:tcMar>
              <w:top w:w="160.0" w:type="dxa"/>
              <w:left w:w="100.0" w:type="dxa"/>
              <w:bottom w:w="1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563eb"/>
                <w:sz w:val="24"/>
                <w:szCs w:val="24"/>
                <w:rtl w:val="0"/>
              </w:rPr>
              <w:t xml:space="preserve">253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5b6472"/>
                <w:sz w:val="24"/>
                <w:szCs w:val="24"/>
                <w:rtl w:val="0"/>
              </w:rPr>
              <w:t xml:space="preserve">productos (Stock)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b" w:val="clear"/>
            <w:tcMar>
              <w:top w:w="160.0" w:type="dxa"/>
              <w:left w:w="100.0" w:type="dxa"/>
              <w:bottom w:w="1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563eb"/>
                <w:sz w:val="24"/>
                <w:szCs w:val="24"/>
                <w:rtl w:val="0"/>
              </w:rPr>
              <w:t xml:space="preserve">16.999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5b6472"/>
                <w:sz w:val="24"/>
                <w:szCs w:val="24"/>
                <w:rtl w:val="0"/>
              </w:rPr>
              <w:t xml:space="preserve">transacciones (Sales)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b" w:val="clear"/>
            <w:tcMar>
              <w:top w:w="160.0" w:type="dxa"/>
              <w:left w:w="100.0" w:type="dxa"/>
              <w:bottom w:w="1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563eb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5b6472"/>
                <w:sz w:val="24"/>
                <w:szCs w:val="24"/>
                <w:rtl w:val="0"/>
              </w:rPr>
              <w:t xml:space="preserve">proveedores (Supplier)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3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" w:lineRule="auto"/>
        <w:rPr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2563eb"/>
          <w:sz w:val="24"/>
          <w:szCs w:val="24"/>
          <w:u w:val="single"/>
          <w:rtl w:val="0"/>
        </w:rPr>
        <w:t xml:space="preserve">FASE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spacing w:after="160" w:before="320" w:lineRule="auto"/>
        <w:rPr>
          <w:color w:val="1e3a8a"/>
          <w:sz w:val="24"/>
          <w:szCs w:val="24"/>
        </w:rPr>
      </w:pPr>
      <w:r w:rsidDel="00000000" w:rsidR="00000000" w:rsidRPr="00000000">
        <w:rPr>
          <w:color w:val="1e3a8a"/>
          <w:sz w:val="24"/>
          <w:szCs w:val="24"/>
          <w:rtl w:val="0"/>
        </w:rPr>
        <w:t xml:space="preserve">Comprensión de los datos</w:t>
      </w:r>
    </w:p>
    <w:p w:rsidR="00000000" w:rsidDel="00000000" w:rsidP="00000000" w:rsidRDefault="00000000" w:rsidRPr="00000000" w14:paraId="00000033">
      <w:pPr>
        <w:spacing w:after="160" w:lineRule="auto"/>
        <w:rPr>
          <w:sz w:val="24"/>
          <w:szCs w:val="24"/>
        </w:rPr>
      </w:pPr>
      <w:sdt>
        <w:sdtPr>
          <w:id w:val="208933396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2e"/>
              <w:sz w:val="24"/>
              <w:szCs w:val="24"/>
              <w:rtl w:val="0"/>
            </w:rPr>
            <w:t xml:space="preserve">Se trabaja con tres tablas relacionadas entre sí por la columna Brand (y Stock ↔ Sales adicionalmente por Product ID), cada una con un grano y propósito distinto dentro del negocio.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900"/>
        <w:gridCol w:w="1660"/>
        <w:gridCol w:w="3800"/>
        <w:tblGridChange w:id="0">
          <w:tblGrid>
            <w:gridCol w:w="2000"/>
            <w:gridCol w:w="1900"/>
            <w:gridCol w:w="1660"/>
            <w:gridCol w:w="3800"/>
          </w:tblGrid>
        </w:tblGridChange>
      </w:tblGrid>
      <w:tr>
        <w:trPr>
          <w:cantSplit w:val="0"/>
          <w:tblHeader w:val="1"/>
        </w:trPr>
        <w:tc>
          <w:tcPr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e3a8a"/>
                <w:sz w:val="24"/>
                <w:szCs w:val="24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e3a8a"/>
                <w:sz w:val="24"/>
                <w:szCs w:val="24"/>
                <w:rtl w:val="0"/>
              </w:rPr>
              <w:t xml:space="preserve">Grano (1 fila =)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e3a8a"/>
                <w:sz w:val="24"/>
                <w:szCs w:val="24"/>
                <w:rtl w:val="0"/>
              </w:rPr>
              <w:t xml:space="preserve">Filas × Cols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e3a8a"/>
                <w:sz w:val="24"/>
                <w:szCs w:val="24"/>
                <w:rtl w:val="0"/>
              </w:rPr>
              <w:t xml:space="preserve">Rol en el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Current 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1 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253 ×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Foto estática del inventario: qué hay, cuánto y a qué costo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1 transacción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16.999 ×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Histórico de ventas/devoluciones a lo largo de ~2 años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Supplier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1 marca/proveedor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4 ×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Tiempos de entrega (lead time) por marca proveedora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7ed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c2d12"/>
                <w:sz w:val="24"/>
                <w:szCs w:val="24"/>
                <w:rtl w:val="0"/>
              </w:rPr>
              <w:t xml:space="preserve">⚠ Calidad de datos a tener en cuenta:  </w:t>
            </w:r>
            <w:r w:rsidDel="00000000" w:rsidR="00000000" w:rsidRPr="00000000">
              <w:rPr>
                <w:color w:val="7c2d12"/>
                <w:sz w:val="24"/>
                <w:szCs w:val="24"/>
                <w:rtl w:val="0"/>
              </w:rPr>
              <w:t xml:space="preserve">hay 2 filas con Unit Price negativo en Sales (error de carga), 879 transacciones son devoluciones (Units Sold negativo, alineado con Transaction Type = "Return"), y 2 productos en Stock no tienen Unit Cost cargado. El catálogo tampoco es 100% estable: 12 Product ID aparecen en Sales pero no en Stock, y 6 al revés.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20" w:lineRule="auto"/>
        <w:rPr>
          <w:b w:val="1"/>
          <w:bCs w:val="1"/>
          <w:color w:val="2563e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" w:lineRule="auto"/>
        <w:rPr>
          <w:b w:val="1"/>
          <w:bCs w:val="1"/>
          <w:color w:val="2563e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" w:lineRule="auto"/>
        <w:rPr>
          <w:b w:val="1"/>
          <w:bCs w:val="1"/>
          <w:color w:val="2563e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" w:lineRule="auto"/>
        <w:rPr>
          <w:b w:val="1"/>
          <w:bCs w:val="1"/>
          <w:color w:val="2563e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" w:lineRule="auto"/>
        <w:rPr>
          <w:b w:val="1"/>
          <w:bCs w:val="1"/>
          <w:color w:val="2563e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0" w:lineRule="auto"/>
        <w:rPr>
          <w:b w:val="1"/>
          <w:bCs w:val="1"/>
          <w:color w:val="2563e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0" w:lineRule="auto"/>
        <w:rPr>
          <w:b w:val="1"/>
          <w:bCs w:val="1"/>
          <w:color w:val="2563e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0" w:lineRule="auto"/>
        <w:rPr>
          <w:b w:val="1"/>
          <w:bCs w:val="1"/>
          <w:color w:val="2563e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" w:lineRule="auto"/>
        <w:rPr>
          <w:b w:val="1"/>
          <w:bCs w:val="1"/>
          <w:color w:val="2563e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" w:lineRule="auto"/>
        <w:rPr>
          <w:b w:val="1"/>
          <w:bCs w:val="1"/>
          <w:color w:val="2563e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" w:lineRule="auto"/>
        <w:rPr>
          <w:b w:val="1"/>
          <w:bCs w:val="1"/>
          <w:color w:val="2563e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0" w:lineRule="auto"/>
        <w:rPr>
          <w:b w:val="1"/>
          <w:bCs w:val="1"/>
          <w:color w:val="2563e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563eb"/>
          <w:sz w:val="24"/>
          <w:szCs w:val="24"/>
          <w:rtl w:val="0"/>
        </w:rPr>
        <w:t xml:space="preserve">FASE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spacing w:after="160" w:before="320" w:lineRule="auto"/>
        <w:rPr>
          <w:color w:val="1e3a8a"/>
          <w:sz w:val="32"/>
          <w:szCs w:val="32"/>
        </w:rPr>
      </w:pPr>
      <w:r w:rsidDel="00000000" w:rsidR="00000000" w:rsidRPr="00000000">
        <w:rPr>
          <w:color w:val="1e3a8a"/>
          <w:sz w:val="32"/>
          <w:szCs w:val="32"/>
          <w:rtl w:val="0"/>
        </w:rPr>
        <w:t xml:space="preserve">Análisis Exploratorio de Datos (EDA)</w:t>
      </w:r>
    </w:p>
    <w:p w:rsidR="00000000" w:rsidDel="00000000" w:rsidP="00000000" w:rsidRDefault="00000000" w:rsidRPr="00000000" w14:paraId="00000054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color w:val="1a1a2e"/>
          <w:sz w:val="24"/>
          <w:szCs w:val="24"/>
          <w:rtl w:val="0"/>
        </w:rPr>
        <w:t xml:space="preserve">Clasificación inicial de variables, distribuciones y hallazgos preliminares por dataset.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spacing w:after="120" w:before="280" w:lineRule="auto"/>
        <w:rPr/>
      </w:pPr>
      <w:r w:rsidDel="00000000" w:rsidR="00000000" w:rsidRPr="00000000">
        <w:rPr>
          <w:color w:val="1e3a8a"/>
          <w:sz w:val="28"/>
          <w:szCs w:val="28"/>
          <w:rtl w:val="0"/>
        </w:rPr>
        <w:t xml:space="preserve">2.1 — Clasificación de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spacing w:after="100"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Stock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000"/>
        <w:gridCol w:w="5160"/>
        <w:tblGridChange w:id="0">
          <w:tblGrid>
            <w:gridCol w:w="2200"/>
            <w:gridCol w:w="2000"/>
            <w:gridCol w:w="5160"/>
          </w:tblGrid>
        </w:tblGridChange>
      </w:tblGrid>
      <w:tr>
        <w:trPr>
          <w:cantSplit w:val="0"/>
          <w:tblHeader w:val="1"/>
        </w:trPr>
        <w:tc>
          <w:tcPr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e3a8a"/>
                <w:sz w:val="24"/>
                <w:szCs w:val="24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e3a8a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e3a8a"/>
                <w:sz w:val="24"/>
                <w:szCs w:val="24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Product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Nominal, único por fila — no aporta señal, se excluye de modelos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Brand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Categórica nominal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4 categorías (BRAND_A/B/C/D)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Product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Categórica compuesta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Texto que codifica specs técnicas (ancho/perfil/rin/modelo)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Current Stock Qty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Numérica discreta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Conteo de unidades, 1 a 1085, fuerte asimetría a la derecha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Unit Cost (INR)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Numérica continua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2.766 a 32.123 INR, 2 nulos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Last Restock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Dic-2019 a Feb-2026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spacing w:after="100" w:before="220" w:lineRule="auto"/>
        <w:rPr>
          <w:b w:val="1"/>
          <w:bCs w:val="1"/>
          <w:color w:val="1e3a8a"/>
        </w:rPr>
      </w:pPr>
      <w:r w:rsidDel="00000000" w:rsidR="00000000" w:rsidRPr="00000000">
        <w:rPr>
          <w:b w:val="1"/>
          <w:bCs w:val="1"/>
          <w:color w:val="1e3a8a"/>
          <w:rtl w:val="0"/>
        </w:rPr>
        <w:t xml:space="preserve">Sales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000"/>
        <w:gridCol w:w="5160"/>
        <w:tblGridChange w:id="0">
          <w:tblGrid>
            <w:gridCol w:w="2200"/>
            <w:gridCol w:w="2000"/>
            <w:gridCol w:w="5160"/>
          </w:tblGrid>
        </w:tblGridChange>
      </w:tblGrid>
      <w:tr>
        <w:trPr>
          <w:cantSplit w:val="0"/>
          <w:tblHeader w:val="1"/>
        </w:trPr>
        <w:tc>
          <w:tcPr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e3a8a"/>
                <w:sz w:val="24"/>
                <w:szCs w:val="24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e3a8a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e3a8a"/>
                <w:sz w:val="24"/>
                <w:szCs w:val="24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Abr-2024 a Mar-2026, diaria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Brand / Product ID / Product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Categóricas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Igual naturaleza que en Stock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Units Sold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Numérica discreta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-55 a 120; negativos = devoluciones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Unit Price (INR)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Numérica continua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2 valores negativos (dato corrupto)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Revenue (INR)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Numérica continua, derivada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>
                <w:sz w:val="24"/>
                <w:szCs w:val="24"/>
              </w:rPr>
            </w:pPr>
            <w:sdt>
              <w:sdtPr>
                <w:id w:val="1914448593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2e"/>
                    <w:sz w:val="24"/>
                    <w:szCs w:val="24"/>
                    <w:rtl w:val="0"/>
                  </w:rPr>
                  <w:t xml:space="preserve">≈ Units Sold × Unit Price — no usar junto a esas dos como features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Transaction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Categórica binaria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Sale (16.120) / Return (879)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Price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Categórica nominal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4 niveles: A, X, P, 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spacing w:after="100" w:before="220" w:lineRule="auto"/>
        <w:rPr>
          <w:b w:val="1"/>
          <w:bCs w:val="1"/>
          <w:color w:val="1e3a8a"/>
        </w:rPr>
      </w:pPr>
      <w:r w:rsidDel="00000000" w:rsidR="00000000" w:rsidRPr="00000000">
        <w:rPr>
          <w:b w:val="1"/>
          <w:bCs w:val="1"/>
          <w:color w:val="1e3a8a"/>
          <w:rtl w:val="0"/>
        </w:rPr>
        <w:t xml:space="preserve">Supplier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000"/>
        <w:gridCol w:w="5160"/>
        <w:tblGridChange w:id="0">
          <w:tblGrid>
            <w:gridCol w:w="2200"/>
            <w:gridCol w:w="2000"/>
            <w:gridCol w:w="5160"/>
          </w:tblGrid>
        </w:tblGridChange>
      </w:tblGrid>
      <w:tr>
        <w:trPr>
          <w:cantSplit w:val="0"/>
          <w:tblHeader w:val="1"/>
        </w:trPr>
        <w:tc>
          <w:tcPr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e3a8a"/>
                <w:sz w:val="24"/>
                <w:szCs w:val="24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e3a8a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e3a8a"/>
                <w:sz w:val="24"/>
                <w:szCs w:val="24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Brand / Supplier ID / Supplier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Categóricas /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4 filas, 1 proveedor por marca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Avg / Min / Max Lead Time, Std 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Numéricas continuas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Tiempos de entrega en días, 40–120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pStyle w:val="Heading2"/>
        <w:spacing w:after="120" w:before="280" w:lineRule="auto"/>
        <w:rPr>
          <w:color w:val="1e3a8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280" w:lineRule="auto"/>
        <w:rPr>
          <w:color w:val="1e3a8a"/>
          <w:sz w:val="28"/>
          <w:szCs w:val="28"/>
        </w:rPr>
      </w:pPr>
      <w:r w:rsidDel="00000000" w:rsidR="00000000" w:rsidRPr="00000000">
        <w:rPr>
          <w:color w:val="1e3a8a"/>
          <w:sz w:val="28"/>
          <w:szCs w:val="28"/>
          <w:rtl w:val="0"/>
        </w:rPr>
        <w:t xml:space="preserve">2.2 — Distribuciones: Current Stock</w:t>
      </w:r>
    </w:p>
    <w:p w:rsidR="00000000" w:rsidDel="00000000" w:rsidP="00000000" w:rsidRDefault="00000000" w:rsidRPr="00000000" w14:paraId="00000093">
      <w:pPr>
        <w:spacing w:after="160" w:before="12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486400" cy="3524250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4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20" w:lineRule="auto"/>
        <w:jc w:val="center"/>
        <w:rPr>
          <w:i w:val="1"/>
          <w:iCs w:val="1"/>
          <w:color w:val="5b6472"/>
          <w:sz w:val="24"/>
          <w:szCs w:val="24"/>
        </w:rPr>
      </w:pPr>
      <w:r w:rsidDel="00000000" w:rsidR="00000000" w:rsidRPr="00000000">
        <w:rPr>
          <w:i w:val="1"/>
          <w:iCs w:val="1"/>
          <w:color w:val="5b6472"/>
          <w:sz w:val="24"/>
          <w:szCs w:val="24"/>
          <w:rtl w:val="0"/>
        </w:rPr>
        <w:t xml:space="preserve">Unit Cost está sesgado a la derecha: la mayoría de productos cuesta menos de 10.000 INR, con una cola de modelos premium.</w:t>
      </w:r>
    </w:p>
    <w:p w:rsidR="00000000" w:rsidDel="00000000" w:rsidP="00000000" w:rsidRDefault="00000000" w:rsidRPr="00000000" w14:paraId="00000095">
      <w:pPr>
        <w:spacing w:after="220" w:lineRule="auto"/>
        <w:jc w:val="center"/>
        <w:rPr>
          <w:i w:val="1"/>
          <w:iCs w:val="1"/>
          <w:color w:val="5b647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20" w:lineRule="auto"/>
        <w:jc w:val="center"/>
        <w:rPr>
          <w:i w:val="1"/>
          <w:iCs w:val="1"/>
          <w:color w:val="5b647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20" w:lineRule="auto"/>
        <w:jc w:val="center"/>
        <w:rPr>
          <w:i w:val="1"/>
          <w:iCs w:val="1"/>
          <w:color w:val="5b647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20" w:lineRule="auto"/>
        <w:jc w:val="center"/>
        <w:rPr>
          <w:i w:val="1"/>
          <w:iCs w:val="1"/>
          <w:color w:val="5b647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20" w:lineRule="auto"/>
        <w:jc w:val="center"/>
        <w:rPr>
          <w:i w:val="1"/>
          <w:iCs w:val="1"/>
          <w:color w:val="5b647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20" w:lineRule="auto"/>
        <w:jc w:val="center"/>
        <w:rPr>
          <w:i w:val="1"/>
          <w:iCs w:val="1"/>
          <w:color w:val="5b647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20" w:lineRule="auto"/>
        <w:jc w:val="center"/>
        <w:rPr>
          <w:i w:val="1"/>
          <w:iCs w:val="1"/>
          <w:color w:val="5b647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60" w:before="12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486400" cy="352425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4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20" w:lineRule="auto"/>
        <w:jc w:val="center"/>
        <w:rPr>
          <w:i w:val="1"/>
          <w:iCs w:val="1"/>
          <w:color w:val="5b6472"/>
          <w:sz w:val="24"/>
          <w:szCs w:val="24"/>
        </w:rPr>
      </w:pPr>
      <w:r w:rsidDel="00000000" w:rsidR="00000000" w:rsidRPr="00000000">
        <w:rPr>
          <w:i w:val="1"/>
          <w:iCs w:val="1"/>
          <w:color w:val="5b6472"/>
          <w:sz w:val="24"/>
          <w:szCs w:val="24"/>
          <w:rtl w:val="0"/>
        </w:rPr>
        <w:t xml:space="preserve">Current Stock Qty también muy asimétrica: casi todos los productos tienen bajo stock, unos pocos concentran cientos de unidades.</w:t>
      </w:r>
    </w:p>
    <w:p w:rsidR="00000000" w:rsidDel="00000000" w:rsidP="00000000" w:rsidRDefault="00000000" w:rsidRPr="00000000" w14:paraId="0000009E">
      <w:pPr>
        <w:spacing w:after="220" w:lineRule="auto"/>
        <w:jc w:val="center"/>
        <w:rPr>
          <w:i w:val="1"/>
          <w:iCs w:val="1"/>
          <w:color w:val="5b647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60" w:before="12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4933950" cy="3705225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370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20" w:lineRule="auto"/>
        <w:jc w:val="center"/>
        <w:rPr>
          <w:i w:val="1"/>
          <w:iCs w:val="1"/>
          <w:color w:val="5b6472"/>
          <w:sz w:val="24"/>
          <w:szCs w:val="24"/>
        </w:rPr>
      </w:pPr>
      <w:r w:rsidDel="00000000" w:rsidR="00000000" w:rsidRPr="00000000">
        <w:rPr>
          <w:i w:val="1"/>
          <w:iCs w:val="1"/>
          <w:color w:val="5b6472"/>
          <w:sz w:val="24"/>
          <w:szCs w:val="24"/>
          <w:rtl w:val="0"/>
        </w:rPr>
        <w:t xml:space="preserve">BRAND_A domina el catálogo de productos (114), BRAND_D casi no tiene presencia (10).</w:t>
      </w:r>
    </w:p>
    <w:p w:rsidR="00000000" w:rsidDel="00000000" w:rsidP="00000000" w:rsidRDefault="00000000" w:rsidRPr="00000000" w14:paraId="000000A1">
      <w:pPr>
        <w:spacing w:after="220" w:lineRule="auto"/>
        <w:jc w:val="center"/>
        <w:rPr>
          <w:i w:val="1"/>
          <w:iCs w:val="1"/>
          <w:color w:val="5b647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60" w:before="12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486400" cy="352425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4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20" w:lineRule="auto"/>
        <w:jc w:val="center"/>
        <w:rPr>
          <w:i w:val="1"/>
          <w:iCs w:val="1"/>
          <w:color w:val="5b6472"/>
          <w:sz w:val="28"/>
          <w:szCs w:val="28"/>
        </w:rPr>
      </w:pPr>
      <w:r w:rsidDel="00000000" w:rsidR="00000000" w:rsidRPr="00000000">
        <w:rPr>
          <w:i w:val="1"/>
          <w:iCs w:val="1"/>
          <w:color w:val="5b6472"/>
          <w:sz w:val="24"/>
          <w:szCs w:val="24"/>
          <w:rtl w:val="0"/>
        </w:rPr>
        <w:t xml:space="preserve">BRAND_D tiene el Unit Cost más alto y disperso; las otras tres marcas son más económicas y homogéneas.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spacing w:after="120" w:before="280" w:lineRule="auto"/>
        <w:rPr>
          <w:color w:val="1e3a8a"/>
          <w:sz w:val="28"/>
          <w:szCs w:val="28"/>
        </w:rPr>
      </w:pPr>
      <w:r w:rsidDel="00000000" w:rsidR="00000000" w:rsidRPr="00000000">
        <w:rPr>
          <w:color w:val="1e3a8a"/>
          <w:sz w:val="28"/>
          <w:szCs w:val="28"/>
          <w:rtl w:val="0"/>
        </w:rPr>
        <w:t xml:space="preserve">2.3 — Distribuciones: Sales</w:t>
      </w:r>
    </w:p>
    <w:p w:rsidR="00000000" w:rsidDel="00000000" w:rsidP="00000000" w:rsidRDefault="00000000" w:rsidRPr="00000000" w14:paraId="000000A5">
      <w:pPr>
        <w:spacing w:after="160" w:before="12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486400" cy="352425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4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20" w:lineRule="auto"/>
        <w:jc w:val="center"/>
        <w:rPr>
          <w:i w:val="1"/>
          <w:iCs w:val="1"/>
          <w:color w:val="5b6472"/>
          <w:sz w:val="24"/>
          <w:szCs w:val="24"/>
        </w:rPr>
      </w:pPr>
      <w:r w:rsidDel="00000000" w:rsidR="00000000" w:rsidRPr="00000000">
        <w:rPr>
          <w:i w:val="1"/>
          <w:iCs w:val="1"/>
          <w:color w:val="5b6472"/>
          <w:sz w:val="24"/>
          <w:szCs w:val="24"/>
          <w:rtl w:val="0"/>
        </w:rPr>
        <w:t xml:space="preserve">Unit Price en ventas también sesgado a la derecha, coherente con lo visto en Stock.</w:t>
      </w:r>
    </w:p>
    <w:p w:rsidR="00000000" w:rsidDel="00000000" w:rsidP="00000000" w:rsidRDefault="00000000" w:rsidRPr="00000000" w14:paraId="000000A7">
      <w:pPr>
        <w:spacing w:after="220" w:lineRule="auto"/>
        <w:jc w:val="left"/>
        <w:rPr>
          <w:i w:val="1"/>
          <w:iCs w:val="1"/>
          <w:color w:val="5b647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60" w:before="12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486400" cy="352425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4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20" w:lineRule="auto"/>
        <w:jc w:val="center"/>
        <w:rPr>
          <w:i w:val="1"/>
          <w:iCs w:val="1"/>
          <w:color w:val="5b6472"/>
          <w:sz w:val="24"/>
          <w:szCs w:val="24"/>
        </w:rPr>
      </w:pPr>
      <w:r w:rsidDel="00000000" w:rsidR="00000000" w:rsidRPr="00000000">
        <w:rPr>
          <w:i w:val="1"/>
          <w:iCs w:val="1"/>
          <w:color w:val="5b6472"/>
          <w:sz w:val="24"/>
          <w:szCs w:val="24"/>
          <w:rtl w:val="0"/>
        </w:rPr>
        <w:t xml:space="preserve">Units Sold centrado en valores positivos bajos (2-8 u.), con una cola negativa correspondiente a devoluciones.</w:t>
      </w:r>
    </w:p>
    <w:p w:rsidR="00000000" w:rsidDel="00000000" w:rsidP="00000000" w:rsidRDefault="00000000" w:rsidRPr="00000000" w14:paraId="000000AA">
      <w:pPr>
        <w:spacing w:after="220" w:lineRule="auto"/>
        <w:jc w:val="center"/>
        <w:rPr>
          <w:i w:val="1"/>
          <w:iCs w:val="1"/>
          <w:color w:val="5b647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20" w:lineRule="auto"/>
        <w:jc w:val="center"/>
        <w:rPr>
          <w:i w:val="1"/>
          <w:iCs w:val="1"/>
          <w:color w:val="5b647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60" w:before="12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762625" cy="2590800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20" w:lineRule="auto"/>
        <w:jc w:val="center"/>
        <w:rPr>
          <w:i w:val="1"/>
          <w:iCs w:val="1"/>
          <w:color w:val="5b6472"/>
          <w:sz w:val="24"/>
          <w:szCs w:val="24"/>
        </w:rPr>
      </w:pPr>
      <w:r w:rsidDel="00000000" w:rsidR="00000000" w:rsidRPr="00000000">
        <w:rPr>
          <w:i w:val="1"/>
          <w:iCs w:val="1"/>
          <w:color w:val="5b6472"/>
          <w:sz w:val="24"/>
          <w:szCs w:val="24"/>
          <w:rtl w:val="0"/>
        </w:rPr>
        <w:t xml:space="preserve">~5% de las transacciones son devoluciones. Price Level "A" domina ampliamente (~88%) sobre X, P y U.</w:t>
      </w:r>
    </w:p>
    <w:p w:rsidR="00000000" w:rsidDel="00000000" w:rsidP="00000000" w:rsidRDefault="00000000" w:rsidRPr="00000000" w14:paraId="000000AE">
      <w:pPr>
        <w:spacing w:after="220" w:lineRule="auto"/>
        <w:jc w:val="center"/>
        <w:rPr>
          <w:i w:val="1"/>
          <w:iCs w:val="1"/>
          <w:color w:val="5b647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20" w:lineRule="auto"/>
        <w:jc w:val="center"/>
        <w:rPr>
          <w:i w:val="1"/>
          <w:iCs w:val="1"/>
          <w:color w:val="5b647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20" w:lineRule="auto"/>
        <w:jc w:val="center"/>
        <w:rPr>
          <w:i w:val="1"/>
          <w:iCs w:val="1"/>
          <w:color w:val="5b647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60" w:before="12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4933950" cy="370522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370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20" w:lineRule="auto"/>
        <w:jc w:val="center"/>
        <w:rPr>
          <w:i w:val="1"/>
          <w:iCs w:val="1"/>
          <w:color w:val="5b6472"/>
          <w:sz w:val="24"/>
          <w:szCs w:val="24"/>
        </w:rPr>
      </w:pPr>
      <w:r w:rsidDel="00000000" w:rsidR="00000000" w:rsidRPr="00000000">
        <w:rPr>
          <w:i w:val="1"/>
          <w:iCs w:val="1"/>
          <w:color w:val="5b6472"/>
          <w:sz w:val="24"/>
          <w:szCs w:val="24"/>
          <w:rtl w:val="0"/>
        </w:rPr>
        <w:t xml:space="preserve">BRAND_C concentra más del 55% de las transacciones de venta, pese a no ser la marca con más productos en catálogo.</w:t>
      </w:r>
    </w:p>
    <w:p w:rsidR="00000000" w:rsidDel="00000000" w:rsidP="00000000" w:rsidRDefault="00000000" w:rsidRPr="00000000" w14:paraId="000000B3">
      <w:pPr>
        <w:spacing w:after="220" w:lineRule="auto"/>
        <w:jc w:val="center"/>
        <w:rPr>
          <w:i w:val="1"/>
          <w:iCs w:val="1"/>
          <w:color w:val="5b647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60" w:before="12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762625" cy="2886075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86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20" w:lineRule="auto"/>
        <w:jc w:val="center"/>
        <w:rPr>
          <w:i w:val="1"/>
          <w:iCs w:val="1"/>
          <w:color w:val="5b6472"/>
          <w:sz w:val="24"/>
          <w:szCs w:val="24"/>
        </w:rPr>
      </w:pPr>
      <w:r w:rsidDel="00000000" w:rsidR="00000000" w:rsidRPr="00000000">
        <w:rPr>
          <w:i w:val="1"/>
          <w:iCs w:val="1"/>
          <w:color w:val="5b6472"/>
          <w:sz w:val="24"/>
          <w:szCs w:val="24"/>
          <w:rtl w:val="0"/>
        </w:rPr>
        <w:t xml:space="preserve">Revenue mensual con variabilidad notoria mes a mes; sin una tendencia de crecimiento sostenido evidente a simple vista.</w:t>
      </w:r>
    </w:p>
    <w:p w:rsidR="00000000" w:rsidDel="00000000" w:rsidP="00000000" w:rsidRDefault="00000000" w:rsidRPr="00000000" w14:paraId="000000B6">
      <w:pPr>
        <w:spacing w:after="220" w:lineRule="auto"/>
        <w:jc w:val="center"/>
        <w:rPr>
          <w:i w:val="1"/>
          <w:iCs w:val="1"/>
          <w:color w:val="5b647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20" w:lineRule="auto"/>
        <w:jc w:val="center"/>
        <w:rPr>
          <w:i w:val="1"/>
          <w:iCs w:val="1"/>
          <w:color w:val="5b647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spacing w:after="120" w:before="280" w:lineRule="auto"/>
        <w:rPr>
          <w:color w:val="1e3a8a"/>
          <w:sz w:val="28"/>
          <w:szCs w:val="28"/>
        </w:rPr>
      </w:pPr>
      <w:sdt>
        <w:sdtPr>
          <w:id w:val="53259549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e3a8a"/>
              <w:sz w:val="28"/>
              <w:szCs w:val="28"/>
              <w:rtl w:val="0"/>
            </w:rPr>
            <w:t xml:space="preserve">2.4 — Supplier y relación specs↔precio</w:t>
          </w:r>
        </w:sdtContent>
      </w:sdt>
    </w:p>
    <w:p w:rsidR="00000000" w:rsidDel="00000000" w:rsidP="00000000" w:rsidRDefault="00000000" w:rsidRPr="00000000" w14:paraId="000000B9">
      <w:pPr>
        <w:spacing w:after="160" w:before="12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486400" cy="352425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4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20" w:lineRule="auto"/>
        <w:jc w:val="center"/>
        <w:rPr>
          <w:i w:val="1"/>
          <w:iCs w:val="1"/>
          <w:color w:val="5b6472"/>
          <w:sz w:val="24"/>
          <w:szCs w:val="24"/>
        </w:rPr>
      </w:pPr>
      <w:r w:rsidDel="00000000" w:rsidR="00000000" w:rsidRPr="00000000">
        <w:rPr>
          <w:i w:val="1"/>
          <w:iCs w:val="1"/>
          <w:color w:val="5b6472"/>
          <w:sz w:val="24"/>
          <w:szCs w:val="24"/>
          <w:rtl w:val="0"/>
        </w:rPr>
        <w:t xml:space="preserve">BRAND_B tiene el lead time más largo y variable (60±9,2 días); BRAND_A el más corto y predecible (40±6,7 días).</w:t>
      </w:r>
    </w:p>
    <w:p w:rsidR="00000000" w:rsidDel="00000000" w:rsidP="00000000" w:rsidRDefault="00000000" w:rsidRPr="00000000" w14:paraId="000000BB">
      <w:pPr>
        <w:spacing w:after="160" w:before="12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486400" cy="3657600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20" w:lineRule="auto"/>
        <w:jc w:val="center"/>
        <w:rPr>
          <w:i w:val="1"/>
          <w:iCs w:val="1"/>
          <w:color w:val="5b6472"/>
          <w:sz w:val="24"/>
          <w:szCs w:val="24"/>
        </w:rPr>
      </w:pPr>
      <w:r w:rsidDel="00000000" w:rsidR="00000000" w:rsidRPr="00000000">
        <w:rPr>
          <w:i w:val="1"/>
          <w:iCs w:val="1"/>
          <w:color w:val="5b6472"/>
          <w:sz w:val="24"/>
          <w:szCs w:val="24"/>
          <w:rtl w:val="0"/>
        </w:rPr>
        <w:t xml:space="preserve">A mayor ancho y diámetro de rin, mayor Unit Cost — relación visualmente clara, buena señal para regresión.</w:t>
      </w:r>
    </w:p>
    <w:p w:rsidR="00000000" w:rsidDel="00000000" w:rsidP="00000000" w:rsidRDefault="00000000" w:rsidRPr="00000000" w14:paraId="000000BD">
      <w:pPr>
        <w:spacing w:after="220" w:lineRule="auto"/>
        <w:jc w:val="center"/>
        <w:rPr>
          <w:i w:val="1"/>
          <w:iCs w:val="1"/>
          <w:color w:val="5b647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60" w:before="12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4572000" cy="396240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20" w:lineRule="auto"/>
        <w:jc w:val="center"/>
        <w:rPr>
          <w:i w:val="1"/>
          <w:iCs w:val="1"/>
          <w:color w:val="5b6472"/>
          <w:sz w:val="24"/>
          <w:szCs w:val="24"/>
        </w:rPr>
      </w:pPr>
      <w:r w:rsidDel="00000000" w:rsidR="00000000" w:rsidRPr="00000000">
        <w:rPr>
          <w:i w:val="1"/>
          <w:iCs w:val="1"/>
          <w:color w:val="5b6472"/>
          <w:sz w:val="24"/>
          <w:szCs w:val="24"/>
          <w:rtl w:val="0"/>
        </w:rPr>
        <w:t xml:space="preserve">El rin (diámetro) es la variable más correlacionada con el costo (r=0.76); el stock actual no se correlaciona con el precio (r=0.08).</w:t>
      </w:r>
    </w:p>
    <w:p w:rsidR="00000000" w:rsidDel="00000000" w:rsidP="00000000" w:rsidRDefault="00000000" w:rsidRPr="00000000" w14:paraId="000000C0">
      <w:pPr>
        <w:spacing w:after="220" w:lineRule="auto"/>
        <w:jc w:val="center"/>
        <w:rPr>
          <w:i w:val="1"/>
          <w:iCs w:val="1"/>
          <w:color w:val="5b647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spacing w:after="120" w:before="280" w:lineRule="auto"/>
        <w:rPr>
          <w:color w:val="1e3a8a"/>
          <w:sz w:val="28"/>
          <w:szCs w:val="28"/>
        </w:rPr>
      </w:pPr>
      <w:r w:rsidDel="00000000" w:rsidR="00000000" w:rsidRPr="00000000">
        <w:rPr>
          <w:color w:val="1e3a8a"/>
          <w:sz w:val="28"/>
          <w:szCs w:val="28"/>
          <w:rtl w:val="0"/>
        </w:rPr>
        <w:t xml:space="preserve">2.5 — Hallazgos preliminares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12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00a8e3"/>
          <w:sz w:val="24"/>
          <w:szCs w:val="24"/>
          <w:u w:val="single"/>
          <w:rtl w:val="0"/>
        </w:rPr>
        <w:t xml:space="preserve">Sesgo en variables de precio y stock: </w:t>
      </w:r>
      <w:r w:rsidDel="00000000" w:rsidR="00000000" w:rsidRPr="00000000">
        <w:rPr>
          <w:sz w:val="24"/>
          <w:szCs w:val="24"/>
          <w:rtl w:val="0"/>
        </w:rPr>
        <w:t xml:space="preserve">Unit Cost, Unit Price y Current Stock Qty están sesgados a la derecha — para regresión lineal convendría evaluar una transformación logarítmica.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12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00a8e3"/>
          <w:sz w:val="24"/>
          <w:szCs w:val="24"/>
          <w:u w:val="single"/>
          <w:rtl w:val="0"/>
        </w:rPr>
        <w:t xml:space="preserve">Rim (diámetro) es el mejor predictor individual del costo</w:t>
      </w:r>
      <w:r w:rsidDel="00000000" w:rsidR="00000000" w:rsidRPr="00000000">
        <w:rPr>
          <w:b w:val="1"/>
          <w:bCs w:val="1"/>
          <w:color w:val="1e3a8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(r=0.76), seguido de Width (r=0.44). Ratio y Current Stock Qty prácticamente no se relacionan con el precio.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12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00a8e3"/>
          <w:sz w:val="24"/>
          <w:szCs w:val="24"/>
          <w:u w:val="single"/>
          <w:rtl w:val="0"/>
        </w:rPr>
        <w:t xml:space="preserve">Desbalance de marcas: </w:t>
      </w:r>
      <w:r w:rsidDel="00000000" w:rsidR="00000000" w:rsidRPr="00000000">
        <w:rPr>
          <w:sz w:val="24"/>
          <w:szCs w:val="24"/>
          <w:rtl w:val="0"/>
        </w:rPr>
        <w:t xml:space="preserve">BRAND_A domina el catálogo (Stock) pero BRAND_C domina las ventas (Sales) — vale la pena investigar por qué, puede afectar cualquier modelo que use Brand como feature.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12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00a8e3"/>
          <w:sz w:val="24"/>
          <w:szCs w:val="24"/>
          <w:u w:val="single"/>
          <w:rtl w:val="0"/>
        </w:rPr>
        <w:t xml:space="preserve">Devoluciones (~5% de las transacciones) </w:t>
      </w:r>
      <w:r w:rsidDel="00000000" w:rsidR="00000000" w:rsidRPr="00000000">
        <w:rPr>
          <w:sz w:val="24"/>
          <w:szCs w:val="24"/>
          <w:rtl w:val="0"/>
        </w:rPr>
        <w:t xml:space="preserve">deben tratarse aparte: mezclan signo negativo en Units Sold/Revenue y podrían distorsionar un modelo de demanda si no se filtran o modelan por separado.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12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00a8e3"/>
          <w:sz w:val="24"/>
          <w:szCs w:val="24"/>
          <w:u w:val="single"/>
          <w:rtl w:val="0"/>
        </w:rPr>
        <w:t xml:space="preserve">Anomalías de calidad de datos:</w:t>
      </w:r>
      <w:r w:rsidDel="00000000" w:rsidR="00000000" w:rsidRPr="00000000">
        <w:rPr>
          <w:b w:val="1"/>
          <w:bCs w:val="1"/>
          <w:color w:val="1e3a8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2 registros con Unit Price negativo y 2 productos sin Unit Cost — hay que decidir si se imputan o se excluyen antes de modelar.</w:t>
      </w:r>
    </w:p>
    <w:p w:rsidR="00000000" w:rsidDel="00000000" w:rsidP="00000000" w:rsidRDefault="00000000" w:rsidRPr="00000000" w14:paraId="000000C8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12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00a8e3"/>
          <w:sz w:val="24"/>
          <w:szCs w:val="24"/>
          <w:u w:val="single"/>
          <w:rtl w:val="0"/>
        </w:rPr>
        <w:t xml:space="preserve">Revenue es 100% derivada</w:t>
      </w:r>
      <w:r w:rsidDel="00000000" w:rsidR="00000000" w:rsidRPr="00000000">
        <w:rPr>
          <w:b w:val="1"/>
          <w:bCs w:val="1"/>
          <w:color w:val="1e3a8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de Units Sold × Unit Price — cualquier modelo que la use como target no puede incluir esas dos variables como predictoras (data leakage).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12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00a8e3"/>
          <w:sz w:val="24"/>
          <w:szCs w:val="24"/>
          <w:u w:val="single"/>
          <w:rtl w:val="0"/>
        </w:rPr>
        <w:t xml:space="preserve">Product Name es en realidad una variable compuesta</w:t>
      </w:r>
      <w:r w:rsidDel="00000000" w:rsidR="00000000" w:rsidRPr="00000000">
        <w:rPr>
          <w:b w:val="1"/>
          <w:bCs w:val="1"/>
          <w:color w:val="1e3a8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(ancho/perfil/rin/modelo) que se parseó con éxito en el 100% de los 265 nombres únicos — clave para poder usarla como feature numérica en regresión.</w:t>
      </w:r>
    </w:p>
    <w:p w:rsidR="00000000" w:rsidDel="00000000" w:rsidP="00000000" w:rsidRDefault="00000000" w:rsidRPr="00000000" w14:paraId="000000CC">
      <w:pPr>
        <w:spacing w:before="4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center"/>
        <w:rPr>
          <w:i w:val="1"/>
          <w:iCs w:val="1"/>
          <w:color w:val="9ca3af"/>
          <w:sz w:val="24"/>
          <w:szCs w:val="24"/>
        </w:rPr>
      </w:pPr>
      <w:r w:rsidDel="00000000" w:rsidR="00000000" w:rsidRPr="00000000">
        <w:rPr>
          <w:i w:val="1"/>
          <w:iCs w:val="1"/>
          <w:color w:val="9ca3af"/>
          <w:sz w:val="24"/>
          <w:szCs w:val="24"/>
          <w:rtl w:val="0"/>
        </w:rPr>
        <w:t xml:space="preserve">Reporte generado a partir de DS_Data_Set - Current Stock.csv, Sales.csv y Supplier.csv</w:t>
      </w:r>
    </w:p>
    <w:p w:rsidR="00000000" w:rsidDel="00000000" w:rsidP="00000000" w:rsidRDefault="00000000" w:rsidRPr="00000000" w14:paraId="000000CE">
      <w:pPr>
        <w:jc w:val="center"/>
        <w:rPr>
          <w:i w:val="1"/>
          <w:iCs w:val="1"/>
          <w:color w:val="9ca3a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  <w:rPr>
          <w:i w:val="1"/>
          <w:iCs w:val="1"/>
          <w:sz w:val="24"/>
          <w:szCs w:val="24"/>
          <w:u w:val="none"/>
        </w:rPr>
      </w:pPr>
      <w:hyperlink r:id="rId21">
        <w:r w:rsidDel="00000000" w:rsidR="00000000" w:rsidRPr="00000000">
          <w:rPr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dataset-drive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720" w:firstLine="0"/>
        <w:rPr>
          <w:i w:val="1"/>
          <w:iCs w:val="1"/>
          <w:color w:val="9ca3a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ind w:left="720" w:hanging="360"/>
        <w:rPr>
          <w:i w:val="1"/>
          <w:iCs w:val="1"/>
          <w:sz w:val="24"/>
          <w:szCs w:val="24"/>
          <w:u w:val="none"/>
        </w:rPr>
      </w:pPr>
      <w:hyperlink r:id="rId22">
        <w:r w:rsidDel="00000000" w:rsidR="00000000" w:rsidRPr="00000000">
          <w:rPr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Kaggle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center"/>
        <w:rPr>
          <w:i w:val="1"/>
          <w:iCs w:val="1"/>
          <w:color w:val="9ca3a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center"/>
        <w:rPr>
          <w:i w:val="1"/>
          <w:iCs w:val="1"/>
          <w:color w:val="9ca3a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="276" w:lineRule="auto"/>
        <w:rPr>
          <w:b w:val="1"/>
          <w:bCs w:val="1"/>
          <w:color w:val="1f4e79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23" w:type="default"/>
      <w:footerReference r:id="rId24" w:type="default"/>
      <w:pgSz w:h="16838" w:w="11906" w:orient="portrait"/>
      <w:pgMar w:bottom="1000" w:top="100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Arial Unicode MS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spacing w:line="276" w:lineRule="auto"/>
      <w:rPr/>
    </w:pPr>
    <w:r w:rsidDel="00000000" w:rsidR="00000000" w:rsidRPr="00000000">
      <w:rPr>
        <w:sz w:val="22"/>
        <w:szCs w:val="22"/>
      </w:rPr>
      <w:drawing>
        <wp:inline distB="114300" distT="114300" distL="114300" distR="114300">
          <wp:extent cx="5731200" cy="571500"/>
          <wp:effectExtent b="0" l="0" r="0" t="0"/>
          <wp:docPr id="6" name="image14.png"/>
          <a:graphic>
            <a:graphicData uri="http://schemas.openxmlformats.org/drawingml/2006/picture">
              <pic:pic>
                <pic:nvPicPr>
                  <pic:cNvPr id="0" name="image1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1200" cy="571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spacing w:line="276" w:lineRule="auto"/>
      <w:jc w:val="center"/>
      <w:rPr/>
    </w:pPr>
    <w:r w:rsidDel="00000000" w:rsidR="00000000" w:rsidRPr="00000000">
      <w:rPr>
        <w:sz w:val="22"/>
        <w:szCs w:val="22"/>
      </w:rPr>
      <w:drawing>
        <wp:inline distB="114300" distT="114300" distL="114300" distR="114300">
          <wp:extent cx="5731200" cy="38100"/>
          <wp:effectExtent b="0" l="0" r="0" t="0"/>
          <wp:docPr id="11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1200" cy="381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image" Target="media/image13.png"/><Relationship Id="rId22" Type="http://schemas.openxmlformats.org/officeDocument/2006/relationships/hyperlink" Target="https://www.kaggle.com/datasets/samauto/tyre-retail-sales-and-inventory-dataset-20242026" TargetMode="External"/><Relationship Id="rId10" Type="http://schemas.openxmlformats.org/officeDocument/2006/relationships/image" Target="media/image5.png"/><Relationship Id="rId21" Type="http://schemas.openxmlformats.org/officeDocument/2006/relationships/hyperlink" Target="https://drive.google.com/drive/folders/154IVa6Da_lmheX50cypOsDLDt7m5De3M" TargetMode="External"/><Relationship Id="rId13" Type="http://schemas.openxmlformats.org/officeDocument/2006/relationships/image" Target="media/image6.png"/><Relationship Id="rId24" Type="http://schemas.openxmlformats.org/officeDocument/2006/relationships/footer" Target="footer1.xml"/><Relationship Id="rId12" Type="http://schemas.openxmlformats.org/officeDocument/2006/relationships/image" Target="media/image16.png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2.png"/><Relationship Id="rId14" Type="http://schemas.openxmlformats.org/officeDocument/2006/relationships/image" Target="media/image1.png"/><Relationship Id="rId17" Type="http://schemas.openxmlformats.org/officeDocument/2006/relationships/image" Target="media/image4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customXml" Target="../customXML/item1.xml"/><Relationship Id="rId18" Type="http://schemas.openxmlformats.org/officeDocument/2006/relationships/image" Target="media/image9.png"/><Relationship Id="rId7" Type="http://schemas.openxmlformats.org/officeDocument/2006/relationships/image" Target="media/image11.png"/><Relationship Id="rId8" Type="http://schemas.openxmlformats.org/officeDocument/2006/relationships/image" Target="media/image10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tSsnDsTDXFkuoA1M8ZVniZJXmA==">CgMxLjAaHQoBMBIYChYIB0ISEhBBcmlhbCBVbmljb2RlIE1TGh0KATESGAoWCAdCEhIQQXJpYWwgVW5pY29kZSBNUxodCgEyEhgKFggHQhISEEFyaWFsIFVuaWNvZGUgTVMyDmgub2ZuYW91dGt0b3Q3OAByITE3bi1odm4xa1FQUFhHaE1zRTE5Tm0zSWxYU1pIS2FTRA==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