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1689C" w14:textId="77777777" w:rsidR="00F4789A" w:rsidRPr="00F4789A" w:rsidRDefault="00F4789A" w:rsidP="00F4789A">
      <w:pPr>
        <w:jc w:val="center"/>
        <w:rPr>
          <w:rFonts w:cstheme="minorHAnsi"/>
          <w:b/>
          <w:bCs/>
          <w:sz w:val="28"/>
          <w:szCs w:val="28"/>
        </w:rPr>
      </w:pPr>
      <w:r w:rsidRPr="00F4789A">
        <w:rPr>
          <w:rFonts w:cstheme="minorHAnsi"/>
          <w:b/>
          <w:bCs/>
          <w:sz w:val="28"/>
          <w:szCs w:val="28"/>
        </w:rPr>
        <w:t>Programme Décennal pour le Développement de l’Education en Guinée (ProDEG) 2020-2029</w:t>
      </w:r>
    </w:p>
    <w:p w14:paraId="1196ED9C" w14:textId="2DA09F59" w:rsidR="00F4789A" w:rsidRPr="00F4789A" w:rsidRDefault="00F4789A" w:rsidP="00F4789A">
      <w:pPr>
        <w:jc w:val="center"/>
        <w:rPr>
          <w:rFonts w:cstheme="minorHAnsi"/>
          <w:b/>
          <w:bCs/>
          <w:sz w:val="28"/>
          <w:szCs w:val="28"/>
        </w:rPr>
      </w:pPr>
      <w:r w:rsidRPr="00F4789A">
        <w:rPr>
          <w:rFonts w:cstheme="minorHAnsi"/>
          <w:b/>
          <w:bCs/>
          <w:sz w:val="28"/>
          <w:szCs w:val="28"/>
        </w:rPr>
        <w:t xml:space="preserve">Note explicative et glossaire du format d’un Plan </w:t>
      </w:r>
      <w:r w:rsidR="00694A26">
        <w:rPr>
          <w:rFonts w:cstheme="minorHAnsi"/>
          <w:b/>
          <w:bCs/>
          <w:sz w:val="28"/>
          <w:szCs w:val="28"/>
        </w:rPr>
        <w:t>de suivi des activités</w:t>
      </w:r>
      <w:r w:rsidR="00694A26" w:rsidRPr="00F4789A">
        <w:rPr>
          <w:rFonts w:cstheme="minorHAnsi"/>
          <w:b/>
          <w:bCs/>
          <w:sz w:val="28"/>
          <w:szCs w:val="28"/>
        </w:rPr>
        <w:t xml:space="preserve"> </w:t>
      </w:r>
    </w:p>
    <w:p w14:paraId="66263157" w14:textId="77777777" w:rsidR="00F4789A" w:rsidRPr="00F4789A" w:rsidRDefault="00F4789A" w:rsidP="00A11205">
      <w:pPr>
        <w:jc w:val="both"/>
        <w:rPr>
          <w:b/>
          <w:sz w:val="28"/>
          <w:szCs w:val="28"/>
        </w:rPr>
      </w:pPr>
    </w:p>
    <w:p w14:paraId="623FD53C" w14:textId="1D749D4E" w:rsidR="00F4789A" w:rsidRPr="00F4789A" w:rsidRDefault="00F4789A" w:rsidP="00F4789A">
      <w:pPr>
        <w:spacing w:before="120" w:after="120"/>
        <w:jc w:val="both"/>
        <w:rPr>
          <w:rFonts w:cstheme="minorHAnsi"/>
          <w:sz w:val="24"/>
          <w:szCs w:val="24"/>
        </w:rPr>
      </w:pPr>
      <w:r w:rsidRPr="00F4789A">
        <w:rPr>
          <w:rFonts w:cstheme="minorHAnsi"/>
          <w:sz w:val="24"/>
          <w:szCs w:val="24"/>
        </w:rPr>
        <w:t xml:space="preserve">Dans le cadre de la mise en œuvre du Programme Décennal de l’Education de Guinée (ProDEG 2020-2029), le Gouvernement guinéen a souhaité mettre en place un nouvel outil de financement, appelé Fonds Commun de l’Education (FCE) dont l’objectif est de favoriser l’alignement et l’harmonisation des appuis extérieurs. A ce jour, le FCE accueille les financements de </w:t>
      </w:r>
      <w:r w:rsidR="00694A26">
        <w:rPr>
          <w:rFonts w:cstheme="minorHAnsi"/>
          <w:sz w:val="24"/>
          <w:szCs w:val="24"/>
        </w:rPr>
        <w:t xml:space="preserve">trois </w:t>
      </w:r>
      <w:r w:rsidRPr="00F4789A">
        <w:rPr>
          <w:rFonts w:cstheme="minorHAnsi"/>
          <w:sz w:val="24"/>
          <w:szCs w:val="24"/>
        </w:rPr>
        <w:t>partenaires techniques et financiers, à savoir : le PME (34 Millions d’Euros), l’AFD (27,5 millions d’Euros) et l’UNICEF (1 millions de Dollars US). Dans le cadre du FCE Guinéen, trois Budgets d’Affectation Spéciaux (BAS) ont été mis en place permettant à chaque Ministère en charge de l’Education de mobiliser les fonds nécessaires à la mise en œuvre des activités prévues dans ses Plans d’Actions Annuels Budgétisés (PAAB).</w:t>
      </w:r>
    </w:p>
    <w:p w14:paraId="45E43796" w14:textId="1DC37189" w:rsidR="00F4789A" w:rsidRPr="00F4789A" w:rsidRDefault="00F4789A" w:rsidP="00F4789A">
      <w:pPr>
        <w:spacing w:before="120" w:after="120"/>
        <w:jc w:val="both"/>
        <w:rPr>
          <w:rFonts w:cstheme="minorHAnsi"/>
          <w:sz w:val="24"/>
          <w:szCs w:val="24"/>
        </w:rPr>
      </w:pPr>
      <w:r w:rsidRPr="00F4789A">
        <w:rPr>
          <w:rFonts w:cstheme="minorHAnsi"/>
          <w:sz w:val="24"/>
          <w:szCs w:val="24"/>
        </w:rPr>
        <w:t xml:space="preserve">Le fonctionnement des BAS et la mobilisation des fonds correspondants sont régis par un manuel de procédures couvrant autant les aspects opérationnels que </w:t>
      </w:r>
      <w:r w:rsidR="00694A26">
        <w:rPr>
          <w:rFonts w:cstheme="minorHAnsi"/>
          <w:sz w:val="24"/>
          <w:szCs w:val="24"/>
        </w:rPr>
        <w:t>de gestion</w:t>
      </w:r>
      <w:r w:rsidRPr="00F4789A">
        <w:rPr>
          <w:rFonts w:cstheme="minorHAnsi"/>
          <w:sz w:val="24"/>
          <w:szCs w:val="24"/>
        </w:rPr>
        <w:t>. Ainsi le manuel présente les procédures à suivre dans le cadre de la planification, de la programmation budgétaire et de la gestion budgétaire, comptable et financière.</w:t>
      </w:r>
    </w:p>
    <w:p w14:paraId="5F3558B2" w14:textId="57389870" w:rsidR="00F4789A" w:rsidRPr="00F4789A" w:rsidRDefault="00F4789A" w:rsidP="00F4789A">
      <w:pPr>
        <w:spacing w:before="120" w:after="120"/>
        <w:jc w:val="both"/>
        <w:rPr>
          <w:rFonts w:cstheme="minorHAnsi"/>
          <w:sz w:val="24"/>
          <w:szCs w:val="24"/>
        </w:rPr>
      </w:pPr>
      <w:r w:rsidRPr="00F4789A">
        <w:rPr>
          <w:rFonts w:cstheme="minorHAnsi"/>
          <w:sz w:val="24"/>
          <w:szCs w:val="24"/>
        </w:rPr>
        <w:t xml:space="preserve">Dans le même temps, un </w:t>
      </w:r>
      <w:r w:rsidR="00F95A45">
        <w:rPr>
          <w:rFonts w:cstheme="minorHAnsi"/>
          <w:sz w:val="24"/>
          <w:szCs w:val="24"/>
        </w:rPr>
        <w:t>dispositif</w:t>
      </w:r>
      <w:r w:rsidR="00F95A45" w:rsidRPr="00F4789A">
        <w:rPr>
          <w:rFonts w:cstheme="minorHAnsi"/>
          <w:sz w:val="24"/>
          <w:szCs w:val="24"/>
        </w:rPr>
        <w:t xml:space="preserve"> </w:t>
      </w:r>
      <w:r w:rsidR="00F95A45">
        <w:rPr>
          <w:rFonts w:cstheme="minorHAnsi"/>
          <w:sz w:val="24"/>
          <w:szCs w:val="24"/>
        </w:rPr>
        <w:t>d’assistance technique</w:t>
      </w:r>
      <w:r w:rsidRPr="00F4789A">
        <w:rPr>
          <w:rFonts w:cstheme="minorHAnsi"/>
          <w:sz w:val="24"/>
          <w:szCs w:val="24"/>
        </w:rPr>
        <w:t xml:space="preserve"> </w:t>
      </w:r>
      <w:r w:rsidR="00694A26">
        <w:rPr>
          <w:rFonts w:cstheme="minorHAnsi"/>
          <w:sz w:val="24"/>
          <w:szCs w:val="24"/>
        </w:rPr>
        <w:t xml:space="preserve">dans le cadre de la mise en place du FCE/BAS </w:t>
      </w:r>
      <w:r w:rsidRPr="00F4789A">
        <w:rPr>
          <w:rFonts w:cstheme="minorHAnsi"/>
          <w:sz w:val="24"/>
          <w:szCs w:val="24"/>
        </w:rPr>
        <w:t xml:space="preserve">a été </w:t>
      </w:r>
      <w:r w:rsidR="00F95A45">
        <w:rPr>
          <w:rFonts w:cstheme="minorHAnsi"/>
          <w:sz w:val="24"/>
          <w:szCs w:val="24"/>
        </w:rPr>
        <w:t>introduit</w:t>
      </w:r>
      <w:r w:rsidR="00F95A45" w:rsidRPr="00F4789A">
        <w:rPr>
          <w:rFonts w:cstheme="minorHAnsi"/>
          <w:sz w:val="24"/>
          <w:szCs w:val="24"/>
        </w:rPr>
        <w:t xml:space="preserve"> </w:t>
      </w:r>
      <w:r w:rsidRPr="00F4789A">
        <w:rPr>
          <w:rFonts w:cstheme="minorHAnsi"/>
          <w:sz w:val="24"/>
          <w:szCs w:val="24"/>
        </w:rPr>
        <w:t>pour répondre aux besoins et insuffisances constatés aux niveaux institutionnel, organisationnel et individuel des différents ministères, identifiés suite à un diagnostic réalisé par le cabinet ayant conçu le manuel de procédures et préparé la mise en place du BAS.</w:t>
      </w:r>
    </w:p>
    <w:p w14:paraId="1C989163" w14:textId="30102D86" w:rsidR="00F4789A" w:rsidRPr="00F4789A" w:rsidRDefault="00F4789A" w:rsidP="00F4789A">
      <w:pPr>
        <w:spacing w:before="120" w:after="120"/>
        <w:jc w:val="both"/>
        <w:rPr>
          <w:rFonts w:cstheme="minorHAnsi"/>
          <w:sz w:val="24"/>
          <w:szCs w:val="24"/>
        </w:rPr>
      </w:pPr>
      <w:r w:rsidRPr="00F4789A">
        <w:rPr>
          <w:rFonts w:cstheme="minorHAnsi"/>
          <w:sz w:val="24"/>
          <w:szCs w:val="24"/>
        </w:rPr>
        <w:t>La mise en œuvre du BAS/FCE est faite par les services techniques centraux des Ministères de l’Enseignement Pré-Universitaire et de l’Alphabétisation</w:t>
      </w:r>
      <w:r w:rsidR="006427B6">
        <w:rPr>
          <w:rFonts w:cstheme="minorHAnsi"/>
          <w:sz w:val="24"/>
          <w:szCs w:val="24"/>
        </w:rPr>
        <w:t xml:space="preserve"> ; </w:t>
      </w:r>
      <w:r w:rsidRPr="00F4789A">
        <w:rPr>
          <w:rFonts w:cstheme="minorHAnsi"/>
          <w:sz w:val="24"/>
          <w:szCs w:val="24"/>
        </w:rPr>
        <w:t>de l’Economie, des Finances et du Plan</w:t>
      </w:r>
      <w:r w:rsidR="006427B6">
        <w:rPr>
          <w:rFonts w:cstheme="minorHAnsi"/>
          <w:sz w:val="24"/>
          <w:szCs w:val="24"/>
        </w:rPr>
        <w:t> ;</w:t>
      </w:r>
      <w:r w:rsidRPr="00F4789A">
        <w:rPr>
          <w:rFonts w:cstheme="minorHAnsi"/>
          <w:sz w:val="24"/>
          <w:szCs w:val="24"/>
        </w:rPr>
        <w:t xml:space="preserve"> du Budget</w:t>
      </w:r>
      <w:r w:rsidR="006427B6">
        <w:rPr>
          <w:rFonts w:cstheme="minorHAnsi"/>
          <w:sz w:val="24"/>
          <w:szCs w:val="24"/>
        </w:rPr>
        <w:t xml:space="preserve"> ; </w:t>
      </w:r>
      <w:r w:rsidRPr="00F4789A">
        <w:rPr>
          <w:rFonts w:cstheme="minorHAnsi"/>
          <w:sz w:val="24"/>
          <w:szCs w:val="24"/>
        </w:rPr>
        <w:t xml:space="preserve">et de l’Administration du Territoire et </w:t>
      </w:r>
      <w:r w:rsidR="006427B6">
        <w:rPr>
          <w:rFonts w:cstheme="minorHAnsi"/>
          <w:sz w:val="24"/>
          <w:szCs w:val="24"/>
        </w:rPr>
        <w:t xml:space="preserve">de </w:t>
      </w:r>
      <w:r w:rsidRPr="00F4789A">
        <w:rPr>
          <w:rFonts w:cstheme="minorHAnsi"/>
          <w:sz w:val="24"/>
          <w:szCs w:val="24"/>
        </w:rPr>
        <w:t>la Décentralisation</w:t>
      </w:r>
      <w:r w:rsidR="006427B6">
        <w:rPr>
          <w:rFonts w:cstheme="minorHAnsi"/>
          <w:sz w:val="24"/>
          <w:szCs w:val="24"/>
        </w:rPr>
        <w:t> ;</w:t>
      </w:r>
      <w:r w:rsidRPr="00F4789A">
        <w:rPr>
          <w:rFonts w:cstheme="minorHAnsi"/>
          <w:sz w:val="24"/>
          <w:szCs w:val="24"/>
        </w:rPr>
        <w:t xml:space="preserve"> en collaboration avec les services déconcentrés et décentralisés et les PTF.</w:t>
      </w:r>
    </w:p>
    <w:p w14:paraId="240E4BF2" w14:textId="77777777" w:rsidR="00F4789A" w:rsidRPr="00F4789A" w:rsidRDefault="00F4789A" w:rsidP="00F4789A">
      <w:pPr>
        <w:spacing w:before="120" w:after="120"/>
        <w:jc w:val="both"/>
        <w:rPr>
          <w:rFonts w:cstheme="minorHAnsi"/>
          <w:sz w:val="24"/>
          <w:szCs w:val="24"/>
        </w:rPr>
      </w:pPr>
      <w:r w:rsidRPr="00F4789A">
        <w:rPr>
          <w:rFonts w:cstheme="minorHAnsi"/>
          <w:sz w:val="24"/>
          <w:szCs w:val="24"/>
        </w:rPr>
        <w:t>Ces institutions sont responsables de la planification, de l’exécution et du rapportage des activités et des ressources du BAS/FCE.</w:t>
      </w:r>
    </w:p>
    <w:p w14:paraId="5384599B" w14:textId="2B302810" w:rsidR="00F4789A" w:rsidRPr="00F4789A" w:rsidRDefault="00F4789A" w:rsidP="00F4789A">
      <w:pPr>
        <w:spacing w:before="120" w:after="120"/>
        <w:jc w:val="both"/>
        <w:rPr>
          <w:rFonts w:cstheme="minorHAnsi"/>
          <w:sz w:val="24"/>
          <w:szCs w:val="24"/>
        </w:rPr>
      </w:pPr>
      <w:r w:rsidRPr="00F4789A">
        <w:rPr>
          <w:rFonts w:cstheme="minorHAnsi"/>
          <w:sz w:val="24"/>
          <w:szCs w:val="24"/>
        </w:rPr>
        <w:t xml:space="preserve">La complémentarité avec les autres interventions </w:t>
      </w:r>
      <w:r w:rsidR="006427B6">
        <w:rPr>
          <w:rFonts w:cstheme="minorHAnsi"/>
          <w:sz w:val="24"/>
          <w:szCs w:val="24"/>
        </w:rPr>
        <w:t>est</w:t>
      </w:r>
      <w:r w:rsidR="006427B6" w:rsidRPr="00F4789A">
        <w:rPr>
          <w:rFonts w:cstheme="minorHAnsi"/>
          <w:sz w:val="24"/>
          <w:szCs w:val="24"/>
        </w:rPr>
        <w:t xml:space="preserve"> </w:t>
      </w:r>
      <w:r w:rsidRPr="00F4789A">
        <w:rPr>
          <w:rFonts w:cstheme="minorHAnsi"/>
          <w:sz w:val="24"/>
          <w:szCs w:val="24"/>
        </w:rPr>
        <w:t>assurée à travers</w:t>
      </w:r>
      <w:r w:rsidR="00B95D68">
        <w:rPr>
          <w:rFonts w:cstheme="minorHAnsi"/>
          <w:sz w:val="24"/>
          <w:szCs w:val="24"/>
        </w:rPr>
        <w:t xml:space="preserve"> </w:t>
      </w:r>
      <w:r w:rsidR="006F26D8">
        <w:rPr>
          <w:rFonts w:cstheme="minorHAnsi"/>
          <w:sz w:val="24"/>
          <w:szCs w:val="24"/>
        </w:rPr>
        <w:t>un ensemble de mécanismes de planification et de dialogue sectoriel que sont notamment</w:t>
      </w:r>
      <w:r w:rsidRPr="00F4789A">
        <w:rPr>
          <w:rFonts w:cstheme="minorHAnsi"/>
          <w:sz w:val="24"/>
          <w:szCs w:val="24"/>
        </w:rPr>
        <w:t xml:space="preserve"> </w:t>
      </w:r>
      <w:r w:rsidR="00B95D68">
        <w:rPr>
          <w:rFonts w:cstheme="minorHAnsi"/>
          <w:sz w:val="24"/>
          <w:szCs w:val="24"/>
        </w:rPr>
        <w:t>l’élaboration de plans d’action annuels sectoriels budgétisés</w:t>
      </w:r>
      <w:r w:rsidRPr="00F4789A">
        <w:rPr>
          <w:rFonts w:cstheme="minorHAnsi"/>
          <w:sz w:val="24"/>
          <w:szCs w:val="24"/>
        </w:rPr>
        <w:t>, le Conseil Interministériel de Pilotage et de Coordination de l'Education (CIPC)</w:t>
      </w:r>
      <w:r w:rsidR="006F26D8">
        <w:rPr>
          <w:rFonts w:cstheme="minorHAnsi"/>
          <w:sz w:val="24"/>
          <w:szCs w:val="24"/>
        </w:rPr>
        <w:t xml:space="preserve"> et</w:t>
      </w:r>
      <w:r w:rsidRPr="00F4789A">
        <w:rPr>
          <w:rFonts w:cstheme="minorHAnsi"/>
          <w:sz w:val="24"/>
          <w:szCs w:val="24"/>
        </w:rPr>
        <w:t xml:space="preserve"> le Groupe Sectoriel Education (GSE), les Commissions Thématiques, </w:t>
      </w:r>
      <w:r w:rsidR="006F26D8">
        <w:rPr>
          <w:rFonts w:cstheme="minorHAnsi"/>
          <w:sz w:val="24"/>
          <w:szCs w:val="24"/>
        </w:rPr>
        <w:t xml:space="preserve">les rapports annuels de performance par rapport aux indicateurs clés du ProDEG, </w:t>
      </w:r>
      <w:r w:rsidRPr="00F4789A">
        <w:rPr>
          <w:rFonts w:cstheme="minorHAnsi"/>
          <w:sz w:val="24"/>
          <w:szCs w:val="24"/>
        </w:rPr>
        <w:t xml:space="preserve"> la revue sectorielle annuelle</w:t>
      </w:r>
      <w:r w:rsidR="006F26D8">
        <w:rPr>
          <w:rFonts w:cstheme="minorHAnsi"/>
          <w:sz w:val="24"/>
          <w:szCs w:val="24"/>
        </w:rPr>
        <w:t xml:space="preserve"> conjointe</w:t>
      </w:r>
      <w:r w:rsidRPr="00F4789A">
        <w:rPr>
          <w:rFonts w:cstheme="minorHAnsi"/>
          <w:sz w:val="24"/>
          <w:szCs w:val="24"/>
        </w:rPr>
        <w:t xml:space="preserve">. </w:t>
      </w:r>
      <w:r w:rsidR="006F26D8">
        <w:rPr>
          <w:rFonts w:cstheme="minorHAnsi"/>
          <w:sz w:val="24"/>
          <w:szCs w:val="24"/>
        </w:rPr>
        <w:t>Cette dernière</w:t>
      </w:r>
      <w:r w:rsidRPr="00F4789A">
        <w:rPr>
          <w:rFonts w:cstheme="minorHAnsi"/>
          <w:sz w:val="24"/>
          <w:szCs w:val="24"/>
        </w:rPr>
        <w:t xml:space="preserve"> donne l’occasion aux différents acteurs d’apprécier les résultats enregistrés dans la mise en œuvre du ProDEG, de se pencher sur des questions épineuses qui entravent sa bonne exécution et de formuler des recommandations à l’endroit des départements en charge de l’éducation et de la formation.  </w:t>
      </w:r>
    </w:p>
    <w:p w14:paraId="176E6F38" w14:textId="54406F85" w:rsidR="00F4789A" w:rsidRPr="00F4789A" w:rsidRDefault="00F4789A" w:rsidP="00F4789A">
      <w:pPr>
        <w:spacing w:before="120" w:after="120"/>
        <w:jc w:val="both"/>
        <w:rPr>
          <w:rFonts w:cstheme="minorHAnsi"/>
          <w:sz w:val="24"/>
          <w:szCs w:val="24"/>
        </w:rPr>
      </w:pPr>
      <w:r w:rsidRPr="00F4789A">
        <w:rPr>
          <w:rFonts w:eastAsia="Century Gothic" w:cstheme="minorHAnsi"/>
          <w:sz w:val="24"/>
          <w:szCs w:val="24"/>
        </w:rPr>
        <w:t xml:space="preserve">A ce jour, le financement mobilisé au titre du BAS/FCE par les partenaires techniques et financiers (AFD, PME et UNICEF) s’élève à </w:t>
      </w:r>
      <w:r w:rsidRPr="00F4789A">
        <w:rPr>
          <w:rFonts w:eastAsia="Century Gothic" w:cstheme="minorHAnsi"/>
          <w:b/>
          <w:bCs/>
          <w:sz w:val="24"/>
          <w:szCs w:val="24"/>
        </w:rPr>
        <w:t>35 379 300 000 GNF</w:t>
      </w:r>
      <w:r w:rsidRPr="00F4789A">
        <w:rPr>
          <w:rFonts w:eastAsia="Century Gothic" w:cstheme="minorHAnsi"/>
          <w:sz w:val="24"/>
          <w:szCs w:val="24"/>
        </w:rPr>
        <w:t xml:space="preserve">, soit </w:t>
      </w:r>
      <w:r w:rsidRPr="00F4789A">
        <w:rPr>
          <w:rFonts w:eastAsia="Century Gothic" w:cstheme="minorHAnsi"/>
          <w:b/>
          <w:bCs/>
          <w:sz w:val="24"/>
          <w:szCs w:val="24"/>
        </w:rPr>
        <w:t>3 300 000 euros</w:t>
      </w:r>
      <w:r w:rsidRPr="00F4789A">
        <w:rPr>
          <w:rFonts w:eastAsia="Century Gothic" w:cstheme="minorHAnsi"/>
          <w:sz w:val="24"/>
          <w:szCs w:val="24"/>
        </w:rPr>
        <w:t xml:space="preserve"> pour </w:t>
      </w:r>
      <w:r w:rsidRPr="00F4789A">
        <w:rPr>
          <w:rFonts w:eastAsia="Century Gothic" w:cstheme="minorHAnsi"/>
          <w:sz w:val="24"/>
          <w:szCs w:val="24"/>
        </w:rPr>
        <w:lastRenderedPageBreak/>
        <w:t xml:space="preserve">2020, </w:t>
      </w:r>
      <w:r w:rsidRPr="00F4789A">
        <w:rPr>
          <w:rFonts w:eastAsia="Century Gothic" w:cstheme="minorHAnsi"/>
          <w:b/>
          <w:bCs/>
          <w:sz w:val="24"/>
          <w:szCs w:val="24"/>
        </w:rPr>
        <w:t>126 541 142 310 GNF</w:t>
      </w:r>
      <w:r w:rsidRPr="00F4789A">
        <w:rPr>
          <w:rFonts w:eastAsia="Century Gothic" w:cstheme="minorHAnsi"/>
          <w:sz w:val="24"/>
          <w:szCs w:val="24"/>
        </w:rPr>
        <w:t xml:space="preserve"> équivalant à </w:t>
      </w:r>
      <w:r w:rsidRPr="00F4789A">
        <w:rPr>
          <w:rFonts w:eastAsia="Century Gothic" w:cstheme="minorHAnsi"/>
          <w:b/>
          <w:bCs/>
          <w:sz w:val="24"/>
          <w:szCs w:val="24"/>
        </w:rPr>
        <w:t xml:space="preserve">11 803 110 euros </w:t>
      </w:r>
      <w:r w:rsidRPr="00F4789A">
        <w:rPr>
          <w:rFonts w:eastAsia="Century Gothic" w:cstheme="minorHAnsi"/>
          <w:bCs/>
          <w:sz w:val="24"/>
          <w:szCs w:val="24"/>
        </w:rPr>
        <w:t>pour 2021</w:t>
      </w:r>
      <w:r w:rsidRPr="00F4789A">
        <w:rPr>
          <w:rFonts w:eastAsia="Century Gothic" w:cstheme="minorHAnsi"/>
          <w:sz w:val="24"/>
          <w:szCs w:val="24"/>
        </w:rPr>
        <w:t xml:space="preserve"> et </w:t>
      </w:r>
      <w:r w:rsidRPr="00F4789A">
        <w:rPr>
          <w:rFonts w:eastAsia="Times New Roman" w:cstheme="minorHAnsi"/>
          <w:b/>
          <w:color w:val="000000"/>
          <w:sz w:val="24"/>
          <w:szCs w:val="24"/>
          <w:lang w:eastAsia="fr-FR"/>
        </w:rPr>
        <w:t xml:space="preserve">215 431 419 140 GNF, </w:t>
      </w:r>
      <w:r w:rsidRPr="00F4789A">
        <w:rPr>
          <w:rFonts w:eastAsia="Times New Roman" w:cstheme="minorHAnsi"/>
          <w:color w:val="000000"/>
          <w:sz w:val="24"/>
          <w:szCs w:val="24"/>
          <w:lang w:eastAsia="fr-FR"/>
        </w:rPr>
        <w:t>correspondant à</w:t>
      </w:r>
      <w:r w:rsidRPr="00F4789A">
        <w:rPr>
          <w:rFonts w:eastAsia="Times New Roman" w:cstheme="minorHAnsi"/>
          <w:b/>
          <w:color w:val="000000"/>
          <w:sz w:val="24"/>
          <w:szCs w:val="24"/>
          <w:lang w:eastAsia="fr-FR"/>
        </w:rPr>
        <w:t xml:space="preserve"> 20 094 340 euros au titre </w:t>
      </w:r>
      <w:r w:rsidRPr="00F4789A">
        <w:rPr>
          <w:rFonts w:eastAsia="Times New Roman" w:cstheme="minorHAnsi"/>
          <w:color w:val="000000"/>
          <w:sz w:val="24"/>
          <w:szCs w:val="24"/>
          <w:lang w:eastAsia="fr-FR"/>
        </w:rPr>
        <w:t>de l’exercice 2022</w:t>
      </w:r>
      <w:r w:rsidRPr="00F4789A">
        <w:rPr>
          <w:rFonts w:eastAsia="Times New Roman" w:cstheme="minorHAnsi"/>
          <w:bCs/>
          <w:color w:val="000000"/>
          <w:sz w:val="24"/>
          <w:szCs w:val="24"/>
          <w:lang w:eastAsia="fr-FR"/>
        </w:rPr>
        <w:t xml:space="preserve">. </w:t>
      </w:r>
      <w:r w:rsidRPr="00F4789A">
        <w:rPr>
          <w:rFonts w:eastAsia="Century Gothic" w:cstheme="minorHAnsi"/>
          <w:sz w:val="24"/>
          <w:szCs w:val="24"/>
        </w:rPr>
        <w:t xml:space="preserve">Ce qui représente une enveloppe globale de </w:t>
      </w:r>
      <w:r w:rsidRPr="00F4789A">
        <w:rPr>
          <w:rFonts w:eastAsia="Century Gothic" w:cstheme="minorHAnsi"/>
          <w:b/>
          <w:bCs/>
          <w:sz w:val="24"/>
          <w:szCs w:val="24"/>
        </w:rPr>
        <w:t>377 351 861 450 GNF</w:t>
      </w:r>
      <w:r w:rsidRPr="00F4789A">
        <w:rPr>
          <w:rFonts w:eastAsia="Century Gothic" w:cstheme="minorHAnsi"/>
          <w:sz w:val="24"/>
          <w:szCs w:val="24"/>
        </w:rPr>
        <w:t xml:space="preserve"> équivalant à </w:t>
      </w:r>
      <w:r w:rsidRPr="00F4789A">
        <w:rPr>
          <w:rFonts w:eastAsia="Century Gothic" w:cstheme="minorHAnsi"/>
          <w:b/>
          <w:bCs/>
          <w:sz w:val="24"/>
          <w:szCs w:val="24"/>
        </w:rPr>
        <w:t>35 197 450 euros,</w:t>
      </w:r>
      <w:r w:rsidRPr="00F4789A">
        <w:rPr>
          <w:rFonts w:eastAsia="Century Gothic" w:cstheme="minorHAnsi"/>
          <w:sz w:val="24"/>
          <w:szCs w:val="24"/>
        </w:rPr>
        <w:t xml:space="preserve"> depuis le démarrage du ProDEG en </w:t>
      </w:r>
      <w:bookmarkStart w:id="0" w:name="_GoBack"/>
      <w:bookmarkEnd w:id="0"/>
      <w:r w:rsidR="00BB45F4" w:rsidRPr="00F4789A">
        <w:rPr>
          <w:rFonts w:eastAsia="Century Gothic" w:cstheme="minorHAnsi"/>
          <w:sz w:val="24"/>
          <w:szCs w:val="24"/>
        </w:rPr>
        <w:t>2020</w:t>
      </w:r>
      <w:r w:rsidR="00BB45F4">
        <w:rPr>
          <w:rFonts w:eastAsia="Century Gothic" w:cstheme="minorHAnsi"/>
          <w:sz w:val="24"/>
          <w:szCs w:val="24"/>
        </w:rPr>
        <w:t>.</w:t>
      </w:r>
    </w:p>
    <w:p w14:paraId="02AD7E01" w14:textId="3C170AED" w:rsidR="00F4789A" w:rsidRPr="00F4789A" w:rsidRDefault="00F4789A" w:rsidP="00F4789A">
      <w:pPr>
        <w:spacing w:before="120" w:after="120"/>
        <w:jc w:val="both"/>
        <w:rPr>
          <w:rFonts w:cstheme="minorHAnsi"/>
          <w:sz w:val="24"/>
          <w:szCs w:val="24"/>
        </w:rPr>
      </w:pPr>
      <w:r w:rsidRPr="00F4789A">
        <w:rPr>
          <w:rFonts w:cstheme="minorHAnsi"/>
          <w:sz w:val="24"/>
          <w:szCs w:val="24"/>
        </w:rPr>
        <w:t>La dernière mission de supervision du BAS/FCE (courant mai 2022) a constaté une très faible évolution de</w:t>
      </w:r>
      <w:r w:rsidR="006F26D8">
        <w:rPr>
          <w:rFonts w:cstheme="minorHAnsi"/>
          <w:sz w:val="24"/>
          <w:szCs w:val="24"/>
        </w:rPr>
        <w:t>s</w:t>
      </w:r>
      <w:r w:rsidRPr="00F4789A">
        <w:rPr>
          <w:rFonts w:cstheme="minorHAnsi"/>
          <w:sz w:val="24"/>
          <w:szCs w:val="24"/>
        </w:rPr>
        <w:t xml:space="preserve"> taux d’engagement et de liquidation entre la mission de novembre 2021 et celle de mai 2022. </w:t>
      </w:r>
      <w:r w:rsidR="00F95A45">
        <w:rPr>
          <w:rFonts w:cstheme="minorHAnsi"/>
          <w:sz w:val="24"/>
          <w:szCs w:val="24"/>
        </w:rPr>
        <w:t xml:space="preserve">En effet, </w:t>
      </w:r>
      <w:r w:rsidRPr="00F4789A">
        <w:rPr>
          <w:rFonts w:cstheme="minorHAnsi"/>
          <w:sz w:val="24"/>
          <w:szCs w:val="24"/>
        </w:rPr>
        <w:t xml:space="preserve"> les ministères continuent à exécuter les fonds versés au titre de 2020, qui représentent seulement 6% de fonds. En raison de cette faible exécution, les financements sont désormais sous surveillance renforcée du GPE, ce qui a comme conséquence</w:t>
      </w:r>
      <w:r w:rsidR="00462C08">
        <w:rPr>
          <w:rFonts w:cstheme="minorHAnsi"/>
          <w:sz w:val="24"/>
          <w:szCs w:val="24"/>
        </w:rPr>
        <w:t xml:space="preserve"> de procéder obligatoirement</w:t>
      </w:r>
      <w:r w:rsidRPr="00F4789A">
        <w:rPr>
          <w:rFonts w:cstheme="minorHAnsi"/>
          <w:sz w:val="24"/>
          <w:szCs w:val="24"/>
        </w:rPr>
        <w:t xml:space="preserve"> un rapportage semestriel au lieu d’un rapport</w:t>
      </w:r>
      <w:r w:rsidR="00462C08">
        <w:rPr>
          <w:rFonts w:cstheme="minorHAnsi"/>
          <w:sz w:val="24"/>
          <w:szCs w:val="24"/>
        </w:rPr>
        <w:t>age</w:t>
      </w:r>
      <w:r w:rsidRPr="00F4789A">
        <w:rPr>
          <w:rFonts w:cstheme="minorHAnsi"/>
          <w:sz w:val="24"/>
          <w:szCs w:val="24"/>
        </w:rPr>
        <w:t xml:space="preserve"> annuel.</w:t>
      </w:r>
    </w:p>
    <w:p w14:paraId="54C7AADA" w14:textId="3E64ACBF" w:rsidR="00F4789A" w:rsidRPr="00F4789A" w:rsidRDefault="00F4789A" w:rsidP="00F4789A">
      <w:pPr>
        <w:spacing w:before="120" w:after="120"/>
        <w:jc w:val="both"/>
        <w:rPr>
          <w:rFonts w:cstheme="minorHAnsi"/>
          <w:sz w:val="24"/>
          <w:szCs w:val="24"/>
        </w:rPr>
      </w:pPr>
      <w:r w:rsidRPr="00F4789A">
        <w:rPr>
          <w:rFonts w:cstheme="minorHAnsi"/>
          <w:sz w:val="24"/>
          <w:szCs w:val="24"/>
        </w:rPr>
        <w:t>La mise en œuvre du Budget d’Affectation Spéciale du Fonds Commun de l’Education (BAS/FCE) intervient dans un contexte politique marqué par (i) la non adoption dans les délais requis de la LFR 2020</w:t>
      </w:r>
      <w:r w:rsidR="00462C08">
        <w:rPr>
          <w:rFonts w:cstheme="minorHAnsi"/>
          <w:sz w:val="24"/>
          <w:szCs w:val="24"/>
        </w:rPr>
        <w:t xml:space="preserve"> ; (ii) </w:t>
      </w:r>
      <w:r w:rsidRPr="00F4789A">
        <w:rPr>
          <w:rFonts w:cstheme="minorHAnsi"/>
          <w:sz w:val="24"/>
          <w:szCs w:val="24"/>
        </w:rPr>
        <w:t>le retard enregistré dans  la notification des crédits 2020-2021</w:t>
      </w:r>
      <w:r w:rsidR="00462C08">
        <w:rPr>
          <w:rFonts w:cstheme="minorHAnsi"/>
          <w:sz w:val="24"/>
          <w:szCs w:val="24"/>
        </w:rPr>
        <w:t xml:space="preserve"> </w:t>
      </w:r>
      <w:r w:rsidR="00F95A45">
        <w:rPr>
          <w:rFonts w:cstheme="minorHAnsi"/>
          <w:sz w:val="24"/>
          <w:szCs w:val="24"/>
        </w:rPr>
        <w:t>sur le</w:t>
      </w:r>
      <w:r w:rsidR="00462C08">
        <w:rPr>
          <w:rFonts w:cstheme="minorHAnsi"/>
          <w:sz w:val="24"/>
          <w:szCs w:val="24"/>
        </w:rPr>
        <w:t xml:space="preserve"> BAS/FCE</w:t>
      </w:r>
      <w:r w:rsidRPr="00F4789A">
        <w:rPr>
          <w:rFonts w:cstheme="minorHAnsi"/>
          <w:sz w:val="24"/>
          <w:szCs w:val="24"/>
        </w:rPr>
        <w:t>, (ii</w:t>
      </w:r>
      <w:r w:rsidR="00462C08">
        <w:rPr>
          <w:rFonts w:cstheme="minorHAnsi"/>
          <w:sz w:val="24"/>
          <w:szCs w:val="24"/>
        </w:rPr>
        <w:t>i</w:t>
      </w:r>
      <w:r w:rsidRPr="00F4789A">
        <w:rPr>
          <w:rFonts w:cstheme="minorHAnsi"/>
          <w:sz w:val="24"/>
          <w:szCs w:val="24"/>
        </w:rPr>
        <w:t>) le retard dans la signature du décret de report de crédits de 2021 à 2022</w:t>
      </w:r>
      <w:r w:rsidR="00462C08">
        <w:rPr>
          <w:rFonts w:cstheme="minorHAnsi"/>
          <w:sz w:val="24"/>
          <w:szCs w:val="24"/>
        </w:rPr>
        <w:t>,</w:t>
      </w:r>
      <w:r w:rsidRPr="00F4789A">
        <w:rPr>
          <w:rFonts w:cstheme="minorHAnsi"/>
          <w:sz w:val="24"/>
          <w:szCs w:val="24"/>
        </w:rPr>
        <w:t>(i</w:t>
      </w:r>
      <w:r w:rsidR="00462C08">
        <w:rPr>
          <w:rFonts w:cstheme="minorHAnsi"/>
          <w:sz w:val="24"/>
          <w:szCs w:val="24"/>
        </w:rPr>
        <w:t>v</w:t>
      </w:r>
      <w:r w:rsidRPr="00F4789A">
        <w:rPr>
          <w:rFonts w:cstheme="minorHAnsi"/>
          <w:sz w:val="24"/>
          <w:szCs w:val="24"/>
        </w:rPr>
        <w:t>) le changement de cadres au niveau central et déconcentré des différents ministères du secteur de l’éducation ainsi que des ministères financiers</w:t>
      </w:r>
      <w:r w:rsidR="009349D2">
        <w:rPr>
          <w:rFonts w:cstheme="minorHAnsi"/>
          <w:sz w:val="24"/>
          <w:szCs w:val="24"/>
        </w:rPr>
        <w:t> ;(v) le retard dans la mise à disposition de la lettre de cadrage budgétaire du budget national pour l’année 2023 qui n’est toujours pas disponible alors qu’elle était attendue pour le mois d’avril</w:t>
      </w:r>
    </w:p>
    <w:p w14:paraId="0AF259C6" w14:textId="35381A5B" w:rsidR="00F4789A" w:rsidRPr="00F4789A" w:rsidRDefault="00F4789A" w:rsidP="00F4789A">
      <w:pPr>
        <w:spacing w:after="120"/>
        <w:jc w:val="both"/>
        <w:rPr>
          <w:rFonts w:cstheme="minorHAnsi"/>
          <w:sz w:val="24"/>
          <w:szCs w:val="24"/>
        </w:rPr>
      </w:pPr>
      <w:r w:rsidRPr="00F4789A">
        <w:rPr>
          <w:rFonts w:cstheme="minorHAnsi"/>
          <w:sz w:val="24"/>
          <w:szCs w:val="24"/>
        </w:rPr>
        <w:t>Hormis ce contexte, d’autres facteurs internes liés  aux  faiblesses du dispositif d’accompagnement, de suivi et de coordination de la mise en œuvre des activités planifiées du BAS/FCE ont contribué au faible taux d’exécution des dépenses du BAS/FCE notamment : (i) la faible qualité de certains plans d’actions; (ii) la faible capacité des cadres dans l’élaboration des TDR pour la réalisation des activités; (iii) la faible collaboration entre les DAF, les BSD et les PRMP dans le cadre de l’exécution des dépenses ; (iv) la faible circulation de l’information entre les structures de l’éducation et celles des ministères du pool financier (budget et trésor) ; (v) la lenteur observée dans l’envoi des délégations de crédits en faveur des services déconcentrés du MEPUA et du METFP par les services du trésor ; et (vi) la lenteur</w:t>
      </w:r>
      <w:r w:rsidRPr="00F4789A">
        <w:rPr>
          <w:rFonts w:eastAsia="Times New Roman" w:cstheme="minorHAnsi"/>
          <w:color w:val="000000"/>
          <w:sz w:val="24"/>
          <w:szCs w:val="24"/>
          <w:lang w:eastAsia="fr-FR"/>
        </w:rPr>
        <w:t xml:space="preserve"> </w:t>
      </w:r>
      <w:r w:rsidRPr="00F4789A">
        <w:rPr>
          <w:rFonts w:cstheme="minorHAnsi"/>
          <w:sz w:val="24"/>
          <w:szCs w:val="24"/>
        </w:rPr>
        <w:t>observée dans l’obtention des ANO auprès des PTF pour les contrats de marchés.</w:t>
      </w:r>
    </w:p>
    <w:p w14:paraId="0E6AAC9E" w14:textId="77777777" w:rsidR="00F4789A" w:rsidRPr="00F4789A" w:rsidRDefault="00F4789A" w:rsidP="00F4789A">
      <w:pPr>
        <w:spacing w:after="120"/>
        <w:jc w:val="both"/>
        <w:rPr>
          <w:rFonts w:cstheme="minorHAnsi"/>
          <w:sz w:val="24"/>
          <w:szCs w:val="24"/>
        </w:rPr>
      </w:pPr>
      <w:r w:rsidRPr="00F4789A">
        <w:rPr>
          <w:rFonts w:cstheme="minorHAnsi"/>
          <w:sz w:val="24"/>
          <w:szCs w:val="24"/>
        </w:rPr>
        <w:t>Au-delà des blocages liés aux aspects techniques de l’exécution des dépenses du BAS/FCE, il faut noter le faible niveau de dialogue politique, qui constitue une difficulté majeure dans la mise en œuvre dudit BAS/FCE ainsi que l’atteinte des objectifs du ProDEG.</w:t>
      </w:r>
    </w:p>
    <w:p w14:paraId="2D6CD8E8" w14:textId="4457EAC7" w:rsidR="00163584" w:rsidRPr="00A11205" w:rsidRDefault="00F4789A" w:rsidP="00A11205">
      <w:pPr>
        <w:jc w:val="both"/>
        <w:rPr>
          <w:b/>
          <w:sz w:val="24"/>
          <w:szCs w:val="24"/>
        </w:rPr>
      </w:pPr>
      <w:r w:rsidRPr="00F4789A">
        <w:rPr>
          <w:rFonts w:cstheme="minorHAnsi"/>
          <w:sz w:val="24"/>
          <w:szCs w:val="24"/>
        </w:rPr>
        <w:t xml:space="preserve">Pour inverser cette tendance, </w:t>
      </w:r>
      <w:r w:rsidR="001E58E7">
        <w:rPr>
          <w:rFonts w:cstheme="minorHAnsi"/>
          <w:sz w:val="24"/>
          <w:szCs w:val="24"/>
        </w:rPr>
        <w:t xml:space="preserve">en agissant surtout sur les facteurs internes, </w:t>
      </w:r>
      <w:r w:rsidR="00387DF1">
        <w:rPr>
          <w:b/>
          <w:sz w:val="24"/>
          <w:szCs w:val="24"/>
        </w:rPr>
        <w:t>la</w:t>
      </w:r>
      <w:r>
        <w:rPr>
          <w:b/>
          <w:sz w:val="24"/>
          <w:szCs w:val="24"/>
        </w:rPr>
        <w:t xml:space="preserve"> présente</w:t>
      </w:r>
      <w:r w:rsidR="00387DF1">
        <w:rPr>
          <w:b/>
          <w:sz w:val="24"/>
          <w:szCs w:val="24"/>
        </w:rPr>
        <w:t xml:space="preserve"> démarche d’</w:t>
      </w:r>
      <w:r w:rsidR="00387DF1" w:rsidRPr="00A11205">
        <w:rPr>
          <w:b/>
          <w:sz w:val="24"/>
          <w:szCs w:val="24"/>
        </w:rPr>
        <w:t>opérationnalisation du suivi bimensuel</w:t>
      </w:r>
      <w:r w:rsidR="00387DF1">
        <w:rPr>
          <w:b/>
          <w:sz w:val="24"/>
          <w:szCs w:val="24"/>
        </w:rPr>
        <w:t xml:space="preserve"> </w:t>
      </w:r>
      <w:r w:rsidR="00387DF1" w:rsidRPr="00387DF1">
        <w:rPr>
          <w:sz w:val="24"/>
          <w:szCs w:val="24"/>
        </w:rPr>
        <w:t xml:space="preserve">(une réunion </w:t>
      </w:r>
      <w:r w:rsidR="001E58E7">
        <w:rPr>
          <w:sz w:val="24"/>
          <w:szCs w:val="24"/>
        </w:rPr>
        <w:t>toutes les</w:t>
      </w:r>
      <w:r w:rsidR="00387DF1" w:rsidRPr="00387DF1">
        <w:rPr>
          <w:sz w:val="24"/>
          <w:szCs w:val="24"/>
        </w:rPr>
        <w:t>2 semaines)</w:t>
      </w:r>
      <w:r w:rsidR="00387DF1" w:rsidRPr="00A11205">
        <w:rPr>
          <w:b/>
          <w:sz w:val="24"/>
          <w:szCs w:val="24"/>
        </w:rPr>
        <w:t xml:space="preserve"> de mise en œuvre du FCE/BAS au MEPUA</w:t>
      </w:r>
      <w:r>
        <w:rPr>
          <w:b/>
          <w:sz w:val="24"/>
          <w:szCs w:val="24"/>
        </w:rPr>
        <w:t xml:space="preserve"> est proposée</w:t>
      </w:r>
      <w:r w:rsidR="00387DF1">
        <w:rPr>
          <w:b/>
          <w:sz w:val="24"/>
          <w:szCs w:val="24"/>
        </w:rPr>
        <w:t>.</w:t>
      </w:r>
    </w:p>
    <w:p w14:paraId="43C9F5E7" w14:textId="40745CFE" w:rsidR="00A11205" w:rsidRPr="00A11205" w:rsidRDefault="00387DF1">
      <w:pPr>
        <w:rPr>
          <w:sz w:val="24"/>
          <w:szCs w:val="24"/>
        </w:rPr>
      </w:pPr>
      <w:r>
        <w:rPr>
          <w:b/>
          <w:sz w:val="24"/>
          <w:szCs w:val="24"/>
          <w:u w:val="single"/>
        </w:rPr>
        <w:t xml:space="preserve">L’objectif </w:t>
      </w:r>
      <w:r w:rsidRPr="00F4789A">
        <w:rPr>
          <w:sz w:val="24"/>
          <w:szCs w:val="24"/>
        </w:rPr>
        <w:t>de cette démarche</w:t>
      </w:r>
      <w:r>
        <w:rPr>
          <w:b/>
          <w:sz w:val="24"/>
          <w:szCs w:val="24"/>
          <w:u w:val="single"/>
        </w:rPr>
        <w:t xml:space="preserve"> </w:t>
      </w:r>
      <w:r w:rsidRPr="00387DF1">
        <w:rPr>
          <w:sz w:val="24"/>
          <w:szCs w:val="24"/>
          <w:u w:val="single"/>
        </w:rPr>
        <w:t>est d</w:t>
      </w:r>
      <w:r>
        <w:rPr>
          <w:sz w:val="24"/>
          <w:szCs w:val="24"/>
        </w:rPr>
        <w:t>e s</w:t>
      </w:r>
      <w:r w:rsidR="00A11205" w:rsidRPr="00387DF1">
        <w:rPr>
          <w:sz w:val="24"/>
          <w:szCs w:val="24"/>
        </w:rPr>
        <w:t>uivre et</w:t>
      </w:r>
      <w:r w:rsidR="00A11205" w:rsidRPr="00A11205">
        <w:rPr>
          <w:sz w:val="24"/>
          <w:szCs w:val="24"/>
        </w:rPr>
        <w:t xml:space="preserve"> évaluer la mise en œuvre du PAAB 2021-2022 </w:t>
      </w:r>
      <w:r w:rsidR="001E58E7">
        <w:rPr>
          <w:sz w:val="24"/>
          <w:szCs w:val="24"/>
        </w:rPr>
        <w:t xml:space="preserve">consolidé (BAS/FCE et toutes les autres sources de financement) </w:t>
      </w:r>
      <w:r w:rsidR="00A11205" w:rsidRPr="00A11205">
        <w:rPr>
          <w:sz w:val="24"/>
          <w:szCs w:val="24"/>
        </w:rPr>
        <w:t>en vue d’identifier les facteurs de blocage et d’y apporter les éléments de réponses appropriés ;</w:t>
      </w:r>
    </w:p>
    <w:p w14:paraId="35EB6C8B" w14:textId="77777777" w:rsidR="00A11205" w:rsidRPr="00A11205" w:rsidRDefault="00387DF1">
      <w:pPr>
        <w:rPr>
          <w:sz w:val="24"/>
          <w:szCs w:val="24"/>
        </w:rPr>
      </w:pPr>
      <w:r>
        <w:rPr>
          <w:b/>
          <w:sz w:val="24"/>
          <w:szCs w:val="24"/>
          <w:u w:val="single"/>
        </w:rPr>
        <w:t>Les a</w:t>
      </w:r>
      <w:r w:rsidR="00A11205" w:rsidRPr="00A11205">
        <w:rPr>
          <w:b/>
          <w:sz w:val="24"/>
          <w:szCs w:val="24"/>
          <w:u w:val="single"/>
        </w:rPr>
        <w:t>vantage</w:t>
      </w:r>
      <w:r>
        <w:rPr>
          <w:b/>
          <w:sz w:val="24"/>
          <w:szCs w:val="24"/>
          <w:u w:val="single"/>
        </w:rPr>
        <w:t>s sont les suivants</w:t>
      </w:r>
      <w:r w:rsidR="00A11205" w:rsidRPr="00A11205">
        <w:rPr>
          <w:sz w:val="24"/>
          <w:szCs w:val="24"/>
        </w:rPr>
        <w:t> :</w:t>
      </w:r>
    </w:p>
    <w:p w14:paraId="23AFF13B" w14:textId="31A4DFC7" w:rsidR="00A11205" w:rsidRPr="00A11205" w:rsidRDefault="00387DF1" w:rsidP="00A11205">
      <w:pPr>
        <w:pStyle w:val="Paragraphedeliste"/>
        <w:numPr>
          <w:ilvl w:val="0"/>
          <w:numId w:val="1"/>
        </w:numPr>
        <w:rPr>
          <w:sz w:val="24"/>
          <w:szCs w:val="24"/>
        </w:rPr>
      </w:pPr>
      <w:r>
        <w:rPr>
          <w:sz w:val="24"/>
          <w:szCs w:val="24"/>
        </w:rPr>
        <w:t xml:space="preserve">une meilleure </w:t>
      </w:r>
      <w:r w:rsidR="00A11205" w:rsidRPr="00A11205">
        <w:rPr>
          <w:sz w:val="24"/>
          <w:szCs w:val="24"/>
        </w:rPr>
        <w:t>Imputabilité et redevabilité des acteurs impliqués dans la mise en œuvre du PAAB 2021-</w:t>
      </w:r>
      <w:r w:rsidR="003D2A4F" w:rsidRPr="00A11205">
        <w:rPr>
          <w:sz w:val="24"/>
          <w:szCs w:val="24"/>
        </w:rPr>
        <w:t>2022 ;</w:t>
      </w:r>
    </w:p>
    <w:p w14:paraId="2FC62B04" w14:textId="1F64FC89" w:rsidR="00A11205" w:rsidRDefault="00387DF1" w:rsidP="00A11205">
      <w:pPr>
        <w:pStyle w:val="Paragraphedeliste"/>
        <w:numPr>
          <w:ilvl w:val="0"/>
          <w:numId w:val="1"/>
        </w:numPr>
        <w:rPr>
          <w:sz w:val="24"/>
          <w:szCs w:val="24"/>
        </w:rPr>
      </w:pPr>
      <w:r>
        <w:rPr>
          <w:sz w:val="24"/>
          <w:szCs w:val="24"/>
        </w:rPr>
        <w:lastRenderedPageBreak/>
        <w:t>une grande f</w:t>
      </w:r>
      <w:r w:rsidR="00A11205">
        <w:rPr>
          <w:sz w:val="24"/>
          <w:szCs w:val="24"/>
        </w:rPr>
        <w:t>luid</w:t>
      </w:r>
      <w:r w:rsidR="00A11205" w:rsidRPr="00A11205">
        <w:rPr>
          <w:sz w:val="24"/>
          <w:szCs w:val="24"/>
        </w:rPr>
        <w:t>ité de l’information et</w:t>
      </w:r>
      <w:r w:rsidR="001E58E7">
        <w:rPr>
          <w:sz w:val="24"/>
          <w:szCs w:val="24"/>
        </w:rPr>
        <w:t xml:space="preserve"> une</w:t>
      </w:r>
      <w:r w:rsidR="00A11205" w:rsidRPr="00A11205">
        <w:rPr>
          <w:sz w:val="24"/>
          <w:szCs w:val="24"/>
        </w:rPr>
        <w:t xml:space="preserve"> synergie entre les différents acteurs impliqués dans la mise en œuvre du PAAB 2021-2022 ;</w:t>
      </w:r>
    </w:p>
    <w:p w14:paraId="0038C8E6" w14:textId="1D2BAB59" w:rsidR="001E58E7" w:rsidRPr="00A11205" w:rsidRDefault="001E58E7" w:rsidP="00A11205">
      <w:pPr>
        <w:pStyle w:val="Paragraphedeliste"/>
        <w:numPr>
          <w:ilvl w:val="0"/>
          <w:numId w:val="1"/>
        </w:numPr>
        <w:rPr>
          <w:sz w:val="24"/>
          <w:szCs w:val="24"/>
        </w:rPr>
      </w:pPr>
      <w:r>
        <w:rPr>
          <w:sz w:val="24"/>
          <w:szCs w:val="24"/>
        </w:rPr>
        <w:t>une meilleure coordination sous-sectorielle ;</w:t>
      </w:r>
    </w:p>
    <w:p w14:paraId="606D1656" w14:textId="77777777" w:rsidR="00A11205" w:rsidRPr="00A11205" w:rsidRDefault="00387DF1" w:rsidP="00A11205">
      <w:pPr>
        <w:pStyle w:val="Paragraphedeliste"/>
        <w:numPr>
          <w:ilvl w:val="0"/>
          <w:numId w:val="1"/>
        </w:numPr>
        <w:rPr>
          <w:sz w:val="24"/>
          <w:szCs w:val="24"/>
        </w:rPr>
      </w:pPr>
      <w:r>
        <w:rPr>
          <w:sz w:val="24"/>
          <w:szCs w:val="24"/>
        </w:rPr>
        <w:t>une meilleure connaissance</w:t>
      </w:r>
      <w:r w:rsidR="00A11205" w:rsidRPr="00A11205">
        <w:rPr>
          <w:sz w:val="24"/>
          <w:szCs w:val="24"/>
        </w:rPr>
        <w:t xml:space="preserve"> du cycle de vie de chaque activité avec les interactions entre les différents acteurs pour sa mise en œuvre ;</w:t>
      </w:r>
    </w:p>
    <w:p w14:paraId="53FED1EF" w14:textId="77777777" w:rsidR="00A11205" w:rsidRPr="00A11205" w:rsidRDefault="00387DF1" w:rsidP="00A11205">
      <w:pPr>
        <w:pStyle w:val="Paragraphedeliste"/>
        <w:numPr>
          <w:ilvl w:val="0"/>
          <w:numId w:val="1"/>
        </w:numPr>
        <w:rPr>
          <w:sz w:val="24"/>
          <w:szCs w:val="24"/>
        </w:rPr>
      </w:pPr>
      <w:r>
        <w:rPr>
          <w:sz w:val="24"/>
          <w:szCs w:val="24"/>
        </w:rPr>
        <w:t>une a</w:t>
      </w:r>
      <w:r w:rsidR="00A11205" w:rsidRPr="00A11205">
        <w:rPr>
          <w:sz w:val="24"/>
          <w:szCs w:val="24"/>
        </w:rPr>
        <w:t>mélioration des taux de décaissement ;</w:t>
      </w:r>
    </w:p>
    <w:p w14:paraId="71C89EDB" w14:textId="77777777" w:rsidR="00A11205" w:rsidRDefault="00387DF1" w:rsidP="00A11205">
      <w:pPr>
        <w:pStyle w:val="Paragraphedeliste"/>
        <w:numPr>
          <w:ilvl w:val="0"/>
          <w:numId w:val="1"/>
        </w:numPr>
        <w:rPr>
          <w:sz w:val="24"/>
          <w:szCs w:val="24"/>
        </w:rPr>
      </w:pPr>
      <w:r>
        <w:rPr>
          <w:sz w:val="24"/>
          <w:szCs w:val="24"/>
        </w:rPr>
        <w:t>un meilleur a</w:t>
      </w:r>
      <w:r w:rsidR="00A11205" w:rsidRPr="00A11205">
        <w:rPr>
          <w:sz w:val="24"/>
          <w:szCs w:val="24"/>
        </w:rPr>
        <w:t>ffinement des prochains cycles de planification au regard des leçons tirées de la mise en œuvre</w:t>
      </w:r>
      <w:r w:rsidR="00A11205">
        <w:rPr>
          <w:sz w:val="24"/>
          <w:szCs w:val="24"/>
        </w:rPr>
        <w:t> ;</w:t>
      </w:r>
    </w:p>
    <w:p w14:paraId="38831A04" w14:textId="336BFE82" w:rsidR="00A11205" w:rsidRDefault="00387DF1" w:rsidP="00A11205">
      <w:pPr>
        <w:pStyle w:val="Paragraphedeliste"/>
        <w:numPr>
          <w:ilvl w:val="0"/>
          <w:numId w:val="1"/>
        </w:numPr>
        <w:rPr>
          <w:sz w:val="24"/>
          <w:szCs w:val="24"/>
        </w:rPr>
      </w:pPr>
      <w:r>
        <w:rPr>
          <w:sz w:val="24"/>
          <w:szCs w:val="24"/>
        </w:rPr>
        <w:t>une plus grande f</w:t>
      </w:r>
      <w:r w:rsidR="00A11205">
        <w:rPr>
          <w:sz w:val="24"/>
          <w:szCs w:val="24"/>
        </w:rPr>
        <w:t xml:space="preserve">acilité et fiabilité dans le </w:t>
      </w:r>
      <w:r w:rsidR="00CF2EC4">
        <w:rPr>
          <w:sz w:val="24"/>
          <w:szCs w:val="24"/>
        </w:rPr>
        <w:t xml:space="preserve">rapportage sur  la mise en œuvre </w:t>
      </w:r>
      <w:r w:rsidR="00A11205">
        <w:rPr>
          <w:sz w:val="24"/>
          <w:szCs w:val="24"/>
        </w:rPr>
        <w:t>de</w:t>
      </w:r>
      <w:r w:rsidR="001E58E7">
        <w:rPr>
          <w:sz w:val="24"/>
          <w:szCs w:val="24"/>
        </w:rPr>
        <w:t xml:space="preserve"> toutes les activités planifiées</w:t>
      </w:r>
      <w:r w:rsidR="00A11205">
        <w:rPr>
          <w:sz w:val="24"/>
          <w:szCs w:val="24"/>
        </w:rPr>
        <w:t>.</w:t>
      </w:r>
    </w:p>
    <w:p w14:paraId="1889D902" w14:textId="739F600C" w:rsidR="005D7492" w:rsidRDefault="00387DF1" w:rsidP="00A11205">
      <w:pPr>
        <w:rPr>
          <w:sz w:val="24"/>
          <w:szCs w:val="24"/>
        </w:rPr>
      </w:pPr>
      <w:r w:rsidRPr="00387DF1">
        <w:rPr>
          <w:sz w:val="24"/>
          <w:szCs w:val="24"/>
        </w:rPr>
        <w:t>L’outil utilisé pour faciliter cette démarche est</w:t>
      </w:r>
      <w:r>
        <w:rPr>
          <w:b/>
          <w:sz w:val="24"/>
          <w:szCs w:val="24"/>
          <w:u w:val="single"/>
        </w:rPr>
        <w:t xml:space="preserve"> le Plan de </w:t>
      </w:r>
      <w:r w:rsidR="007B13E9" w:rsidRPr="00F95A45">
        <w:rPr>
          <w:b/>
          <w:sz w:val="24"/>
          <w:szCs w:val="24"/>
          <w:u w:val="single"/>
        </w:rPr>
        <w:t>suivi des</w:t>
      </w:r>
      <w:r w:rsidR="007B13E9">
        <w:rPr>
          <w:b/>
          <w:sz w:val="24"/>
          <w:szCs w:val="24"/>
          <w:u w:val="single"/>
        </w:rPr>
        <w:t xml:space="preserve"> activités. Ce plan est basé sur le Plan d’Action Annuel Budgétisé consolidé</w:t>
      </w:r>
      <w:r w:rsidR="000C4E95">
        <w:rPr>
          <w:b/>
          <w:sz w:val="24"/>
          <w:szCs w:val="24"/>
          <w:u w:val="single"/>
        </w:rPr>
        <w:t xml:space="preserve"> 2021-2022, incluant les activités sur toutes les sources de financement,</w:t>
      </w:r>
      <w:r w:rsidR="007B13E9">
        <w:rPr>
          <w:b/>
          <w:sz w:val="24"/>
          <w:szCs w:val="24"/>
          <w:u w:val="single"/>
        </w:rPr>
        <w:t xml:space="preserve"> et sur ses déclinaisons en plans annuels de travail par toutes les structures responsables d’activités pour l’année 2022.</w:t>
      </w:r>
      <w:r>
        <w:rPr>
          <w:b/>
          <w:sz w:val="24"/>
          <w:szCs w:val="24"/>
          <w:u w:val="single"/>
        </w:rPr>
        <w:t xml:space="preserve">  </w:t>
      </w:r>
      <w:r>
        <w:rPr>
          <w:sz w:val="24"/>
          <w:szCs w:val="24"/>
        </w:rPr>
        <w:t xml:space="preserve">Le Plan de </w:t>
      </w:r>
      <w:r w:rsidR="007B13E9">
        <w:rPr>
          <w:sz w:val="24"/>
          <w:szCs w:val="24"/>
        </w:rPr>
        <w:t xml:space="preserve">suivi des activités </w:t>
      </w:r>
      <w:r>
        <w:rPr>
          <w:sz w:val="24"/>
          <w:szCs w:val="24"/>
        </w:rPr>
        <w:t>est une déclinaison opérationnelle de chaque activité du PAAB 2021-2022</w:t>
      </w:r>
      <w:r w:rsidR="00772105">
        <w:rPr>
          <w:sz w:val="24"/>
          <w:szCs w:val="24"/>
        </w:rPr>
        <w:t xml:space="preserve"> </w:t>
      </w:r>
      <w:r>
        <w:rPr>
          <w:sz w:val="24"/>
          <w:szCs w:val="24"/>
        </w:rPr>
        <w:t xml:space="preserve">en tâches. </w:t>
      </w:r>
    </w:p>
    <w:p w14:paraId="129BF338" w14:textId="77777777" w:rsidR="00F95A45" w:rsidRDefault="00F95A45" w:rsidP="00F95A45">
      <w:pPr>
        <w:jc w:val="both"/>
        <w:rPr>
          <w:sz w:val="24"/>
          <w:szCs w:val="24"/>
        </w:rPr>
      </w:pPr>
      <w:r w:rsidRPr="003B2BB2">
        <w:rPr>
          <w:rFonts w:cstheme="minorHAnsi"/>
          <w:b/>
          <w:bCs/>
          <w:sz w:val="24"/>
          <w:szCs w:val="24"/>
        </w:rPr>
        <w:t>Le format d</w:t>
      </w:r>
      <w:r>
        <w:rPr>
          <w:rFonts w:cstheme="minorHAnsi"/>
          <w:b/>
          <w:bCs/>
          <w:sz w:val="24"/>
          <w:szCs w:val="24"/>
        </w:rPr>
        <w:t>es</w:t>
      </w:r>
      <w:r w:rsidRPr="003B2BB2">
        <w:rPr>
          <w:rFonts w:cstheme="minorHAnsi"/>
          <w:b/>
          <w:bCs/>
          <w:sz w:val="24"/>
          <w:szCs w:val="24"/>
        </w:rPr>
        <w:t xml:space="preserve"> PAAB</w:t>
      </w:r>
      <w:r>
        <w:rPr>
          <w:rFonts w:cstheme="minorHAnsi"/>
          <w:b/>
          <w:bCs/>
          <w:sz w:val="24"/>
          <w:szCs w:val="24"/>
        </w:rPr>
        <w:t>s</w:t>
      </w:r>
      <w:r w:rsidRPr="003B2BB2">
        <w:rPr>
          <w:rFonts w:cstheme="minorHAnsi"/>
          <w:b/>
          <w:bCs/>
          <w:sz w:val="24"/>
          <w:szCs w:val="24"/>
        </w:rPr>
        <w:t xml:space="preserve"> comporte 20 colonnes pour sa phase planification</w:t>
      </w:r>
      <w:r>
        <w:rPr>
          <w:rFonts w:cstheme="minorHAnsi"/>
          <w:b/>
          <w:bCs/>
          <w:sz w:val="24"/>
          <w:szCs w:val="24"/>
        </w:rPr>
        <w:t xml:space="preserve">. </w:t>
      </w:r>
      <w:r>
        <w:rPr>
          <w:rFonts w:cstheme="minorHAnsi"/>
          <w:sz w:val="24"/>
          <w:szCs w:val="24"/>
        </w:rPr>
        <w:t>Ainsi, p</w:t>
      </w:r>
      <w:r w:rsidRPr="003B2BB2">
        <w:rPr>
          <w:rFonts w:cstheme="minorHAnsi"/>
          <w:b/>
          <w:bCs/>
          <w:sz w:val="24"/>
          <w:szCs w:val="24"/>
        </w:rPr>
        <w:t xml:space="preserve">our </w:t>
      </w:r>
      <w:r>
        <w:rPr>
          <w:rFonts w:cstheme="minorHAnsi"/>
          <w:b/>
          <w:bCs/>
          <w:sz w:val="24"/>
          <w:szCs w:val="24"/>
        </w:rPr>
        <w:t>l</w:t>
      </w:r>
      <w:r w:rsidRPr="003B2BB2">
        <w:rPr>
          <w:rFonts w:cstheme="minorHAnsi"/>
          <w:b/>
          <w:bCs/>
          <w:sz w:val="24"/>
          <w:szCs w:val="24"/>
        </w:rPr>
        <w:t xml:space="preserve">a phase </w:t>
      </w:r>
      <w:r>
        <w:rPr>
          <w:rFonts w:cstheme="minorHAnsi"/>
          <w:b/>
          <w:bCs/>
          <w:sz w:val="24"/>
          <w:szCs w:val="24"/>
        </w:rPr>
        <w:t>suivi-évaluation</w:t>
      </w:r>
      <w:r w:rsidRPr="003B2BB2">
        <w:rPr>
          <w:rFonts w:cstheme="minorHAnsi"/>
          <w:b/>
          <w:bCs/>
          <w:sz w:val="24"/>
          <w:szCs w:val="24"/>
        </w:rPr>
        <w:t xml:space="preserve">, le format ajoute </w:t>
      </w:r>
      <w:r>
        <w:rPr>
          <w:rFonts w:cstheme="minorHAnsi"/>
          <w:b/>
          <w:bCs/>
          <w:sz w:val="24"/>
          <w:szCs w:val="24"/>
        </w:rPr>
        <w:t xml:space="preserve">8 </w:t>
      </w:r>
      <w:r w:rsidRPr="003B2BB2">
        <w:rPr>
          <w:rFonts w:cstheme="minorHAnsi"/>
          <w:b/>
          <w:bCs/>
          <w:sz w:val="24"/>
          <w:szCs w:val="24"/>
        </w:rPr>
        <w:t>(</w:t>
      </w:r>
      <w:r>
        <w:rPr>
          <w:rFonts w:cstheme="minorHAnsi"/>
          <w:b/>
          <w:bCs/>
          <w:sz w:val="24"/>
          <w:szCs w:val="24"/>
        </w:rPr>
        <w:t>colonnes) colonnes devant permettre de suivre</w:t>
      </w:r>
      <w:r w:rsidRPr="003B2BB2">
        <w:rPr>
          <w:rFonts w:cstheme="minorHAnsi"/>
          <w:b/>
          <w:bCs/>
          <w:sz w:val="24"/>
          <w:szCs w:val="24"/>
        </w:rPr>
        <w:t xml:space="preserve"> les </w:t>
      </w:r>
      <w:r>
        <w:rPr>
          <w:rFonts w:cstheme="minorHAnsi"/>
          <w:b/>
          <w:bCs/>
          <w:sz w:val="24"/>
          <w:szCs w:val="24"/>
        </w:rPr>
        <w:t>progrès :</w:t>
      </w:r>
    </w:p>
    <w:p w14:paraId="03CE6544" w14:textId="77777777" w:rsidR="00F95A45" w:rsidRDefault="00F95A45" w:rsidP="00F95A45">
      <w:pPr>
        <w:pStyle w:val="Paragraphedeliste"/>
        <w:numPr>
          <w:ilvl w:val="0"/>
          <w:numId w:val="3"/>
        </w:numPr>
        <w:rPr>
          <w:sz w:val="24"/>
          <w:szCs w:val="24"/>
        </w:rPr>
      </w:pPr>
      <w:r>
        <w:rPr>
          <w:sz w:val="24"/>
          <w:szCs w:val="24"/>
        </w:rPr>
        <w:t>l’intitulé de la tâche à réaliser ;</w:t>
      </w:r>
    </w:p>
    <w:p w14:paraId="200FA4D7" w14:textId="77777777" w:rsidR="00F95A45" w:rsidRDefault="00F95A45" w:rsidP="00F95A45">
      <w:pPr>
        <w:pStyle w:val="Paragraphedeliste"/>
        <w:numPr>
          <w:ilvl w:val="0"/>
          <w:numId w:val="3"/>
        </w:numPr>
        <w:rPr>
          <w:sz w:val="24"/>
          <w:szCs w:val="24"/>
        </w:rPr>
      </w:pPr>
      <w:r>
        <w:rPr>
          <w:sz w:val="24"/>
          <w:szCs w:val="24"/>
        </w:rPr>
        <w:t>la structure responsable de tâche ;</w:t>
      </w:r>
    </w:p>
    <w:p w14:paraId="13339C5B" w14:textId="77777777" w:rsidR="00F95A45" w:rsidRDefault="00F95A45" w:rsidP="00F95A45">
      <w:pPr>
        <w:pStyle w:val="Paragraphedeliste"/>
        <w:numPr>
          <w:ilvl w:val="0"/>
          <w:numId w:val="3"/>
        </w:numPr>
        <w:rPr>
          <w:sz w:val="24"/>
          <w:szCs w:val="24"/>
        </w:rPr>
      </w:pPr>
      <w:r>
        <w:rPr>
          <w:rFonts w:cstheme="minorHAnsi"/>
          <w:sz w:val="24"/>
          <w:szCs w:val="24"/>
        </w:rPr>
        <w:t>la personne responsable de la tâche au sein de la structure responsable de la tâche</w:t>
      </w:r>
    </w:p>
    <w:p w14:paraId="3E021724" w14:textId="77777777" w:rsidR="00F95A45" w:rsidRDefault="00F95A45" w:rsidP="00F95A45">
      <w:pPr>
        <w:pStyle w:val="Paragraphedeliste"/>
        <w:numPr>
          <w:ilvl w:val="0"/>
          <w:numId w:val="3"/>
        </w:numPr>
        <w:rPr>
          <w:sz w:val="24"/>
          <w:szCs w:val="24"/>
        </w:rPr>
      </w:pPr>
      <w:r>
        <w:rPr>
          <w:sz w:val="24"/>
          <w:szCs w:val="24"/>
        </w:rPr>
        <w:t>la durée de la tâche ;</w:t>
      </w:r>
    </w:p>
    <w:p w14:paraId="713E8FE0" w14:textId="77777777" w:rsidR="00F95A45" w:rsidRDefault="00F95A45" w:rsidP="00F95A45">
      <w:pPr>
        <w:pStyle w:val="Paragraphedeliste"/>
        <w:numPr>
          <w:ilvl w:val="0"/>
          <w:numId w:val="3"/>
        </w:numPr>
        <w:rPr>
          <w:sz w:val="24"/>
          <w:szCs w:val="24"/>
        </w:rPr>
      </w:pPr>
      <w:r>
        <w:rPr>
          <w:sz w:val="24"/>
          <w:szCs w:val="24"/>
        </w:rPr>
        <w:t>l’échéance de la tâche (date de début et date de fin) ;</w:t>
      </w:r>
    </w:p>
    <w:p w14:paraId="08226F60" w14:textId="77777777" w:rsidR="00F95A45" w:rsidRDefault="00F95A45" w:rsidP="00F95A45">
      <w:pPr>
        <w:pStyle w:val="Paragraphedeliste"/>
        <w:numPr>
          <w:ilvl w:val="0"/>
          <w:numId w:val="3"/>
        </w:numPr>
        <w:rPr>
          <w:sz w:val="24"/>
          <w:szCs w:val="24"/>
        </w:rPr>
      </w:pPr>
      <w:r>
        <w:rPr>
          <w:sz w:val="24"/>
          <w:szCs w:val="24"/>
        </w:rPr>
        <w:t>le niveau d’exécution de la tâche (réalisée, en cours, non réalisée)</w:t>
      </w:r>
    </w:p>
    <w:p w14:paraId="2C17780A" w14:textId="77777777" w:rsidR="00F95A45" w:rsidRDefault="00F95A45" w:rsidP="00F95A45">
      <w:pPr>
        <w:pStyle w:val="Paragraphedeliste"/>
        <w:numPr>
          <w:ilvl w:val="0"/>
          <w:numId w:val="3"/>
        </w:numPr>
        <w:rPr>
          <w:sz w:val="24"/>
          <w:szCs w:val="24"/>
        </w:rPr>
      </w:pPr>
      <w:r>
        <w:rPr>
          <w:rFonts w:cstheme="minorHAnsi"/>
          <w:sz w:val="24"/>
          <w:szCs w:val="24"/>
        </w:rPr>
        <w:t>les problèmes rencontrés</w:t>
      </w:r>
      <w:r>
        <w:rPr>
          <w:sz w:val="24"/>
          <w:szCs w:val="24"/>
        </w:rPr>
        <w:t> ;</w:t>
      </w:r>
    </w:p>
    <w:p w14:paraId="1B64DA06" w14:textId="77777777" w:rsidR="00F95A45" w:rsidRDefault="00F95A45" w:rsidP="00F95A45">
      <w:pPr>
        <w:pStyle w:val="Paragraphedeliste"/>
        <w:numPr>
          <w:ilvl w:val="0"/>
          <w:numId w:val="3"/>
        </w:numPr>
        <w:rPr>
          <w:sz w:val="24"/>
          <w:szCs w:val="24"/>
        </w:rPr>
      </w:pPr>
      <w:r>
        <w:rPr>
          <w:rFonts w:cstheme="minorHAnsi"/>
          <w:sz w:val="24"/>
          <w:szCs w:val="24"/>
        </w:rPr>
        <w:t>les s</w:t>
      </w:r>
      <w:r w:rsidRPr="00974D7B">
        <w:rPr>
          <w:rFonts w:cstheme="minorHAnsi"/>
          <w:sz w:val="24"/>
          <w:szCs w:val="24"/>
        </w:rPr>
        <w:t>olutions trouvées et/ou envisagées</w:t>
      </w:r>
      <w:r>
        <w:rPr>
          <w:rFonts w:cstheme="minorHAnsi"/>
          <w:sz w:val="24"/>
          <w:szCs w:val="24"/>
        </w:rPr>
        <w:t>.</w:t>
      </w:r>
    </w:p>
    <w:p w14:paraId="070CC91D" w14:textId="77777777" w:rsidR="00F95A45" w:rsidRPr="00F4789A" w:rsidRDefault="00F95A45" w:rsidP="00F95A45">
      <w:pPr>
        <w:ind w:left="360"/>
        <w:jc w:val="both"/>
        <w:rPr>
          <w:rFonts w:cstheme="minorHAnsi"/>
          <w:b/>
          <w:bCs/>
          <w:sz w:val="24"/>
          <w:szCs w:val="24"/>
        </w:rPr>
      </w:pPr>
      <w:r w:rsidRPr="00F4789A">
        <w:rPr>
          <w:rFonts w:cstheme="minorHAnsi"/>
          <w:b/>
          <w:bCs/>
          <w:sz w:val="24"/>
          <w:szCs w:val="24"/>
        </w:rPr>
        <w:t xml:space="preserve">Glossaire du Plan de </w:t>
      </w:r>
      <w:r>
        <w:rPr>
          <w:rFonts w:cstheme="minorHAnsi"/>
          <w:b/>
          <w:bCs/>
          <w:sz w:val="24"/>
          <w:szCs w:val="24"/>
        </w:rPr>
        <w:t>de suivi des activités</w:t>
      </w:r>
    </w:p>
    <w:tbl>
      <w:tblPr>
        <w:tblStyle w:val="Grilledutableau"/>
        <w:tblW w:w="10031" w:type="dxa"/>
        <w:shd w:val="clear" w:color="auto" w:fill="F2F2F2" w:themeFill="background1" w:themeFillShade="F2"/>
        <w:tblLook w:val="04A0" w:firstRow="1" w:lastRow="0" w:firstColumn="1" w:lastColumn="0" w:noHBand="0" w:noVBand="1"/>
      </w:tblPr>
      <w:tblGrid>
        <w:gridCol w:w="1253"/>
        <w:gridCol w:w="2687"/>
        <w:gridCol w:w="3363"/>
        <w:gridCol w:w="2728"/>
      </w:tblGrid>
      <w:tr w:rsidR="00F95A45" w:rsidRPr="00223777" w14:paraId="405EFCB8" w14:textId="77777777" w:rsidTr="00D447BD">
        <w:trPr>
          <w:tblHeader/>
        </w:trPr>
        <w:tc>
          <w:tcPr>
            <w:tcW w:w="1253" w:type="dxa"/>
            <w:shd w:val="clear" w:color="auto" w:fill="F2F2F2" w:themeFill="background1" w:themeFillShade="F2"/>
          </w:tcPr>
          <w:p w14:paraId="108C021A" w14:textId="77777777" w:rsidR="00F95A45" w:rsidRPr="00223777" w:rsidRDefault="00F95A45" w:rsidP="00D447BD">
            <w:pPr>
              <w:jc w:val="both"/>
              <w:rPr>
                <w:rFonts w:cstheme="minorHAnsi"/>
                <w:b/>
                <w:bCs/>
                <w:sz w:val="24"/>
                <w:szCs w:val="24"/>
                <w:lang w:val="fr-FR"/>
              </w:rPr>
            </w:pPr>
            <w:r>
              <w:rPr>
                <w:rFonts w:cstheme="minorHAnsi"/>
                <w:b/>
                <w:bCs/>
                <w:sz w:val="24"/>
                <w:szCs w:val="24"/>
                <w:lang w:val="fr-FR"/>
              </w:rPr>
              <w:t>Référence de la colonne</w:t>
            </w:r>
          </w:p>
        </w:tc>
        <w:tc>
          <w:tcPr>
            <w:tcW w:w="2687" w:type="dxa"/>
            <w:shd w:val="clear" w:color="auto" w:fill="F2F2F2" w:themeFill="background1" w:themeFillShade="F2"/>
          </w:tcPr>
          <w:p w14:paraId="66396B7F" w14:textId="77777777" w:rsidR="00F95A45" w:rsidRPr="00223777" w:rsidRDefault="00F95A45" w:rsidP="00D447BD">
            <w:pPr>
              <w:jc w:val="both"/>
              <w:rPr>
                <w:rFonts w:cstheme="minorHAnsi"/>
                <w:b/>
                <w:bCs/>
                <w:sz w:val="24"/>
                <w:szCs w:val="24"/>
                <w:lang w:val="fr-FR"/>
              </w:rPr>
            </w:pPr>
            <w:r w:rsidRPr="00223777">
              <w:rPr>
                <w:rFonts w:cstheme="minorHAnsi"/>
                <w:b/>
                <w:bCs/>
                <w:sz w:val="24"/>
                <w:szCs w:val="24"/>
                <w:lang w:val="fr-FR"/>
              </w:rPr>
              <w:t>Titre de la colonne</w:t>
            </w:r>
          </w:p>
        </w:tc>
        <w:tc>
          <w:tcPr>
            <w:tcW w:w="3363" w:type="dxa"/>
            <w:shd w:val="clear" w:color="auto" w:fill="F2F2F2" w:themeFill="background1" w:themeFillShade="F2"/>
          </w:tcPr>
          <w:p w14:paraId="43DDCEFD" w14:textId="77777777" w:rsidR="00F95A45" w:rsidRPr="00223777" w:rsidRDefault="00F95A45" w:rsidP="00D447BD">
            <w:pPr>
              <w:jc w:val="both"/>
              <w:rPr>
                <w:rFonts w:cstheme="minorHAnsi"/>
                <w:b/>
                <w:bCs/>
                <w:sz w:val="24"/>
                <w:szCs w:val="24"/>
                <w:lang w:val="fr-FR"/>
              </w:rPr>
            </w:pPr>
            <w:r w:rsidRPr="00223777">
              <w:rPr>
                <w:rFonts w:cstheme="minorHAnsi"/>
                <w:b/>
                <w:bCs/>
                <w:sz w:val="24"/>
                <w:szCs w:val="24"/>
                <w:lang w:val="fr-FR"/>
              </w:rPr>
              <w:t>Description</w:t>
            </w:r>
          </w:p>
        </w:tc>
        <w:tc>
          <w:tcPr>
            <w:tcW w:w="2728" w:type="dxa"/>
            <w:shd w:val="clear" w:color="auto" w:fill="F2F2F2" w:themeFill="background1" w:themeFillShade="F2"/>
          </w:tcPr>
          <w:p w14:paraId="2F5A904F" w14:textId="77777777" w:rsidR="00F95A45" w:rsidRPr="00223777" w:rsidRDefault="00F95A45" w:rsidP="00D447BD">
            <w:pPr>
              <w:jc w:val="both"/>
              <w:rPr>
                <w:rFonts w:cstheme="minorHAnsi"/>
                <w:b/>
                <w:bCs/>
                <w:sz w:val="24"/>
                <w:szCs w:val="24"/>
                <w:lang w:val="fr-FR"/>
              </w:rPr>
            </w:pPr>
            <w:r w:rsidRPr="00223777">
              <w:rPr>
                <w:rFonts w:cstheme="minorHAnsi"/>
                <w:b/>
                <w:bCs/>
                <w:sz w:val="24"/>
                <w:szCs w:val="24"/>
                <w:lang w:val="fr-FR"/>
              </w:rPr>
              <w:t>Responsable</w:t>
            </w:r>
            <w:r>
              <w:rPr>
                <w:rFonts w:cstheme="minorHAnsi"/>
                <w:b/>
                <w:bCs/>
                <w:sz w:val="24"/>
                <w:szCs w:val="24"/>
                <w:lang w:val="fr-FR"/>
              </w:rPr>
              <w:t xml:space="preserve"> du remplissage des colonnes</w:t>
            </w:r>
          </w:p>
        </w:tc>
      </w:tr>
      <w:tr w:rsidR="00F95A45" w:rsidRPr="00223777" w14:paraId="35217889" w14:textId="77777777" w:rsidTr="00D447BD">
        <w:tc>
          <w:tcPr>
            <w:tcW w:w="1253" w:type="dxa"/>
            <w:shd w:val="clear" w:color="auto" w:fill="F2F2F2" w:themeFill="background1" w:themeFillShade="F2"/>
          </w:tcPr>
          <w:p w14:paraId="1711E667" w14:textId="77777777" w:rsidR="00F95A45" w:rsidRPr="00223777" w:rsidRDefault="00F95A45" w:rsidP="00D447BD">
            <w:pPr>
              <w:jc w:val="both"/>
              <w:rPr>
                <w:rFonts w:cstheme="minorHAnsi"/>
                <w:sz w:val="24"/>
                <w:szCs w:val="24"/>
                <w:lang w:val="fr-FR"/>
              </w:rPr>
            </w:pPr>
            <w:r>
              <w:rPr>
                <w:rFonts w:cstheme="minorHAnsi"/>
                <w:sz w:val="24"/>
                <w:szCs w:val="24"/>
                <w:lang w:val="fr-FR"/>
              </w:rPr>
              <w:t>AD</w:t>
            </w:r>
          </w:p>
        </w:tc>
        <w:tc>
          <w:tcPr>
            <w:tcW w:w="2687" w:type="dxa"/>
            <w:shd w:val="clear" w:color="auto" w:fill="F2F2F2" w:themeFill="background1" w:themeFillShade="F2"/>
          </w:tcPr>
          <w:p w14:paraId="24C0C2CE" w14:textId="77777777" w:rsidR="00F95A45" w:rsidRPr="00223777" w:rsidRDefault="00F95A45" w:rsidP="00D447BD">
            <w:pPr>
              <w:jc w:val="both"/>
              <w:rPr>
                <w:rFonts w:cstheme="minorHAnsi"/>
                <w:sz w:val="24"/>
                <w:szCs w:val="24"/>
                <w:lang w:val="fr-FR"/>
              </w:rPr>
            </w:pPr>
            <w:r w:rsidRPr="00BE056A">
              <w:rPr>
                <w:rFonts w:cstheme="minorHAnsi"/>
                <w:sz w:val="24"/>
                <w:szCs w:val="24"/>
                <w:lang w:val="fr-FR"/>
              </w:rPr>
              <w:t>Intitulé des tâches à réaliser</w:t>
            </w:r>
          </w:p>
        </w:tc>
        <w:tc>
          <w:tcPr>
            <w:tcW w:w="3363" w:type="dxa"/>
            <w:shd w:val="clear" w:color="auto" w:fill="F2F2F2" w:themeFill="background1" w:themeFillShade="F2"/>
          </w:tcPr>
          <w:p w14:paraId="11FE13F5" w14:textId="77777777" w:rsidR="00F95A45" w:rsidRPr="00223777" w:rsidRDefault="00F95A45" w:rsidP="00D447BD">
            <w:pPr>
              <w:jc w:val="both"/>
              <w:rPr>
                <w:rFonts w:cstheme="minorHAnsi"/>
                <w:sz w:val="24"/>
                <w:szCs w:val="24"/>
                <w:lang w:val="fr-FR"/>
              </w:rPr>
            </w:pPr>
            <w:r w:rsidRPr="00223777">
              <w:rPr>
                <w:rFonts w:cstheme="minorHAnsi"/>
                <w:sz w:val="24"/>
                <w:szCs w:val="24"/>
                <w:lang w:val="fr-FR"/>
              </w:rPr>
              <w:t xml:space="preserve">Il s’agit </w:t>
            </w:r>
            <w:r>
              <w:rPr>
                <w:rFonts w:cstheme="minorHAnsi"/>
                <w:sz w:val="24"/>
                <w:szCs w:val="24"/>
                <w:lang w:val="fr-FR"/>
              </w:rPr>
              <w:t xml:space="preserve">à partir du manuel de procédures du BAS/FCE d’indiquer de façon chronologique (séquentielle) l’ensemble des tâches qui concourent à la réalisation de </w:t>
            </w:r>
            <w:r w:rsidRPr="00223777">
              <w:rPr>
                <w:rFonts w:cstheme="minorHAnsi"/>
                <w:sz w:val="24"/>
                <w:szCs w:val="24"/>
                <w:lang w:val="fr-FR"/>
              </w:rPr>
              <w:t xml:space="preserve">l’activité, </w:t>
            </w:r>
          </w:p>
        </w:tc>
        <w:tc>
          <w:tcPr>
            <w:tcW w:w="2728" w:type="dxa"/>
            <w:shd w:val="clear" w:color="auto" w:fill="F2F2F2" w:themeFill="background1" w:themeFillShade="F2"/>
          </w:tcPr>
          <w:p w14:paraId="5B505D8B" w14:textId="77777777" w:rsidR="00F95A45" w:rsidRPr="00223777" w:rsidRDefault="00F95A45" w:rsidP="00D447BD">
            <w:pPr>
              <w:jc w:val="both"/>
              <w:rPr>
                <w:rFonts w:cstheme="minorHAnsi"/>
                <w:sz w:val="24"/>
                <w:szCs w:val="24"/>
                <w:lang w:val="fr-FR"/>
              </w:rPr>
            </w:pPr>
            <w:r>
              <w:rPr>
                <w:rFonts w:cstheme="minorHAnsi"/>
                <w:sz w:val="24"/>
                <w:szCs w:val="24"/>
                <w:lang w:val="fr-FR"/>
              </w:rPr>
              <w:t>BSD avec l’appui des AT du DAT</w:t>
            </w:r>
          </w:p>
        </w:tc>
      </w:tr>
      <w:tr w:rsidR="00F95A45" w:rsidRPr="00223777" w14:paraId="19D2C621" w14:textId="77777777" w:rsidTr="00D447BD">
        <w:tc>
          <w:tcPr>
            <w:tcW w:w="1253" w:type="dxa"/>
            <w:shd w:val="clear" w:color="auto" w:fill="F2F2F2" w:themeFill="background1" w:themeFillShade="F2"/>
          </w:tcPr>
          <w:p w14:paraId="6019EDD8" w14:textId="77777777" w:rsidR="00F95A45" w:rsidRPr="00223777" w:rsidRDefault="00F95A45" w:rsidP="00D447BD">
            <w:pPr>
              <w:jc w:val="both"/>
              <w:rPr>
                <w:rFonts w:cstheme="minorHAnsi"/>
                <w:sz w:val="24"/>
                <w:szCs w:val="24"/>
                <w:lang w:val="fr-FR"/>
              </w:rPr>
            </w:pPr>
            <w:r>
              <w:rPr>
                <w:rFonts w:cstheme="minorHAnsi"/>
                <w:sz w:val="24"/>
                <w:szCs w:val="24"/>
                <w:lang w:val="fr-FR"/>
              </w:rPr>
              <w:t>AE</w:t>
            </w:r>
          </w:p>
        </w:tc>
        <w:tc>
          <w:tcPr>
            <w:tcW w:w="2687" w:type="dxa"/>
            <w:shd w:val="clear" w:color="auto" w:fill="F2F2F2" w:themeFill="background1" w:themeFillShade="F2"/>
          </w:tcPr>
          <w:p w14:paraId="5DC65BA5" w14:textId="77777777" w:rsidR="00F95A45" w:rsidRPr="00223777" w:rsidRDefault="00F95A45" w:rsidP="00D447BD">
            <w:pPr>
              <w:jc w:val="both"/>
              <w:rPr>
                <w:rFonts w:cstheme="minorHAnsi"/>
                <w:sz w:val="24"/>
                <w:szCs w:val="24"/>
                <w:lang w:val="fr-FR"/>
              </w:rPr>
            </w:pPr>
            <w:r>
              <w:rPr>
                <w:rFonts w:cstheme="minorHAnsi"/>
                <w:sz w:val="24"/>
                <w:szCs w:val="24"/>
                <w:lang w:val="fr-FR"/>
              </w:rPr>
              <w:t>Structure</w:t>
            </w:r>
            <w:r w:rsidRPr="00223777">
              <w:rPr>
                <w:rFonts w:cstheme="minorHAnsi"/>
                <w:sz w:val="24"/>
                <w:szCs w:val="24"/>
                <w:lang w:val="fr-FR"/>
              </w:rPr>
              <w:t xml:space="preserve"> responsable</w:t>
            </w:r>
            <w:r>
              <w:rPr>
                <w:rFonts w:cstheme="minorHAnsi"/>
                <w:sz w:val="24"/>
                <w:szCs w:val="24"/>
                <w:lang w:val="fr-FR"/>
              </w:rPr>
              <w:t xml:space="preserve"> de la tâche</w:t>
            </w:r>
          </w:p>
        </w:tc>
        <w:tc>
          <w:tcPr>
            <w:tcW w:w="3363" w:type="dxa"/>
            <w:shd w:val="clear" w:color="auto" w:fill="F2F2F2" w:themeFill="background1" w:themeFillShade="F2"/>
          </w:tcPr>
          <w:p w14:paraId="1DB6C387" w14:textId="77777777" w:rsidR="00F95A45" w:rsidRPr="00223777" w:rsidRDefault="00F95A45" w:rsidP="00D447BD">
            <w:pPr>
              <w:jc w:val="both"/>
              <w:rPr>
                <w:rFonts w:cstheme="minorHAnsi"/>
                <w:sz w:val="24"/>
                <w:szCs w:val="24"/>
                <w:lang w:val="fr-FR"/>
              </w:rPr>
            </w:pPr>
            <w:r>
              <w:rPr>
                <w:rFonts w:cstheme="minorHAnsi"/>
                <w:sz w:val="24"/>
                <w:szCs w:val="24"/>
                <w:lang w:val="fr-FR"/>
              </w:rPr>
              <w:t>La Structure</w:t>
            </w:r>
            <w:r w:rsidRPr="00223777">
              <w:rPr>
                <w:rFonts w:cstheme="minorHAnsi"/>
                <w:sz w:val="24"/>
                <w:szCs w:val="24"/>
                <w:lang w:val="fr-FR"/>
              </w:rPr>
              <w:t xml:space="preserve"> Responsable</w:t>
            </w:r>
            <w:r>
              <w:rPr>
                <w:rFonts w:cstheme="minorHAnsi"/>
                <w:sz w:val="24"/>
                <w:szCs w:val="24"/>
                <w:lang w:val="fr-FR"/>
              </w:rPr>
              <w:t xml:space="preserve"> de la tâche</w:t>
            </w:r>
            <w:r w:rsidRPr="00223777">
              <w:rPr>
                <w:rFonts w:cstheme="minorHAnsi"/>
                <w:sz w:val="24"/>
                <w:szCs w:val="24"/>
                <w:lang w:val="fr-FR"/>
              </w:rPr>
              <w:t xml:space="preserve"> est </w:t>
            </w:r>
            <w:r>
              <w:rPr>
                <w:rFonts w:cstheme="minorHAnsi"/>
                <w:sz w:val="24"/>
                <w:szCs w:val="24"/>
                <w:lang w:val="fr-FR"/>
              </w:rPr>
              <w:t>le service</w:t>
            </w:r>
            <w:r w:rsidRPr="00223777">
              <w:rPr>
                <w:rFonts w:cstheme="minorHAnsi"/>
                <w:sz w:val="24"/>
                <w:szCs w:val="24"/>
                <w:lang w:val="fr-FR"/>
              </w:rPr>
              <w:t xml:space="preserve"> en charge </w:t>
            </w:r>
            <w:r>
              <w:rPr>
                <w:rFonts w:cstheme="minorHAnsi"/>
                <w:sz w:val="24"/>
                <w:szCs w:val="24"/>
                <w:lang w:val="fr-FR"/>
              </w:rPr>
              <w:t>de l’exécution de la tâche conformément au manuel de procédures du BAS/FCE</w:t>
            </w:r>
            <w:r w:rsidRPr="00223777">
              <w:rPr>
                <w:rFonts w:cstheme="minorHAnsi"/>
                <w:sz w:val="24"/>
                <w:szCs w:val="24"/>
                <w:lang w:val="fr-FR"/>
              </w:rPr>
              <w:t>.</w:t>
            </w:r>
          </w:p>
        </w:tc>
        <w:tc>
          <w:tcPr>
            <w:tcW w:w="2728" w:type="dxa"/>
            <w:shd w:val="clear" w:color="auto" w:fill="F2F2F2" w:themeFill="background1" w:themeFillShade="F2"/>
          </w:tcPr>
          <w:p w14:paraId="0777CBD1" w14:textId="77777777" w:rsidR="00F95A45" w:rsidRPr="00223777" w:rsidRDefault="00F95A45" w:rsidP="00D447BD">
            <w:pPr>
              <w:jc w:val="both"/>
              <w:rPr>
                <w:rFonts w:cstheme="minorHAnsi"/>
                <w:sz w:val="24"/>
                <w:szCs w:val="24"/>
                <w:lang w:val="fr-FR"/>
              </w:rPr>
            </w:pPr>
            <w:r>
              <w:rPr>
                <w:rFonts w:cstheme="minorHAnsi"/>
                <w:sz w:val="24"/>
                <w:szCs w:val="24"/>
                <w:lang w:val="fr-FR"/>
              </w:rPr>
              <w:t>BSD avec l’appui des AT du DAT</w:t>
            </w:r>
          </w:p>
        </w:tc>
      </w:tr>
      <w:tr w:rsidR="00F95A45" w:rsidRPr="00223777" w14:paraId="33E96F36" w14:textId="77777777" w:rsidTr="00D447BD">
        <w:tc>
          <w:tcPr>
            <w:tcW w:w="1253" w:type="dxa"/>
            <w:shd w:val="clear" w:color="auto" w:fill="F2F2F2" w:themeFill="background1" w:themeFillShade="F2"/>
          </w:tcPr>
          <w:p w14:paraId="4607921E" w14:textId="77777777" w:rsidR="00F95A45" w:rsidRDefault="00F95A45" w:rsidP="00D447BD">
            <w:pPr>
              <w:jc w:val="both"/>
              <w:rPr>
                <w:rFonts w:cstheme="minorHAnsi"/>
                <w:sz w:val="24"/>
                <w:szCs w:val="24"/>
              </w:rPr>
            </w:pPr>
            <w:r>
              <w:rPr>
                <w:rFonts w:cstheme="minorHAnsi"/>
                <w:sz w:val="24"/>
                <w:szCs w:val="24"/>
              </w:rPr>
              <w:lastRenderedPageBreak/>
              <w:t>AF</w:t>
            </w:r>
          </w:p>
        </w:tc>
        <w:tc>
          <w:tcPr>
            <w:tcW w:w="2687" w:type="dxa"/>
            <w:shd w:val="clear" w:color="auto" w:fill="F2F2F2" w:themeFill="background1" w:themeFillShade="F2"/>
          </w:tcPr>
          <w:p w14:paraId="2B7D503B" w14:textId="77777777" w:rsidR="00F95A45" w:rsidRPr="00974D7B" w:rsidRDefault="00F95A45" w:rsidP="00D447BD">
            <w:pPr>
              <w:jc w:val="both"/>
              <w:rPr>
                <w:rFonts w:cstheme="minorHAnsi"/>
                <w:sz w:val="24"/>
                <w:szCs w:val="24"/>
                <w:lang w:val="fr-FR"/>
              </w:rPr>
            </w:pPr>
            <w:r w:rsidRPr="00974D7B">
              <w:rPr>
                <w:rFonts w:cstheme="minorHAnsi"/>
                <w:sz w:val="24"/>
                <w:szCs w:val="24"/>
                <w:lang w:val="fr-FR"/>
              </w:rPr>
              <w:t xml:space="preserve">Personne </w:t>
            </w:r>
            <w:r w:rsidRPr="007F31B0">
              <w:rPr>
                <w:rFonts w:cstheme="minorHAnsi"/>
                <w:sz w:val="24"/>
                <w:szCs w:val="24"/>
                <w:lang w:val="fr-FR"/>
              </w:rPr>
              <w:t>responsable</w:t>
            </w:r>
            <w:r w:rsidRPr="00974D7B">
              <w:rPr>
                <w:rFonts w:cstheme="minorHAnsi"/>
                <w:sz w:val="24"/>
                <w:szCs w:val="24"/>
                <w:lang w:val="fr-FR"/>
              </w:rPr>
              <w:t xml:space="preserve"> de la t</w:t>
            </w:r>
            <w:r>
              <w:rPr>
                <w:rFonts w:cstheme="minorHAnsi"/>
                <w:sz w:val="24"/>
                <w:szCs w:val="24"/>
                <w:lang w:val="fr-FR"/>
              </w:rPr>
              <w:t>âche</w:t>
            </w:r>
          </w:p>
        </w:tc>
        <w:tc>
          <w:tcPr>
            <w:tcW w:w="3363" w:type="dxa"/>
            <w:shd w:val="clear" w:color="auto" w:fill="F2F2F2" w:themeFill="background1" w:themeFillShade="F2"/>
          </w:tcPr>
          <w:p w14:paraId="017BBE48" w14:textId="77777777" w:rsidR="00F95A45" w:rsidRPr="00974D7B" w:rsidRDefault="00F95A45" w:rsidP="00D447BD">
            <w:pPr>
              <w:jc w:val="both"/>
              <w:rPr>
                <w:rFonts w:cstheme="minorHAnsi"/>
                <w:sz w:val="24"/>
                <w:szCs w:val="24"/>
                <w:lang w:val="fr-FR"/>
              </w:rPr>
            </w:pPr>
            <w:r>
              <w:rPr>
                <w:rFonts w:cstheme="minorHAnsi"/>
                <w:sz w:val="24"/>
                <w:szCs w:val="24"/>
                <w:lang w:val="fr-FR"/>
              </w:rPr>
              <w:t>Il s’agit d’indiquer le nom, le prénom et la fonction de la personne responsable de la tâche au sein du Service Responsable de la tâche</w:t>
            </w:r>
          </w:p>
        </w:tc>
        <w:tc>
          <w:tcPr>
            <w:tcW w:w="2728" w:type="dxa"/>
            <w:shd w:val="clear" w:color="auto" w:fill="F2F2F2" w:themeFill="background1" w:themeFillShade="F2"/>
          </w:tcPr>
          <w:p w14:paraId="033F7147" w14:textId="77777777" w:rsidR="00F95A45" w:rsidRPr="00974D7B" w:rsidRDefault="00F95A45" w:rsidP="00D447BD">
            <w:pPr>
              <w:jc w:val="both"/>
              <w:rPr>
                <w:rFonts w:cstheme="minorHAnsi"/>
                <w:sz w:val="24"/>
                <w:szCs w:val="24"/>
                <w:lang w:val="fr-FR"/>
              </w:rPr>
            </w:pPr>
            <w:r>
              <w:rPr>
                <w:rFonts w:cstheme="minorHAnsi"/>
                <w:sz w:val="24"/>
                <w:szCs w:val="24"/>
                <w:lang w:val="fr-FR"/>
              </w:rPr>
              <w:t>Directeur/Premier responsable du Service Responsable de l’activité</w:t>
            </w:r>
          </w:p>
        </w:tc>
      </w:tr>
      <w:tr w:rsidR="00F95A45" w:rsidRPr="00223777" w14:paraId="409CF03A" w14:textId="77777777" w:rsidTr="00D447BD">
        <w:tc>
          <w:tcPr>
            <w:tcW w:w="1253" w:type="dxa"/>
            <w:shd w:val="clear" w:color="auto" w:fill="F2F2F2" w:themeFill="background1" w:themeFillShade="F2"/>
          </w:tcPr>
          <w:p w14:paraId="1D5C355C" w14:textId="77777777" w:rsidR="00F95A45" w:rsidRPr="00223777" w:rsidRDefault="00F95A45" w:rsidP="00D447BD">
            <w:pPr>
              <w:jc w:val="both"/>
              <w:rPr>
                <w:rFonts w:cstheme="minorHAnsi"/>
                <w:sz w:val="24"/>
                <w:szCs w:val="24"/>
                <w:lang w:val="fr-FR"/>
              </w:rPr>
            </w:pPr>
            <w:r>
              <w:rPr>
                <w:rFonts w:cstheme="minorHAnsi"/>
                <w:sz w:val="24"/>
                <w:szCs w:val="24"/>
                <w:lang w:val="fr-FR"/>
              </w:rPr>
              <w:t>AG</w:t>
            </w:r>
          </w:p>
        </w:tc>
        <w:tc>
          <w:tcPr>
            <w:tcW w:w="2687" w:type="dxa"/>
            <w:shd w:val="clear" w:color="auto" w:fill="F2F2F2" w:themeFill="background1" w:themeFillShade="F2"/>
          </w:tcPr>
          <w:p w14:paraId="7577C13B" w14:textId="77777777" w:rsidR="00F95A45" w:rsidRPr="00223777" w:rsidRDefault="00F95A45" w:rsidP="00D447BD">
            <w:pPr>
              <w:jc w:val="both"/>
              <w:rPr>
                <w:rFonts w:cstheme="minorHAnsi"/>
                <w:sz w:val="24"/>
                <w:szCs w:val="24"/>
                <w:lang w:val="fr-FR"/>
              </w:rPr>
            </w:pPr>
            <w:r>
              <w:rPr>
                <w:rFonts w:cstheme="minorHAnsi"/>
                <w:sz w:val="24"/>
                <w:szCs w:val="24"/>
                <w:lang w:val="fr-FR"/>
              </w:rPr>
              <w:t>Durée de la tâche</w:t>
            </w:r>
          </w:p>
        </w:tc>
        <w:tc>
          <w:tcPr>
            <w:tcW w:w="3363" w:type="dxa"/>
            <w:shd w:val="clear" w:color="auto" w:fill="F2F2F2" w:themeFill="background1" w:themeFillShade="F2"/>
          </w:tcPr>
          <w:p w14:paraId="0E3CDC7A" w14:textId="77777777" w:rsidR="00F95A45" w:rsidRDefault="00F95A45" w:rsidP="00D447BD">
            <w:pPr>
              <w:jc w:val="both"/>
              <w:rPr>
                <w:rFonts w:cstheme="minorHAnsi"/>
                <w:sz w:val="24"/>
                <w:szCs w:val="24"/>
                <w:lang w:val="fr-FR"/>
              </w:rPr>
            </w:pPr>
            <w:r w:rsidRPr="00223777">
              <w:rPr>
                <w:rFonts w:cstheme="minorHAnsi"/>
                <w:sz w:val="24"/>
                <w:szCs w:val="24"/>
                <w:lang w:val="fr-FR"/>
              </w:rPr>
              <w:t xml:space="preserve">Il s’agit de préciser </w:t>
            </w:r>
            <w:r>
              <w:rPr>
                <w:rFonts w:cstheme="minorHAnsi"/>
                <w:sz w:val="24"/>
                <w:szCs w:val="24"/>
                <w:lang w:val="fr-FR"/>
              </w:rPr>
              <w:t>le temps nécessaire (nombre de jours) pour la réalisation de la tâche par la personne responsable de la tâche</w:t>
            </w:r>
            <w:r w:rsidRPr="00223777">
              <w:rPr>
                <w:rFonts w:cstheme="minorHAnsi"/>
                <w:sz w:val="24"/>
                <w:szCs w:val="24"/>
                <w:lang w:val="fr-FR"/>
              </w:rPr>
              <w:t>.</w:t>
            </w:r>
            <w:r>
              <w:rPr>
                <w:rFonts w:cstheme="minorHAnsi"/>
                <w:sz w:val="24"/>
                <w:szCs w:val="24"/>
                <w:lang w:val="fr-FR"/>
              </w:rPr>
              <w:t xml:space="preserve"> En général, ces délais sont souvent légaux, fixés par la réglementation et souvent disponibles dans le manuel de procédures du BAS/FCE</w:t>
            </w:r>
          </w:p>
          <w:p w14:paraId="4FE2DCB5" w14:textId="77777777" w:rsidR="00F95A45" w:rsidRPr="00223777" w:rsidRDefault="00F95A45" w:rsidP="00D447BD">
            <w:pPr>
              <w:jc w:val="both"/>
              <w:rPr>
                <w:rFonts w:cstheme="minorHAnsi"/>
                <w:sz w:val="24"/>
                <w:szCs w:val="24"/>
                <w:lang w:val="fr-FR"/>
              </w:rPr>
            </w:pPr>
          </w:p>
        </w:tc>
        <w:tc>
          <w:tcPr>
            <w:tcW w:w="2728" w:type="dxa"/>
            <w:shd w:val="clear" w:color="auto" w:fill="F2F2F2" w:themeFill="background1" w:themeFillShade="F2"/>
          </w:tcPr>
          <w:p w14:paraId="4D39E1EC" w14:textId="77777777" w:rsidR="00F95A45" w:rsidRPr="00223777" w:rsidRDefault="00F95A45" w:rsidP="00D447BD">
            <w:pPr>
              <w:jc w:val="both"/>
              <w:rPr>
                <w:rFonts w:cstheme="minorHAnsi"/>
                <w:sz w:val="24"/>
                <w:szCs w:val="24"/>
                <w:lang w:val="fr-FR"/>
              </w:rPr>
            </w:pPr>
            <w:r>
              <w:rPr>
                <w:rFonts w:cstheme="minorHAnsi"/>
                <w:sz w:val="24"/>
                <w:szCs w:val="24"/>
                <w:lang w:val="fr-FR"/>
              </w:rPr>
              <w:t xml:space="preserve">Personne responsable de la tâche </w:t>
            </w:r>
          </w:p>
        </w:tc>
      </w:tr>
      <w:tr w:rsidR="00F95A45" w:rsidRPr="00223777" w14:paraId="538CB183" w14:textId="77777777" w:rsidTr="00D447BD">
        <w:tc>
          <w:tcPr>
            <w:tcW w:w="1253" w:type="dxa"/>
            <w:shd w:val="clear" w:color="auto" w:fill="F2F2F2" w:themeFill="background1" w:themeFillShade="F2"/>
          </w:tcPr>
          <w:p w14:paraId="5FB8C493" w14:textId="77777777" w:rsidR="00F95A45" w:rsidRPr="00223777" w:rsidRDefault="00F95A45" w:rsidP="00D447BD">
            <w:pPr>
              <w:jc w:val="both"/>
              <w:rPr>
                <w:rFonts w:cstheme="minorHAnsi"/>
                <w:sz w:val="24"/>
                <w:szCs w:val="24"/>
                <w:lang w:val="fr-FR"/>
              </w:rPr>
            </w:pPr>
            <w:r>
              <w:rPr>
                <w:rFonts w:cstheme="minorHAnsi"/>
                <w:sz w:val="24"/>
                <w:szCs w:val="24"/>
                <w:lang w:val="fr-FR"/>
              </w:rPr>
              <w:t>AH</w:t>
            </w:r>
          </w:p>
        </w:tc>
        <w:tc>
          <w:tcPr>
            <w:tcW w:w="2687" w:type="dxa"/>
            <w:shd w:val="clear" w:color="auto" w:fill="F2F2F2" w:themeFill="background1" w:themeFillShade="F2"/>
          </w:tcPr>
          <w:p w14:paraId="4E5A1DA2" w14:textId="77777777" w:rsidR="00F95A45" w:rsidRDefault="00F95A45" w:rsidP="00D447BD">
            <w:pPr>
              <w:jc w:val="both"/>
              <w:rPr>
                <w:rFonts w:cstheme="minorHAnsi"/>
                <w:sz w:val="24"/>
                <w:szCs w:val="24"/>
                <w:lang w:val="fr-FR"/>
              </w:rPr>
            </w:pPr>
            <w:r>
              <w:rPr>
                <w:rFonts w:cstheme="minorHAnsi"/>
                <w:sz w:val="24"/>
                <w:szCs w:val="24"/>
                <w:lang w:val="fr-FR"/>
              </w:rPr>
              <w:t>Echéance de la tâche</w:t>
            </w:r>
          </w:p>
          <w:p w14:paraId="722FAEB5" w14:textId="77777777" w:rsidR="00F95A45" w:rsidRPr="00223777" w:rsidRDefault="00F95A45" w:rsidP="00D447BD">
            <w:pPr>
              <w:jc w:val="both"/>
              <w:rPr>
                <w:rFonts w:cstheme="minorHAnsi"/>
                <w:sz w:val="24"/>
                <w:szCs w:val="24"/>
                <w:lang w:val="fr-FR"/>
              </w:rPr>
            </w:pPr>
            <w:r>
              <w:rPr>
                <w:rFonts w:cstheme="minorHAnsi"/>
                <w:sz w:val="24"/>
                <w:szCs w:val="24"/>
                <w:lang w:val="fr-FR"/>
              </w:rPr>
              <w:t>(Date de début et Date de fin)</w:t>
            </w:r>
          </w:p>
        </w:tc>
        <w:tc>
          <w:tcPr>
            <w:tcW w:w="3363" w:type="dxa"/>
            <w:shd w:val="clear" w:color="auto" w:fill="F2F2F2" w:themeFill="background1" w:themeFillShade="F2"/>
          </w:tcPr>
          <w:p w14:paraId="2A4E544F" w14:textId="77777777" w:rsidR="00F95A45" w:rsidRPr="00223777" w:rsidRDefault="00F95A45" w:rsidP="00D447BD">
            <w:pPr>
              <w:jc w:val="both"/>
              <w:rPr>
                <w:rFonts w:cstheme="minorHAnsi"/>
                <w:sz w:val="24"/>
                <w:szCs w:val="24"/>
                <w:lang w:val="fr-FR"/>
              </w:rPr>
            </w:pPr>
            <w:r w:rsidRPr="009E1411">
              <w:rPr>
                <w:rFonts w:cstheme="minorHAnsi"/>
                <w:sz w:val="24"/>
                <w:szCs w:val="24"/>
                <w:lang w:val="fr-FR"/>
              </w:rPr>
              <w:t xml:space="preserve">Il s’agit de préciser la </w:t>
            </w:r>
            <w:r>
              <w:rPr>
                <w:rFonts w:cstheme="minorHAnsi"/>
                <w:sz w:val="24"/>
                <w:szCs w:val="24"/>
                <w:lang w:val="fr-FR"/>
              </w:rPr>
              <w:t>période pendant laquelle la tâche sera réalisée en indiquant les dates de début de et de fin de la tâche en fonction de la durée</w:t>
            </w:r>
          </w:p>
        </w:tc>
        <w:tc>
          <w:tcPr>
            <w:tcW w:w="2728" w:type="dxa"/>
            <w:shd w:val="clear" w:color="auto" w:fill="F2F2F2" w:themeFill="background1" w:themeFillShade="F2"/>
          </w:tcPr>
          <w:p w14:paraId="1A052C99" w14:textId="77777777" w:rsidR="00F95A45" w:rsidRPr="00223777" w:rsidRDefault="00F95A45" w:rsidP="00D447BD">
            <w:pPr>
              <w:jc w:val="both"/>
              <w:rPr>
                <w:rFonts w:cstheme="minorHAnsi"/>
                <w:sz w:val="24"/>
                <w:szCs w:val="24"/>
                <w:lang w:val="fr-FR"/>
              </w:rPr>
            </w:pPr>
            <w:r>
              <w:rPr>
                <w:rFonts w:cstheme="minorHAnsi"/>
                <w:sz w:val="24"/>
                <w:szCs w:val="24"/>
                <w:lang w:val="fr-FR"/>
              </w:rPr>
              <w:t>Personne responsable de la tâche</w:t>
            </w:r>
          </w:p>
        </w:tc>
      </w:tr>
      <w:tr w:rsidR="00F95A45" w:rsidRPr="00223777" w14:paraId="6F5AAB21" w14:textId="77777777" w:rsidTr="00D447BD">
        <w:tc>
          <w:tcPr>
            <w:tcW w:w="1253" w:type="dxa"/>
            <w:shd w:val="clear" w:color="auto" w:fill="F2F2F2" w:themeFill="background1" w:themeFillShade="F2"/>
          </w:tcPr>
          <w:p w14:paraId="5782D6D0" w14:textId="77777777" w:rsidR="00F95A45" w:rsidRPr="00223777" w:rsidRDefault="00F95A45" w:rsidP="00D447BD">
            <w:pPr>
              <w:jc w:val="both"/>
              <w:rPr>
                <w:rFonts w:cstheme="minorHAnsi"/>
                <w:sz w:val="24"/>
                <w:szCs w:val="24"/>
                <w:lang w:val="fr-FR"/>
              </w:rPr>
            </w:pPr>
            <w:r>
              <w:rPr>
                <w:rFonts w:cstheme="minorHAnsi"/>
                <w:sz w:val="24"/>
                <w:szCs w:val="24"/>
                <w:lang w:val="fr-FR"/>
              </w:rPr>
              <w:t>AI</w:t>
            </w:r>
          </w:p>
        </w:tc>
        <w:tc>
          <w:tcPr>
            <w:tcW w:w="2687" w:type="dxa"/>
            <w:shd w:val="clear" w:color="auto" w:fill="F2F2F2" w:themeFill="background1" w:themeFillShade="F2"/>
          </w:tcPr>
          <w:p w14:paraId="5177DCCD" w14:textId="77777777" w:rsidR="00F95A45" w:rsidRPr="00223777" w:rsidRDefault="00F95A45" w:rsidP="00D447BD">
            <w:pPr>
              <w:jc w:val="both"/>
              <w:rPr>
                <w:rFonts w:cstheme="minorHAnsi"/>
                <w:sz w:val="24"/>
                <w:szCs w:val="24"/>
                <w:lang w:val="fr-FR"/>
              </w:rPr>
            </w:pPr>
            <w:r>
              <w:rPr>
                <w:rFonts w:cstheme="minorHAnsi"/>
                <w:sz w:val="24"/>
                <w:szCs w:val="24"/>
                <w:lang w:val="fr-FR"/>
              </w:rPr>
              <w:t>Niveau d’exécution de la tâche</w:t>
            </w:r>
          </w:p>
        </w:tc>
        <w:tc>
          <w:tcPr>
            <w:tcW w:w="3363" w:type="dxa"/>
            <w:shd w:val="clear" w:color="auto" w:fill="F2F2F2" w:themeFill="background1" w:themeFillShade="F2"/>
          </w:tcPr>
          <w:p w14:paraId="7E5E8C3F" w14:textId="77777777" w:rsidR="00F95A45" w:rsidRDefault="00F95A45" w:rsidP="00D447BD">
            <w:pPr>
              <w:jc w:val="both"/>
              <w:rPr>
                <w:rFonts w:cstheme="minorHAnsi"/>
                <w:sz w:val="24"/>
                <w:szCs w:val="24"/>
                <w:lang w:val="fr-FR"/>
              </w:rPr>
            </w:pPr>
            <w:r w:rsidRPr="00223777">
              <w:rPr>
                <w:rFonts w:cstheme="minorHAnsi"/>
                <w:sz w:val="24"/>
                <w:szCs w:val="24"/>
                <w:lang w:val="fr-FR"/>
              </w:rPr>
              <w:t xml:space="preserve">Il s’agit de donner </w:t>
            </w:r>
            <w:r>
              <w:rPr>
                <w:rFonts w:cstheme="minorHAnsi"/>
                <w:sz w:val="24"/>
                <w:szCs w:val="24"/>
                <w:lang w:val="fr-FR"/>
              </w:rPr>
              <w:t>le niveau de mise en œuvre de la tâche avant chaque réunion bimensuelle</w:t>
            </w:r>
            <w:r w:rsidRPr="00223777">
              <w:rPr>
                <w:rFonts w:cstheme="minorHAnsi"/>
                <w:sz w:val="24"/>
                <w:szCs w:val="24"/>
                <w:lang w:val="fr-FR"/>
              </w:rPr>
              <w:t xml:space="preserve">. </w:t>
            </w:r>
          </w:p>
          <w:p w14:paraId="0C373CAF" w14:textId="77777777" w:rsidR="00F95A45" w:rsidRDefault="00F95A45" w:rsidP="00D447BD">
            <w:pPr>
              <w:jc w:val="both"/>
              <w:rPr>
                <w:rFonts w:cstheme="minorHAnsi"/>
                <w:sz w:val="24"/>
                <w:szCs w:val="24"/>
                <w:lang w:val="fr-FR"/>
              </w:rPr>
            </w:pPr>
            <w:r>
              <w:rPr>
                <w:rFonts w:cstheme="minorHAnsi"/>
                <w:sz w:val="24"/>
                <w:szCs w:val="24"/>
                <w:lang w:val="fr-FR"/>
              </w:rPr>
              <w:t>Trois critères sont à choisir :</w:t>
            </w:r>
          </w:p>
          <w:p w14:paraId="3E1FB95A" w14:textId="77777777" w:rsidR="00F95A45" w:rsidRDefault="00F95A45" w:rsidP="00D447BD">
            <w:pPr>
              <w:jc w:val="both"/>
              <w:rPr>
                <w:rFonts w:cstheme="minorHAnsi"/>
                <w:sz w:val="24"/>
                <w:szCs w:val="24"/>
                <w:lang w:val="fr-FR"/>
              </w:rPr>
            </w:pPr>
            <w:r w:rsidRPr="00E3026C">
              <w:rPr>
                <w:rFonts w:cstheme="minorHAnsi"/>
                <w:b/>
                <w:sz w:val="24"/>
                <w:szCs w:val="24"/>
                <w:lang w:val="fr-FR"/>
              </w:rPr>
              <w:t>Réalisée</w:t>
            </w:r>
            <w:r>
              <w:rPr>
                <w:rFonts w:cstheme="minorHAnsi"/>
                <w:sz w:val="24"/>
                <w:szCs w:val="24"/>
                <w:lang w:val="fr-FR"/>
              </w:rPr>
              <w:t> : la tâche est totalement bouclée</w:t>
            </w:r>
          </w:p>
          <w:p w14:paraId="621678E0" w14:textId="77777777" w:rsidR="00F95A45" w:rsidRDefault="00F95A45" w:rsidP="00D447BD">
            <w:pPr>
              <w:jc w:val="both"/>
              <w:rPr>
                <w:rFonts w:cstheme="minorHAnsi"/>
                <w:sz w:val="24"/>
                <w:szCs w:val="24"/>
                <w:lang w:val="fr-FR"/>
              </w:rPr>
            </w:pPr>
            <w:r w:rsidRPr="00E3026C">
              <w:rPr>
                <w:rFonts w:cstheme="minorHAnsi"/>
                <w:b/>
                <w:sz w:val="24"/>
                <w:szCs w:val="24"/>
                <w:lang w:val="fr-FR"/>
              </w:rPr>
              <w:t>En cours</w:t>
            </w:r>
            <w:r>
              <w:rPr>
                <w:rFonts w:cstheme="minorHAnsi"/>
                <w:sz w:val="24"/>
                <w:szCs w:val="24"/>
                <w:lang w:val="fr-FR"/>
              </w:rPr>
              <w:t> : la tâche a connu un début de démarrage mais elle n’est pas achevée.</w:t>
            </w:r>
          </w:p>
          <w:p w14:paraId="132818A6" w14:textId="77777777" w:rsidR="00F95A45" w:rsidRDefault="00F95A45" w:rsidP="00D447BD">
            <w:pPr>
              <w:jc w:val="both"/>
              <w:rPr>
                <w:rFonts w:cstheme="minorHAnsi"/>
                <w:sz w:val="24"/>
                <w:szCs w:val="24"/>
                <w:lang w:val="fr-FR"/>
              </w:rPr>
            </w:pPr>
            <w:r w:rsidRPr="00E3026C">
              <w:rPr>
                <w:rFonts w:cstheme="minorHAnsi"/>
                <w:b/>
                <w:sz w:val="24"/>
                <w:szCs w:val="24"/>
                <w:lang w:val="fr-FR"/>
              </w:rPr>
              <w:t>Non Réalisée</w:t>
            </w:r>
            <w:r>
              <w:rPr>
                <w:rFonts w:cstheme="minorHAnsi"/>
                <w:sz w:val="24"/>
                <w:szCs w:val="24"/>
                <w:lang w:val="fr-FR"/>
              </w:rPr>
              <w:t> : la tâche n’a pas connu un début de démarrage</w:t>
            </w:r>
          </w:p>
          <w:p w14:paraId="044641AB" w14:textId="77777777" w:rsidR="00F95A45" w:rsidRDefault="00F95A45" w:rsidP="00D447BD">
            <w:pPr>
              <w:jc w:val="both"/>
              <w:rPr>
                <w:rFonts w:cstheme="minorHAnsi"/>
                <w:sz w:val="24"/>
                <w:szCs w:val="24"/>
                <w:lang w:val="fr-FR"/>
              </w:rPr>
            </w:pPr>
            <w:r>
              <w:rPr>
                <w:rFonts w:cstheme="minorHAnsi"/>
                <w:sz w:val="24"/>
                <w:szCs w:val="24"/>
                <w:lang w:val="fr-FR"/>
              </w:rPr>
              <w:t>L’état de mise en œuvre d’une tâche est évolutif dans le temps.</w:t>
            </w:r>
          </w:p>
          <w:p w14:paraId="1651FACA" w14:textId="77777777" w:rsidR="00F95A45" w:rsidRPr="00223777" w:rsidRDefault="00F95A45" w:rsidP="00D447BD">
            <w:pPr>
              <w:jc w:val="both"/>
              <w:rPr>
                <w:rFonts w:cstheme="minorHAnsi"/>
                <w:sz w:val="24"/>
                <w:szCs w:val="24"/>
                <w:lang w:val="fr-FR"/>
              </w:rPr>
            </w:pPr>
            <w:r>
              <w:rPr>
                <w:rFonts w:cstheme="minorHAnsi"/>
                <w:sz w:val="24"/>
                <w:szCs w:val="24"/>
                <w:lang w:val="fr-FR"/>
              </w:rPr>
              <w:t>Cette colonne permet de constater les progrès réalisés au fur et à mesure de la mise en œuvre des différentes tâches d’une activité.</w:t>
            </w:r>
          </w:p>
        </w:tc>
        <w:tc>
          <w:tcPr>
            <w:tcW w:w="2728" w:type="dxa"/>
            <w:shd w:val="clear" w:color="auto" w:fill="F2F2F2" w:themeFill="background1" w:themeFillShade="F2"/>
          </w:tcPr>
          <w:p w14:paraId="620EDDAA" w14:textId="77777777" w:rsidR="00F95A45" w:rsidRPr="00223777" w:rsidRDefault="00F95A45" w:rsidP="00D447BD">
            <w:pPr>
              <w:jc w:val="both"/>
              <w:rPr>
                <w:rFonts w:cstheme="minorHAnsi"/>
                <w:sz w:val="24"/>
                <w:szCs w:val="24"/>
                <w:lang w:val="fr-FR"/>
              </w:rPr>
            </w:pPr>
            <w:r>
              <w:rPr>
                <w:rFonts w:cstheme="minorHAnsi"/>
                <w:sz w:val="24"/>
                <w:szCs w:val="24"/>
                <w:lang w:val="fr-FR"/>
              </w:rPr>
              <w:t>Personne responsable de la tâche</w:t>
            </w:r>
          </w:p>
        </w:tc>
      </w:tr>
      <w:tr w:rsidR="00F95A45" w:rsidRPr="00223777" w14:paraId="25BBFE80" w14:textId="77777777" w:rsidTr="00D447BD">
        <w:tc>
          <w:tcPr>
            <w:tcW w:w="1253" w:type="dxa"/>
            <w:shd w:val="clear" w:color="auto" w:fill="F2F2F2" w:themeFill="background1" w:themeFillShade="F2"/>
          </w:tcPr>
          <w:p w14:paraId="0464122B" w14:textId="77777777" w:rsidR="00F95A45" w:rsidRPr="00223777" w:rsidRDefault="00F95A45" w:rsidP="00D447BD">
            <w:pPr>
              <w:jc w:val="both"/>
              <w:rPr>
                <w:rFonts w:cstheme="minorHAnsi"/>
                <w:sz w:val="24"/>
                <w:szCs w:val="24"/>
                <w:lang w:val="fr-FR"/>
              </w:rPr>
            </w:pPr>
            <w:r>
              <w:rPr>
                <w:rFonts w:cstheme="minorHAnsi"/>
                <w:sz w:val="24"/>
                <w:szCs w:val="24"/>
                <w:lang w:val="fr-FR"/>
              </w:rPr>
              <w:t>AJ</w:t>
            </w:r>
          </w:p>
        </w:tc>
        <w:tc>
          <w:tcPr>
            <w:tcW w:w="2687" w:type="dxa"/>
            <w:shd w:val="clear" w:color="auto" w:fill="F2F2F2" w:themeFill="background1" w:themeFillShade="F2"/>
          </w:tcPr>
          <w:p w14:paraId="0E19B4CB" w14:textId="77777777" w:rsidR="00F95A45" w:rsidRPr="00223777" w:rsidRDefault="00F95A45" w:rsidP="00D447BD">
            <w:pPr>
              <w:jc w:val="both"/>
              <w:rPr>
                <w:rFonts w:cstheme="minorHAnsi"/>
                <w:sz w:val="24"/>
                <w:szCs w:val="24"/>
                <w:lang w:val="fr-FR"/>
              </w:rPr>
            </w:pPr>
            <w:r>
              <w:rPr>
                <w:rFonts w:cstheme="minorHAnsi"/>
                <w:sz w:val="24"/>
                <w:szCs w:val="24"/>
                <w:lang w:val="fr-FR"/>
              </w:rPr>
              <w:t>Problèmes rencontrés</w:t>
            </w:r>
          </w:p>
        </w:tc>
        <w:tc>
          <w:tcPr>
            <w:tcW w:w="3363" w:type="dxa"/>
            <w:shd w:val="clear" w:color="auto" w:fill="F2F2F2" w:themeFill="background1" w:themeFillShade="F2"/>
          </w:tcPr>
          <w:p w14:paraId="0B3999EE" w14:textId="77777777" w:rsidR="00F95A45" w:rsidRPr="00223777" w:rsidRDefault="00F95A45" w:rsidP="00D447BD">
            <w:pPr>
              <w:jc w:val="both"/>
              <w:rPr>
                <w:rFonts w:cstheme="minorHAnsi"/>
                <w:sz w:val="24"/>
                <w:szCs w:val="24"/>
                <w:lang w:val="fr-FR"/>
              </w:rPr>
            </w:pPr>
            <w:r>
              <w:rPr>
                <w:rFonts w:cstheme="minorHAnsi"/>
                <w:sz w:val="24"/>
                <w:szCs w:val="24"/>
                <w:lang w:val="fr-FR"/>
              </w:rPr>
              <w:t>Il s’agit d’indiquer dans cette colonne les problèmes rencontrés dans l’exécution de la tâche</w:t>
            </w:r>
            <w:r w:rsidRPr="00223777">
              <w:rPr>
                <w:rFonts w:cstheme="minorHAnsi"/>
                <w:sz w:val="24"/>
                <w:szCs w:val="24"/>
                <w:lang w:val="fr-FR"/>
              </w:rPr>
              <w:t>.</w:t>
            </w:r>
          </w:p>
        </w:tc>
        <w:tc>
          <w:tcPr>
            <w:tcW w:w="2728" w:type="dxa"/>
            <w:shd w:val="clear" w:color="auto" w:fill="F2F2F2" w:themeFill="background1" w:themeFillShade="F2"/>
          </w:tcPr>
          <w:p w14:paraId="3BD2EC32" w14:textId="77777777" w:rsidR="00F95A45" w:rsidRPr="00223777" w:rsidRDefault="00F95A45" w:rsidP="00D447BD">
            <w:pPr>
              <w:jc w:val="both"/>
              <w:rPr>
                <w:rFonts w:cstheme="minorHAnsi"/>
                <w:sz w:val="24"/>
                <w:szCs w:val="24"/>
                <w:lang w:val="fr-FR"/>
              </w:rPr>
            </w:pPr>
            <w:r>
              <w:rPr>
                <w:rFonts w:cstheme="minorHAnsi"/>
                <w:sz w:val="24"/>
                <w:szCs w:val="24"/>
                <w:lang w:val="fr-FR"/>
              </w:rPr>
              <w:t>Personne responsable de la tâche</w:t>
            </w:r>
          </w:p>
        </w:tc>
      </w:tr>
      <w:tr w:rsidR="00F95A45" w:rsidRPr="00223777" w14:paraId="1A3433C9" w14:textId="77777777" w:rsidTr="00D447BD">
        <w:tc>
          <w:tcPr>
            <w:tcW w:w="1253" w:type="dxa"/>
            <w:shd w:val="clear" w:color="auto" w:fill="F2F2F2" w:themeFill="background1" w:themeFillShade="F2"/>
          </w:tcPr>
          <w:p w14:paraId="381F4127" w14:textId="77777777" w:rsidR="00F95A45" w:rsidRPr="00974D7B" w:rsidRDefault="00F95A45" w:rsidP="00D447BD">
            <w:pPr>
              <w:jc w:val="both"/>
              <w:rPr>
                <w:rFonts w:cstheme="minorHAnsi"/>
                <w:sz w:val="24"/>
                <w:szCs w:val="24"/>
                <w:lang w:val="fr-FR"/>
              </w:rPr>
            </w:pPr>
            <w:r>
              <w:rPr>
                <w:rFonts w:cstheme="minorHAnsi"/>
                <w:sz w:val="24"/>
                <w:szCs w:val="24"/>
                <w:lang w:val="fr-FR"/>
              </w:rPr>
              <w:lastRenderedPageBreak/>
              <w:t>AK</w:t>
            </w:r>
          </w:p>
        </w:tc>
        <w:tc>
          <w:tcPr>
            <w:tcW w:w="2687" w:type="dxa"/>
            <w:shd w:val="clear" w:color="auto" w:fill="F2F2F2" w:themeFill="background1" w:themeFillShade="F2"/>
          </w:tcPr>
          <w:p w14:paraId="2213480A" w14:textId="77777777" w:rsidR="00F95A45" w:rsidRPr="00974D7B" w:rsidDel="00E4308E" w:rsidRDefault="00F95A45" w:rsidP="00D447BD">
            <w:pPr>
              <w:jc w:val="both"/>
              <w:rPr>
                <w:rFonts w:cstheme="minorHAnsi"/>
                <w:sz w:val="24"/>
                <w:szCs w:val="24"/>
                <w:lang w:val="fr-FR"/>
              </w:rPr>
            </w:pPr>
            <w:r w:rsidRPr="00974D7B">
              <w:rPr>
                <w:rFonts w:cstheme="minorHAnsi"/>
                <w:sz w:val="24"/>
                <w:szCs w:val="24"/>
                <w:lang w:val="fr-FR"/>
              </w:rPr>
              <w:t>Solutions trouvées et/ou envisagées</w:t>
            </w:r>
          </w:p>
        </w:tc>
        <w:tc>
          <w:tcPr>
            <w:tcW w:w="3363" w:type="dxa"/>
            <w:shd w:val="clear" w:color="auto" w:fill="F2F2F2" w:themeFill="background1" w:themeFillShade="F2"/>
          </w:tcPr>
          <w:p w14:paraId="58BF7D6D" w14:textId="77777777" w:rsidR="00F95A45" w:rsidRPr="00974D7B" w:rsidDel="00E4308E" w:rsidRDefault="00F95A45" w:rsidP="00D447BD">
            <w:pPr>
              <w:jc w:val="both"/>
              <w:rPr>
                <w:rFonts w:cstheme="minorHAnsi"/>
                <w:sz w:val="24"/>
                <w:szCs w:val="24"/>
                <w:lang w:val="fr-FR"/>
              </w:rPr>
            </w:pPr>
            <w:r w:rsidRPr="00974D7B">
              <w:rPr>
                <w:rFonts w:cstheme="minorHAnsi"/>
                <w:sz w:val="24"/>
                <w:szCs w:val="24"/>
                <w:lang w:val="fr-FR"/>
              </w:rPr>
              <w:t xml:space="preserve">Il s’agit d’indiquer dans cette colonne les solutions trouvées </w:t>
            </w:r>
            <w:r>
              <w:rPr>
                <w:rFonts w:cstheme="minorHAnsi"/>
                <w:sz w:val="24"/>
                <w:szCs w:val="24"/>
                <w:lang w:val="fr-FR"/>
              </w:rPr>
              <w:t xml:space="preserve"> aux problèmes rencontrés</w:t>
            </w:r>
          </w:p>
        </w:tc>
        <w:tc>
          <w:tcPr>
            <w:tcW w:w="2728" w:type="dxa"/>
            <w:shd w:val="clear" w:color="auto" w:fill="F2F2F2" w:themeFill="background1" w:themeFillShade="F2"/>
          </w:tcPr>
          <w:p w14:paraId="453B979D" w14:textId="77777777" w:rsidR="00F95A45" w:rsidRPr="00974D7B" w:rsidDel="00E4308E" w:rsidRDefault="00F95A45" w:rsidP="00D447BD">
            <w:pPr>
              <w:jc w:val="both"/>
              <w:rPr>
                <w:rFonts w:cstheme="minorHAnsi"/>
                <w:sz w:val="24"/>
                <w:szCs w:val="24"/>
                <w:lang w:val="fr-FR"/>
              </w:rPr>
            </w:pPr>
            <w:r>
              <w:rPr>
                <w:rFonts w:cstheme="minorHAnsi"/>
                <w:sz w:val="24"/>
                <w:szCs w:val="24"/>
                <w:lang w:val="fr-FR"/>
              </w:rPr>
              <w:t>Personne responsable de la tâche</w:t>
            </w:r>
          </w:p>
        </w:tc>
      </w:tr>
    </w:tbl>
    <w:p w14:paraId="3D533CEE" w14:textId="77777777" w:rsidR="00F4789A" w:rsidRDefault="00F4789A" w:rsidP="00F4789A">
      <w:pPr>
        <w:pStyle w:val="Paragraphedeliste"/>
        <w:rPr>
          <w:sz w:val="24"/>
          <w:szCs w:val="24"/>
        </w:rPr>
      </w:pPr>
    </w:p>
    <w:p w14:paraId="3D5550AD" w14:textId="77777777" w:rsidR="00F4789A" w:rsidRDefault="00F4789A" w:rsidP="00F4789A">
      <w:pPr>
        <w:pStyle w:val="Paragraphedeliste"/>
        <w:rPr>
          <w:sz w:val="24"/>
          <w:szCs w:val="24"/>
        </w:rPr>
      </w:pPr>
    </w:p>
    <w:sectPr w:rsidR="00F4789A">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F3F09" w16cex:dateUtc="2022-08-23T15:56:00Z"/>
  <w16cex:commentExtensible w16cex:durableId="26B21673" w16cex:dateUtc="2022-08-25T19:40:00Z"/>
  <w16cex:commentExtensible w16cex:durableId="26B217A9" w16cex:dateUtc="2022-08-25T19:45:00Z"/>
  <w16cex:commentExtensible w16cex:durableId="26B22AE2" w16cex:dateUtc="2022-08-25T21:07:00Z"/>
  <w16cex:commentExtensible w16cex:durableId="26AF4299" w16cex:dateUtc="2022-08-23T16:12:00Z"/>
  <w16cex:commentExtensible w16cex:durableId="26AF46DD" w16cex:dateUtc="2022-08-23T16:30:00Z"/>
  <w16cex:commentExtensible w16cex:durableId="26AF4866" w16cex:dateUtc="2022-08-23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2EE5EE" w16cid:durableId="26AF3F09"/>
  <w16cid:commentId w16cid:paraId="7B2F83DB" w16cid:durableId="26B21673"/>
  <w16cid:commentId w16cid:paraId="2FE48768" w16cid:durableId="26B217A9"/>
  <w16cid:commentId w16cid:paraId="31D05C35" w16cid:durableId="26B22AE2"/>
  <w16cid:commentId w16cid:paraId="5B9F5544" w16cid:durableId="26AF4299"/>
  <w16cid:commentId w16cid:paraId="71427023" w16cid:durableId="26AF6B1E"/>
  <w16cid:commentId w16cid:paraId="21D17534" w16cid:durableId="26AF46DD"/>
  <w16cid:commentId w16cid:paraId="27F13EF4" w16cid:durableId="26AF6B20"/>
  <w16cid:commentId w16cid:paraId="59E65921" w16cid:durableId="26AF4866"/>
  <w16cid:commentId w16cid:paraId="61AF187A" w16cid:durableId="26AF6B2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B7CB2" w14:textId="77777777" w:rsidR="00EE413C" w:rsidRDefault="00EE413C" w:rsidP="00F4789A">
      <w:pPr>
        <w:spacing w:after="0" w:line="240" w:lineRule="auto"/>
      </w:pPr>
      <w:r>
        <w:separator/>
      </w:r>
    </w:p>
  </w:endnote>
  <w:endnote w:type="continuationSeparator" w:id="0">
    <w:p w14:paraId="61C754EF" w14:textId="77777777" w:rsidR="00EE413C" w:rsidRDefault="00EE413C" w:rsidP="00F47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49294" w14:textId="77777777" w:rsidR="00EE413C" w:rsidRDefault="00EE413C" w:rsidP="00F4789A">
      <w:pPr>
        <w:spacing w:after="0" w:line="240" w:lineRule="auto"/>
      </w:pPr>
      <w:r>
        <w:separator/>
      </w:r>
    </w:p>
  </w:footnote>
  <w:footnote w:type="continuationSeparator" w:id="0">
    <w:p w14:paraId="104FD9B0" w14:textId="77777777" w:rsidR="00EE413C" w:rsidRDefault="00EE413C" w:rsidP="00F478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A03A0"/>
    <w:multiLevelType w:val="hybridMultilevel"/>
    <w:tmpl w:val="8CB6C970"/>
    <w:lvl w:ilvl="0" w:tplc="018006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8C71E2"/>
    <w:multiLevelType w:val="hybridMultilevel"/>
    <w:tmpl w:val="993E8B52"/>
    <w:lvl w:ilvl="0" w:tplc="018006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751302"/>
    <w:multiLevelType w:val="hybridMultilevel"/>
    <w:tmpl w:val="C75E190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205"/>
    <w:rsid w:val="000C150E"/>
    <w:rsid w:val="000C4E95"/>
    <w:rsid w:val="000D37F4"/>
    <w:rsid w:val="000E6CD7"/>
    <w:rsid w:val="001435E5"/>
    <w:rsid w:val="001817A0"/>
    <w:rsid w:val="001E58E7"/>
    <w:rsid w:val="002D59D9"/>
    <w:rsid w:val="0032362F"/>
    <w:rsid w:val="00387DF1"/>
    <w:rsid w:val="003B15B0"/>
    <w:rsid w:val="003D2A4F"/>
    <w:rsid w:val="004071E3"/>
    <w:rsid w:val="00462C08"/>
    <w:rsid w:val="00495199"/>
    <w:rsid w:val="004B662D"/>
    <w:rsid w:val="00591F93"/>
    <w:rsid w:val="005A6B78"/>
    <w:rsid w:val="005D7492"/>
    <w:rsid w:val="00601789"/>
    <w:rsid w:val="006040BE"/>
    <w:rsid w:val="00623666"/>
    <w:rsid w:val="006427B6"/>
    <w:rsid w:val="00684071"/>
    <w:rsid w:val="00694A26"/>
    <w:rsid w:val="006C525C"/>
    <w:rsid w:val="006E4E51"/>
    <w:rsid w:val="006F26D8"/>
    <w:rsid w:val="007248DF"/>
    <w:rsid w:val="00772105"/>
    <w:rsid w:val="0079381C"/>
    <w:rsid w:val="007B13E9"/>
    <w:rsid w:val="007F31B0"/>
    <w:rsid w:val="00813261"/>
    <w:rsid w:val="009349D2"/>
    <w:rsid w:val="0096682B"/>
    <w:rsid w:val="00976370"/>
    <w:rsid w:val="009A2DD1"/>
    <w:rsid w:val="00A06A65"/>
    <w:rsid w:val="00A11205"/>
    <w:rsid w:val="00A40DD0"/>
    <w:rsid w:val="00A73B2F"/>
    <w:rsid w:val="00B95D68"/>
    <w:rsid w:val="00BB45F4"/>
    <w:rsid w:val="00BE056A"/>
    <w:rsid w:val="00C043D4"/>
    <w:rsid w:val="00CF2EC4"/>
    <w:rsid w:val="00DF585C"/>
    <w:rsid w:val="00E4308E"/>
    <w:rsid w:val="00E9289E"/>
    <w:rsid w:val="00EE01C3"/>
    <w:rsid w:val="00EE413C"/>
    <w:rsid w:val="00F4789A"/>
    <w:rsid w:val="00F500F7"/>
    <w:rsid w:val="00F95A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EFEC"/>
  <w15:chartTrackingRefBased/>
  <w15:docId w15:val="{5201D696-363E-42D9-B0A0-19FEB975F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11205"/>
    <w:pPr>
      <w:ind w:left="720"/>
      <w:contextualSpacing/>
    </w:pPr>
  </w:style>
  <w:style w:type="paragraph" w:styleId="Notedebasdepage">
    <w:name w:val="footnote text"/>
    <w:aliases w:val="Footnote Text1,single space,Fodnotetekst Tegn,footnote text Char,Fodnotetekst Tegn Char,single space Char,footnote text Char Char Char,Fodnotetekst Tegn Char1,single space Char1,footnote text Char Char1,FOOTNOTES,fn,fn Char1,f,ft,ADB"/>
    <w:basedOn w:val="Normal"/>
    <w:link w:val="NotedebasdepageCar"/>
    <w:uiPriority w:val="99"/>
    <w:unhideWhenUsed/>
    <w:qFormat/>
    <w:rsid w:val="00F4789A"/>
    <w:pPr>
      <w:spacing w:after="0" w:line="240" w:lineRule="auto"/>
    </w:pPr>
    <w:rPr>
      <w:rFonts w:ascii="Calibri" w:hAnsi="Calibri" w:cs="Calibri"/>
      <w:sz w:val="20"/>
      <w:szCs w:val="20"/>
    </w:rPr>
  </w:style>
  <w:style w:type="character" w:customStyle="1" w:styleId="NotedebasdepageCar">
    <w:name w:val="Note de bas de page Car"/>
    <w:aliases w:val="Footnote Text1 Car,single space Car,Fodnotetekst Tegn Car,footnote text Char Car,Fodnotetekst Tegn Char Car,single space Char Car,footnote text Char Char Char Car,Fodnotetekst Tegn Char1 Car,single space Char1 Car,FOOTNOTES Car"/>
    <w:basedOn w:val="Policepardfaut"/>
    <w:link w:val="Notedebasdepage"/>
    <w:uiPriority w:val="99"/>
    <w:rsid w:val="00F4789A"/>
    <w:rPr>
      <w:rFonts w:ascii="Calibri" w:hAnsi="Calibri" w:cs="Calibri"/>
      <w:sz w:val="20"/>
      <w:szCs w:val="20"/>
    </w:rPr>
  </w:style>
  <w:style w:type="character" w:styleId="Appelnotedebasdep">
    <w:name w:val="footnote reference"/>
    <w:aliases w:val="ftref,16 Point,Superscript 6 Point,Car Car Char Car Char Car Car Char Car Char Char,Car Car Car Car Car Car Car Car Char Car Car Char Car Car Car Char Car Char Char Char,BVI fnr,Ref,de nota al pie,note de bas de page,note bp,fr,S"/>
    <w:link w:val="BVIfnrCharCharCharCharCharChar1CharCharCharCharCharChar"/>
    <w:uiPriority w:val="99"/>
    <w:unhideWhenUsed/>
    <w:qFormat/>
    <w:rsid w:val="00F4789A"/>
    <w:rPr>
      <w:vertAlign w:val="superscript"/>
    </w:rPr>
  </w:style>
  <w:style w:type="paragraph" w:customStyle="1" w:styleId="BVIfnrCharCharCharCharCharChar1CharCharCharCharCharChar">
    <w:name w:val="BVI fnr Char Char Char Char Char Char1 Char Char Char Char Char Char"/>
    <w:aliases w:val="BVI fnr Car Car Char Char Char Char Char Char Char Char Char Char Char Char,BVI fnr Car Char Char Char Char Char Char Char Char Char Char Char Char Char"/>
    <w:basedOn w:val="Normal"/>
    <w:link w:val="Appelnotedebasdep"/>
    <w:uiPriority w:val="99"/>
    <w:rsid w:val="00F4789A"/>
    <w:pPr>
      <w:pBdr>
        <w:top w:val="nil"/>
        <w:left w:val="nil"/>
        <w:bottom w:val="nil"/>
        <w:right w:val="nil"/>
        <w:between w:val="nil"/>
      </w:pBdr>
      <w:spacing w:after="0" w:line="240" w:lineRule="exact"/>
      <w:jc w:val="both"/>
    </w:pPr>
    <w:rPr>
      <w:vertAlign w:val="superscript"/>
    </w:rPr>
  </w:style>
  <w:style w:type="table" w:styleId="Grilledutableau">
    <w:name w:val="Table Grid"/>
    <w:basedOn w:val="TableauNormal"/>
    <w:uiPriority w:val="39"/>
    <w:rsid w:val="00F4789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601789"/>
    <w:rPr>
      <w:sz w:val="16"/>
      <w:szCs w:val="16"/>
    </w:rPr>
  </w:style>
  <w:style w:type="paragraph" w:styleId="Commentaire">
    <w:name w:val="annotation text"/>
    <w:basedOn w:val="Normal"/>
    <w:link w:val="CommentaireCar"/>
    <w:uiPriority w:val="99"/>
    <w:unhideWhenUsed/>
    <w:rsid w:val="00601789"/>
    <w:pPr>
      <w:spacing w:line="240" w:lineRule="auto"/>
    </w:pPr>
    <w:rPr>
      <w:sz w:val="20"/>
      <w:szCs w:val="20"/>
    </w:rPr>
  </w:style>
  <w:style w:type="character" w:customStyle="1" w:styleId="CommentaireCar">
    <w:name w:val="Commentaire Car"/>
    <w:basedOn w:val="Policepardfaut"/>
    <w:link w:val="Commentaire"/>
    <w:uiPriority w:val="99"/>
    <w:rsid w:val="00601789"/>
    <w:rPr>
      <w:sz w:val="20"/>
      <w:szCs w:val="20"/>
    </w:rPr>
  </w:style>
  <w:style w:type="paragraph" w:styleId="Objetducommentaire">
    <w:name w:val="annotation subject"/>
    <w:basedOn w:val="Commentaire"/>
    <w:next w:val="Commentaire"/>
    <w:link w:val="ObjetducommentaireCar"/>
    <w:uiPriority w:val="99"/>
    <w:semiHidden/>
    <w:unhideWhenUsed/>
    <w:rsid w:val="00601789"/>
    <w:rPr>
      <w:b/>
      <w:bCs/>
    </w:rPr>
  </w:style>
  <w:style w:type="character" w:customStyle="1" w:styleId="ObjetducommentaireCar">
    <w:name w:val="Objet du commentaire Car"/>
    <w:basedOn w:val="CommentaireCar"/>
    <w:link w:val="Objetducommentaire"/>
    <w:uiPriority w:val="99"/>
    <w:semiHidden/>
    <w:rsid w:val="00601789"/>
    <w:rPr>
      <w:b/>
      <w:bCs/>
      <w:sz w:val="20"/>
      <w:szCs w:val="20"/>
    </w:rPr>
  </w:style>
  <w:style w:type="paragraph" w:styleId="Rvision">
    <w:name w:val="Revision"/>
    <w:hidden/>
    <w:uiPriority w:val="99"/>
    <w:semiHidden/>
    <w:rsid w:val="006427B6"/>
    <w:pPr>
      <w:spacing w:after="0" w:line="240" w:lineRule="auto"/>
    </w:pPr>
  </w:style>
  <w:style w:type="paragraph" w:styleId="Textedebulles">
    <w:name w:val="Balloon Text"/>
    <w:basedOn w:val="Normal"/>
    <w:link w:val="TextedebullesCar"/>
    <w:uiPriority w:val="99"/>
    <w:semiHidden/>
    <w:unhideWhenUsed/>
    <w:rsid w:val="000D37F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D37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5</Pages>
  <Words>1592</Words>
  <Characters>8760</Characters>
  <Application>Microsoft Office Word</Application>
  <DocSecurity>0</DocSecurity>
  <Lines>73</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simbo.tounkara@eleve.ena.fr</dc:creator>
  <cp:keywords/>
  <dc:description/>
  <cp:lastModifiedBy>simbo.tounkara@eleve.ena.fr</cp:lastModifiedBy>
  <cp:revision>11</cp:revision>
  <dcterms:created xsi:type="dcterms:W3CDTF">2022-08-23T19:06:00Z</dcterms:created>
  <dcterms:modified xsi:type="dcterms:W3CDTF">2022-09-07T10:25:00Z</dcterms:modified>
</cp:coreProperties>
</file>