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0B3D6E"/>
          <w:sz w:val="28"/>
          <w:szCs w:val="28"/>
        </w:rPr>
        <w:t xml:space="preserve">CÔTE D'IVOIRE TERMINAL — PLATEFORME YABA</w:t>
      </w:r>
    </w:p>
    <w:p>
      <w:pPr>
        <w:spacing w:before="400"/>
        <w:jc w:val="center"/>
      </w:pPr>
      <w:r>
        <w:rPr>
          <w:b/>
          <w:bCs/>
          <w:sz w:val="48"/>
          <w:szCs w:val="48"/>
        </w:rPr>
        <w:t xml:space="preserve">Modèle Organisationnel des Traitements (MOT)</w:t>
      </w:r>
    </w:p>
    <w:p>
      <w:pPr>
        <w:spacing w:before="200"/>
        <w:jc w:val="center"/>
      </w:pPr>
      <w:r>
        <w:rPr>
          <w:color w:val="0B3D6E"/>
          <w:sz w:val="30"/>
          <w:szCs w:val="30"/>
        </w:rPr>
        <w:t xml:space="preserve">Processus : traitement d'une demande Import (BL)</w:t>
      </w:r>
    </w:p>
    <w:p>
      <w:pPr>
        <w:spacing w:after="300" w:before="300"/>
        <w:jc w:val="center"/>
      </w:pPr>
      <w:r>
        <w:rPr>
          <w:sz w:val="22"/>
          <w:szCs w:val="22"/>
        </w:rPr>
        <w:t xml:space="preserve">Méthode Merise — Version 1.0 — 28/09/2026</w:t>
      </w:r>
    </w:p>
    <w:p>
      <w:pPr>
        <w:spacing w:after="100"/>
        <w:jc w:val="center"/>
        <w:rPr>
          <w:i/>
          <w:iCs/>
        </w:rPr>
      </w:pPr>
      <w:r>
        <w:rPr>
          <w:i/>
          <w:iCs/>
        </w:rPr>
        <w:t xml:space="preserve">Document reconstitué à partir du code de la plateforme (cas d'usage du module Billing Import) : il décrit le fonctionnement réellement implémenté, et non une cible. Chaque procédure cite le cas d'usage qui la réalise.</w:t>
      </w:r>
    </w:p>
    <w:p>
      <w:r>
        <w:br w:type="page"/>
      </w:r>
    </w:p>
    <w:p>
      <w:pPr>
        <w:pStyle w:val="Heading1"/>
      </w:pPr>
      <w:r>
        <w:t xml:space="preserve">1. Objet et conventions</w:t>
      </w:r>
    </w:p>
    <w:p>
      <w:pPr>
        <w:spacing w:after="100"/>
      </w:pPr>
      <w:r>
        <w:t xml:space="preserve">Le MOT décrit, pour chaque procédure du processus, l'événement qui la déclenche, le poste de travail qui l'exécute, sa nature, ses règles d'émission et les résultats qu'elle produit.</w:t>
      </w:r>
    </w:p>
    <w:p>
      <w:pPr>
        <w:spacing w:after="100"/>
      </w:pPr>
      <w:r>
        <w:t xml:space="preserve">Nature d'une procédure :</w:t>
      </w:r>
    </w:p>
    <w:p>
      <w:pPr>
        <w:pStyle w:val="ListParagraph"/>
        <w:numPr>
          <w:ilvl w:val="0"/>
          <w:numId w:val="2"/>
        </w:numPr>
        <w:spacing w:after="60"/>
      </w:pPr>
      <w:r>
        <w:t xml:space="preserve">C — conversationnelle : un utilisateur agit sur un écran de YABA (homme-machine).</w:t>
      </w:r>
    </w:p>
    <w:p>
      <w:pPr>
        <w:pStyle w:val="ListParagraph"/>
        <w:numPr>
          <w:ilvl w:val="0"/>
          <w:numId w:val="2"/>
        </w:numPr>
        <w:spacing w:after="60"/>
      </w:pPr>
      <w:r>
        <w:t xml:space="preserve">A — automatique : exécutée par le système sans intervention humaine.</w:t>
      </w:r>
    </w:p>
    <w:p>
      <w:pPr>
        <w:pStyle w:val="ListParagraph"/>
        <w:numPr>
          <w:ilvl w:val="0"/>
          <w:numId w:val="2"/>
        </w:numPr>
        <w:spacing w:after="60"/>
      </w:pPr>
      <w:r>
        <w:t xml:space="preserve">M — manuelle : réalisée hors du portail (ex. lettrage dans IRIS).</w:t>
      </w:r>
    </w:p>
    <w:p>
      <w:pPr>
        <w:spacing w:after="100"/>
      </w:pPr>
      <w:r>
        <w:t xml:space="preserve">Dans les tableaux, les procédures automatiques sont sur fond jaune pâle, celles impliquant un système externe sur fond gris.</w:t>
      </w:r>
    </w:p>
    <w:p>
      <w:pPr>
        <w:pStyle w:val="Heading1"/>
      </w:pPr>
      <w:r>
        <w:t xml:space="preserve">2. Postes de travail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3200"/>
        <w:gridCol w:w="3598"/>
      </w:tblGrid>
      <w:tr>
        <w:trPr>
          <w:tblHeader/>
        </w:trPr>
        <w:tc>
          <w:tcPr>
            <w:tcW w:type="dxa" w:w="26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Poste</w:t>
            </w:r>
          </w:p>
        </w:tc>
        <w:tc>
          <w:tcPr>
            <w:tcW w:type="dxa" w:w="60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Rôle</w:t>
            </w:r>
          </w:p>
        </w:tc>
        <w:tc>
          <w:tcPr>
            <w:tcW w:type="dxa" w:w="32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Lieu / support</w:t>
            </w:r>
          </w:p>
        </w:tc>
        <w:tc>
          <w:tcPr>
            <w:tcW w:type="dxa" w:w="3598"/>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Habilitation requise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Client (société)</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Utilisateur d'une société cliente, sur le portail YABA.</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Portail web</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billing_import.soumettre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Pilote Manifeste</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Agent CIT : contrôle du BL et du manifeste.</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File « Pilote Manifeste »</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billing_import.manifeste.instruire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Pilote Facturation</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Agent CIT : édition et dépôt de la facture.</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File « Facturation »</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billing_import.facturation.editer</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Caisse</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Agent CIT : validation de la preuve de paiement (clients Normal).</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File « Validation Paiement »</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billing_import.paiement.valider</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Comptabilité Client</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Agent CIT : lettrage des clients Deposit (dans IRIS), puis confirmation.</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File « Comptabilité Client » + IRIS</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billing_import.comptabilite.confirmer_lettrage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Contrôle documentaire</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Agent CIT : dépôt des pièces de sortie (BS, BADT) et clôture.</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File « Contrôle Documentaire »</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billing_import.controle_documentaire.traiter</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Agents IES</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Deux agents distincts : branche Manifeste IES et branche Contrôle documentaire IES.</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File « File IES »</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billing_import.ies.manifeste.instruire / .controle_documentaire.instruire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Système YABA</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Traitements automatiques : numérotation, aiguillage, SLA, notifications, audit.</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Serveur</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w:t>
            </w:r>
          </w:p>
        </w:tc>
      </w:tr>
      <w:tr>
        <w:trPr>
          <w:cantSplit/>
        </w:trPr>
        <w:tc>
          <w:tcPr>
            <w:tcW w:type="dxa" w:w="2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Systèmes externes</w:t>
            </w:r>
          </w:p>
        </w:tc>
        <w:tc>
          <w:tcPr>
            <w:tcW w:type="dxa" w:w="6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IRIS (comptabilité) et plateforme IES : hors périmètre du portail.</w:t>
            </w:r>
          </w:p>
        </w:tc>
        <w:tc>
          <w:tcPr>
            <w:tcW w:type="dxa" w:w="32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Hors portail</w:t>
            </w:r>
          </w:p>
        </w:tc>
        <w:tc>
          <w:tcPr>
            <w:tcW w:type="dxa" w:w="35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w:t>
            </w:r>
          </w:p>
        </w:tc>
      </w:tr>
    </w:tbl>
    <w:p>
      <w:r>
        <w:br w:type="page"/>
      </w:r>
    </w:p>
    <w:p>
      <w:pPr>
        <w:pStyle w:val="Heading1"/>
      </w:pPr>
      <w:r>
        <w:t xml:space="preserve">3. Tableau des procédures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3100"/>
        <w:gridCol w:w="600"/>
        <w:gridCol w:w="2700"/>
        <w:gridCol w:w="2900"/>
        <w:gridCol w:w="1898"/>
      </w:tblGrid>
      <w:tr>
        <w:trPr>
          <w:tblHeader/>
        </w:trPr>
        <w:tc>
          <w:tcPr>
            <w:tcW w:type="dxa" w:w="7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N°</w:t>
            </w:r>
          </w:p>
        </w:tc>
        <w:tc>
          <w:tcPr>
            <w:tcW w:type="dxa" w:w="20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Événement déclencheur</w:t>
            </w:r>
          </w:p>
        </w:tc>
        <w:tc>
          <w:tcPr>
            <w:tcW w:type="dxa" w:w="15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Poste</w:t>
            </w:r>
          </w:p>
        </w:tc>
        <w:tc>
          <w:tcPr>
            <w:tcW w:type="dxa" w:w="31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Opérations</w:t>
            </w:r>
          </w:p>
        </w:tc>
        <w:tc>
          <w:tcPr>
            <w:tcW w:type="dxa" w:w="6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Nat.</w:t>
            </w:r>
          </w:p>
        </w:tc>
        <w:tc>
          <w:tcPr>
            <w:tcW w:type="dxa" w:w="27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Règles d'émission / conditions</w:t>
            </w:r>
          </w:p>
        </w:tc>
        <w:tc>
          <w:tcPr>
            <w:tcW w:type="dxa" w:w="29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Résultats (événements produits)</w:t>
            </w:r>
          </w:p>
        </w:tc>
        <w:tc>
          <w:tcPr>
            <w:tcW w:type="dxa" w:w="1898"/>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Réalisé par</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P1</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Arrivée d'un conteneur : le client dispose de son BL</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Client</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Saisir un ou plusieurs n° de BL ; déposer les pièces (déclaration en douane, copie du BL, autres) ; soumettre</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Société active et droit de soumission ; un BL ne peut avoir deux demandes en cours ; pièces obligatoires présentes</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Dossier et ticket numérotés ; ticket en file « Pilote Manifeste » ; statut « En attente de prise en charge »</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SoumettreDemandeImportCommand (IMP-01)</w:t>
            </w:r>
          </w:p>
        </w:tc>
      </w:tr>
      <w:tr>
        <w:trPr>
          <w:cantSplit/>
        </w:trPr>
        <w:tc>
          <w:tcPr>
            <w:tcW w:type="dxa" w:w="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center"/>
            </w:pPr>
            <w:r>
              <w:rPr>
                <w:b/>
                <w:bCs/>
                <w:sz w:val="16"/>
                <w:szCs w:val="16"/>
              </w:rPr>
              <w:t xml:space="preserve">P2</w:t>
            </w:r>
          </w:p>
        </w:tc>
        <w:tc>
          <w:tcPr>
            <w:tcW w:type="dxa" w:w="20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Ticket arrivé en file</w:t>
            </w:r>
          </w:p>
        </w:tc>
        <w:tc>
          <w:tcPr>
            <w:tcW w:type="dxa" w:w="15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Système YABA</w:t>
            </w:r>
          </w:p>
        </w:tc>
        <w:tc>
          <w:tcPr>
            <w:tcW w:type="dxa" w:w="31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Horodater ; attribuer la priorité automatique ; démarrer le SLA ; affecter selon la stratégie de la file ; notifier</w:t>
            </w:r>
          </w:p>
        </w:tc>
        <w:tc>
          <w:tcPr>
            <w:tcW w:type="dxa" w:w="6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A</w:t>
            </w:r>
          </w:p>
        </w:tc>
        <w:tc>
          <w:tcPr>
            <w:tcW w:type="dxa" w:w="2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Règles de priorité automatique ; stratégie de file (prise libre, round-robin, charge, compétence…)</w:t>
            </w:r>
          </w:p>
        </w:tc>
        <w:tc>
          <w:tcPr>
            <w:tcW w:type="dxa" w:w="29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Ticket visible par les agents de la file ; notification au client</w:t>
            </w:r>
          </w:p>
        </w:tc>
        <w:tc>
          <w:tcPr>
            <w:tcW w:type="dxa" w:w="1898"/>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Workflow, SLA, notifications</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P3</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disponible dans la file</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Pilote Manifeste</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Prendre en charge ; contrôler le BL et le manifeste ; ouvrir les pièces en aperçu</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Habilitation « manifeste » ; un seul agent par ticket</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 En cours », affecté à l'agent ; décision attendue (P4, P5 ou P6)</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PrendreEnChargeCommand</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P4</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Contrôle conforme</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Pilote Manifeste</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Valider le BL</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Aiguillage automatique (P7)</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ValiderTicketImportCommand (IMP-06)</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P5</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Information ou pièce manquante</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Pilote Manifeste</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Demander un complément en précisant les éléments attendus</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Motif obligatoire</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Statut « En attente client » ; SLA suspendu ; client notifié → P5bis</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GestionComplementManifesteCommand (IMP-05)</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P5bis</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Complément demandé</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Client</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Répondre et déposer la pièce demandée</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de sa société</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revient au Pilote Manifeste ; SLA repris → P3</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GestionComplementManifesteCommand</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P6</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Demande non conforme</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Pilote Manifeste</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Rejeter en indiquant le motif</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Motif obligatoire</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 Annulé » (rejet manifeste, distinct d'une annulation client) ; client notifié. FIN</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RejeterTicketImportCommand (IMP-04)</w:t>
            </w:r>
          </w:p>
        </w:tc>
      </w:tr>
      <w:tr>
        <w:trPr>
          <w:cantSplit/>
        </w:trPr>
        <w:tc>
          <w:tcPr>
            <w:tcW w:type="dxa" w:w="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center"/>
            </w:pPr>
            <w:r>
              <w:rPr>
                <w:b/>
                <w:bCs/>
                <w:sz w:val="16"/>
                <w:szCs w:val="16"/>
              </w:rPr>
              <w:t xml:space="preserve">P7</w:t>
            </w:r>
          </w:p>
        </w:tc>
        <w:tc>
          <w:tcPr>
            <w:tcW w:type="dxa" w:w="20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BL validé</w:t>
            </w:r>
          </w:p>
        </w:tc>
        <w:tc>
          <w:tcPr>
            <w:tcW w:type="dxa" w:w="15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Système YABA</w:t>
            </w:r>
          </w:p>
        </w:tc>
        <w:tc>
          <w:tcPr>
            <w:tcW w:type="dxa" w:w="31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Aiguiller selon le type de client de la société</w:t>
            </w:r>
          </w:p>
        </w:tc>
        <w:tc>
          <w:tcPr>
            <w:tcW w:type="dxa" w:w="6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A</w:t>
            </w:r>
          </w:p>
        </w:tc>
        <w:tc>
          <w:tcPr>
            <w:tcW w:type="dxa" w:w="2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Type IES → circuit IES (P15) ; tout autre type → Facturation (P8)</w:t>
            </w:r>
          </w:p>
        </w:tc>
        <w:tc>
          <w:tcPr>
            <w:tcW w:type="dxa" w:w="29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Ticket transféré dans la file cible ; notifié</w:t>
            </w:r>
          </w:p>
        </w:tc>
        <w:tc>
          <w:tcPr>
            <w:tcW w:type="dxa" w:w="1898"/>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ValiderTicketImportCommand</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P8</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en file Facturation</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Client (facultatif)</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Demander la facture</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Signal sans transition de file</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Demande tracée, visible du Pilote Facturation</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DemanderFactureCommand (IMP-10)</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P9</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en file Facturation</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Pilote Facturation</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Établir et déposer la facture (grille tarifaire en vigueur)</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Habilitation « facturation »</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Aiguillage automatique selon le type de client (P10)</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EditerFactureCommand</w:t>
            </w:r>
          </w:p>
        </w:tc>
      </w:tr>
      <w:tr>
        <w:trPr>
          <w:cantSplit/>
        </w:trPr>
        <w:tc>
          <w:tcPr>
            <w:tcW w:type="dxa" w:w="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center"/>
            </w:pPr>
            <w:r>
              <w:rPr>
                <w:b/>
                <w:bCs/>
                <w:sz w:val="16"/>
                <w:szCs w:val="16"/>
              </w:rPr>
              <w:t xml:space="preserve">P10</w:t>
            </w:r>
          </w:p>
        </w:tc>
        <w:tc>
          <w:tcPr>
            <w:tcW w:type="dxa" w:w="20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Facture déposée</w:t>
            </w:r>
          </w:p>
        </w:tc>
        <w:tc>
          <w:tcPr>
            <w:tcW w:type="dxa" w:w="15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Système YABA</w:t>
            </w:r>
          </w:p>
        </w:tc>
        <w:tc>
          <w:tcPr>
            <w:tcW w:type="dxa" w:w="31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Aiguiller selon le type de client</w:t>
            </w:r>
          </w:p>
        </w:tc>
        <w:tc>
          <w:tcPr>
            <w:tcW w:type="dxa" w:w="6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A</w:t>
            </w:r>
          </w:p>
        </w:tc>
        <w:tc>
          <w:tcPr>
            <w:tcW w:type="dxa" w:w="2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Normal → Validation Paiement (P11) ; En compte → Contrôle documentaire, sans paiement (P14, IMP-21) ; Deposit → Comptabilité Client (P13)</w:t>
            </w:r>
          </w:p>
        </w:tc>
        <w:tc>
          <w:tcPr>
            <w:tcW w:type="dxa" w:w="29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Ticket transféré ; client notifié</w:t>
            </w:r>
          </w:p>
        </w:tc>
        <w:tc>
          <w:tcPr>
            <w:tcW w:type="dxa" w:w="1898"/>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EditerFactureCommand</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P11</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Facture à régler (client Normal)</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Client</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Payer puis déposer la preuve de paiement</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Preuve jointe au ticket → P12</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DeposerPreuvePaiementCommand (IMP-12)</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P12</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Preuve de paiement déposée</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Caisse</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Contrôler la preuve ; valider l'encaissement, ou refuser avec motif</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Motif obligatoire en cas de refus</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Validée → Contrôle documentaire (P14). Refusée → « En attente client », SLA suspendu → P11</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ValiderPreuvePaiementCommand (IMP-13)</w:t>
            </w:r>
          </w:p>
        </w:tc>
      </w:tr>
      <w:tr>
        <w:trPr>
          <w:cantSplit/>
        </w:trPr>
        <w:tc>
          <w:tcPr>
            <w:tcW w:type="dxa" w:w="7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center"/>
            </w:pPr>
            <w:r>
              <w:rPr>
                <w:b/>
                <w:bCs/>
                <w:sz w:val="16"/>
                <w:szCs w:val="16"/>
              </w:rPr>
              <w:t xml:space="preserve">P13</w:t>
            </w:r>
          </w:p>
        </w:tc>
        <w:tc>
          <w:tcPr>
            <w:tcW w:type="dxa" w:w="20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Facture d'un client Deposit</w:t>
            </w:r>
          </w:p>
        </w:tc>
        <w:tc>
          <w:tcPr>
            <w:tcW w:type="dxa" w:w="15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Comptabilité Client</w:t>
            </w:r>
          </w:p>
        </w:tc>
        <w:tc>
          <w:tcPr>
            <w:tcW w:type="dxa" w:w="31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Effectuer le lettrage dans IRIS (hors portail), puis confirmer le lettrage sur YABA</w:t>
            </w:r>
          </w:p>
        </w:tc>
        <w:tc>
          <w:tcPr>
            <w:tcW w:type="dxa" w:w="6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M + C</w:t>
            </w:r>
          </w:p>
        </w:tc>
        <w:tc>
          <w:tcPr>
            <w:tcW w:type="dxa" w:w="27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Lettrage impossible : le ticket reste dans la file jusqu'à résolution manuelle (pas de retour automatique)</w:t>
            </w:r>
          </w:p>
        </w:tc>
        <w:tc>
          <w:tcPr>
            <w:tcW w:type="dxa" w:w="29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Lettrage confirmé → Contrôle documentaire (P14)</w:t>
            </w:r>
          </w:p>
        </w:tc>
        <w:tc>
          <w:tcPr>
            <w:tcW w:type="dxa" w:w="1898"/>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ConfirmerLettrageCommand (IMP-31)</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P14</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Paiement validé, lettrage confirmé ou client En compte</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Contrôle documentaire</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Déposer les pièces de sortie (BS, BADT…) et clôturer</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Liste des pièces paramétrable</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Ticket « Clôturé », en lecture seule ; client notifié. FIN</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DeposerDocumentsControleEtCloturerCommand (IMP-14)</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P14bis</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Le client souhaite finaliser sur place</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Client</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Déclarer une finalisation au Billing Office et réserver un créneau</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Facultatif</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Rendez-vous réservé au guichet ; ticket marqué « présentiel »</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DeclarerFinalisationPresentielleCommand (IMP-15)</w:t>
            </w:r>
          </w:p>
        </w:tc>
      </w:tr>
      <w:tr>
        <w:trPr>
          <w:cantSplit/>
        </w:trPr>
        <w:tc>
          <w:tcPr>
            <w:tcW w:type="dxa" w:w="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P15</w:t>
            </w:r>
          </w:p>
        </w:tc>
        <w:tc>
          <w:tcPr>
            <w:tcW w:type="dxa" w:w="2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BL validé d'un client IES</w:t>
            </w:r>
          </w:p>
        </w:tc>
        <w:tc>
          <w:tcPr>
            <w:tcW w:type="dxa" w:w="15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Agents IES</w:t>
            </w:r>
          </w:p>
        </w:tc>
        <w:tc>
          <w:tcPr>
            <w:tcW w:type="dxa" w:w="31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Instruire en parallèle la branche Manifeste IES et la branche Contrôle documentaire IES</w:t>
            </w:r>
          </w:p>
        </w:tc>
        <w:tc>
          <w:tcPr>
            <w:tcW w:type="dxa" w:w="6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w:t>
            </w:r>
          </w:p>
        </w:tc>
        <w:tc>
          <w:tcPr>
            <w:tcW w:type="dxa" w:w="27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Une habilitation par branche : un agent ne voit ni n'agit sur la branche dont il n'a pas le droit</w:t>
            </w:r>
          </w:p>
        </w:tc>
        <w:tc>
          <w:tcPr>
            <w:tcW w:type="dxa" w:w="29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Chaque branche achevée séparément → P16</w:t>
            </w:r>
          </w:p>
        </w:tc>
        <w:tc>
          <w:tcPr>
            <w:tcW w:type="dxa" w:w="18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InstruireBrancheIesCommand (IMP-40)</w:t>
            </w:r>
          </w:p>
        </w:tc>
      </w:tr>
      <w:tr>
        <w:trPr>
          <w:cantSplit/>
        </w:trPr>
        <w:tc>
          <w:tcPr>
            <w:tcW w:type="dxa" w:w="7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center"/>
            </w:pPr>
            <w:r>
              <w:rPr>
                <w:b/>
                <w:bCs/>
                <w:sz w:val="16"/>
                <w:szCs w:val="16"/>
              </w:rPr>
              <w:t xml:space="preserve">P16</w:t>
            </w:r>
          </w:p>
        </w:tc>
        <w:tc>
          <w:tcPr>
            <w:tcW w:type="dxa" w:w="20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Les deux branches IES achevées</w:t>
            </w:r>
          </w:p>
        </w:tc>
        <w:tc>
          <w:tcPr>
            <w:tcW w:type="dxa" w:w="15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Agents IES</w:t>
            </w:r>
          </w:p>
        </w:tc>
        <w:tc>
          <w:tcPr>
            <w:tcW w:type="dxa" w:w="31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Constater la jointure ; la finalisation métier (facture, paiement, documents) se fait sur la plateforme IES externe</w:t>
            </w:r>
          </w:p>
        </w:tc>
        <w:tc>
          <w:tcPr>
            <w:tcW w:type="dxa" w:w="6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C + externe</w:t>
            </w:r>
          </w:p>
        </w:tc>
        <w:tc>
          <w:tcPr>
            <w:tcW w:type="dxa" w:w="27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Jamais de clôture avant que les deux branches soient achevées</w:t>
            </w:r>
          </w:p>
        </w:tc>
        <w:tc>
          <w:tcPr>
            <w:tcW w:type="dxa" w:w="2900"/>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Ticket « Clôturé » sur le portail. FIN</w:t>
            </w:r>
          </w:p>
        </w:tc>
        <w:tc>
          <w:tcPr>
            <w:tcW w:type="dxa" w:w="1898"/>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left"/>
            </w:pPr>
            <w:r>
              <w:rPr>
                <w:b w:val="false"/>
                <w:bCs w:val="false"/>
                <w:sz w:val="16"/>
                <w:szCs w:val="16"/>
              </w:rPr>
              <w:t xml:space="preserve">ConstaterJointureIesEtFinaliserCommand (IMP-41/42)</w:t>
            </w:r>
          </w:p>
        </w:tc>
      </w:tr>
      <w:tr>
        <w:trPr>
          <w:cantSplit/>
        </w:trPr>
        <w:tc>
          <w:tcPr>
            <w:tcW w:type="dxa" w:w="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center"/>
            </w:pPr>
            <w:r>
              <w:rPr>
                <w:b/>
                <w:bCs/>
                <w:sz w:val="16"/>
                <w:szCs w:val="16"/>
              </w:rPr>
              <w:t xml:space="preserve">T</w:t>
            </w:r>
          </w:p>
        </w:tc>
        <w:tc>
          <w:tcPr>
            <w:tcW w:type="dxa" w:w="20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Tout changement d'état</w:t>
            </w:r>
          </w:p>
        </w:tc>
        <w:tc>
          <w:tcPr>
            <w:tcW w:type="dxa" w:w="15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Système YABA</w:t>
            </w:r>
          </w:p>
        </w:tc>
        <w:tc>
          <w:tcPr>
            <w:tcW w:type="dxa" w:w="31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Horodater (heure d'Abidjan) ; tracer au journal d'audit ; notifier ; surveiller le SLA et escalader si seuil franchi ; archiver après clôture</w:t>
            </w:r>
          </w:p>
        </w:tc>
        <w:tc>
          <w:tcPr>
            <w:tcW w:type="dxa" w:w="6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A</w:t>
            </w:r>
          </w:p>
        </w:tc>
        <w:tc>
          <w:tcPr>
            <w:tcW w:type="dxa" w:w="27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Règles de diffusion, paramètres SLA, règles d'escalade</w:t>
            </w:r>
          </w:p>
        </w:tc>
        <w:tc>
          <w:tcPr>
            <w:tcW w:type="dxa" w:w="2900"/>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Historique complet du dossier ; alertes superviseur</w:t>
            </w:r>
          </w:p>
        </w:tc>
        <w:tc>
          <w:tcPr>
            <w:tcW w:type="dxa" w:w="1898"/>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left"/>
            </w:pPr>
            <w:r>
              <w:rPr>
                <w:b w:val="false"/>
                <w:bCs w:val="false"/>
                <w:sz w:val="16"/>
                <w:szCs w:val="16"/>
              </w:rPr>
              <w:t xml:space="preserve">Journalisation, SLA, notifications</w:t>
            </w:r>
          </w:p>
        </w:tc>
      </w:tr>
    </w:tbl>
    <w:p>
      <w:r>
        <w:br w:type="page"/>
      </w:r>
    </w:p>
    <w:p>
      <w:pPr>
        <w:pStyle w:val="Heading1"/>
      </w:pPr>
      <w:r>
        <w:t xml:space="preserve">4. Représentation par poste (chronologie)</w:t>
      </w:r>
    </w:p>
    <w:p>
      <w:pPr>
        <w:spacing w:after="100"/>
      </w:pPr>
      <w:r>
        <w:t xml:space="preserve">Lecture de haut en bas : chaque ligne est une procédure, placée dans la colonne du poste qui l'exécute.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837"/>
        <w:gridCol w:w="1837"/>
        <w:gridCol w:w="1837"/>
        <w:gridCol w:w="1837"/>
        <w:gridCol w:w="1837"/>
        <w:gridCol w:w="1837"/>
        <w:gridCol w:w="1837"/>
        <w:gridCol w:w="1837"/>
      </w:tblGrid>
      <w:tr>
        <w:trPr>
          <w:tblHeader/>
        </w:trPr>
        <w:tc>
          <w:tcPr>
            <w:tcW w:type="dxa" w:w="7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N°</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Client</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Pilote Manifeste</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Pilote Facturation</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Caisse</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Comptabilité Client</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Contrôle documentaire</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Agents IES</w:t>
            </w:r>
          </w:p>
        </w:tc>
        <w:tc>
          <w:tcPr>
            <w:tcW w:type="dxa" w:w="1837"/>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Système YABA</w:t>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w:t>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Soumettre la demande</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P2</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center"/>
            </w:pPr>
            <w:r>
              <w:rPr>
                <w:b/>
                <w:bCs/>
                <w:sz w:val="16"/>
                <w:szCs w:val="16"/>
              </w:rPr>
              <w:t xml:space="preserve">Priorité, SLA, affectation</w:t>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P3</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Prendre en charge</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P4</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Valider le BL</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P5</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Demander un complément</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P5bis</w:t>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Répondre au complément</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P6</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Rejeter (FIN)</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P7</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center"/>
            </w:pPr>
            <w:r>
              <w:rPr>
                <w:b/>
                <w:bCs/>
                <w:sz w:val="16"/>
                <w:szCs w:val="16"/>
              </w:rPr>
              <w:t xml:space="preserve">Aiguiller : IES ou Facturation</w:t>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P8</w:t>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Demander la facture</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P9</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Déposer la facture</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P10</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FFF4D6" w:color="auto" w:val="clear"/>
            <w:tcMar>
              <w:top w:type="dxa" w:w="50"/>
              <w:left w:type="dxa" w:w="80"/>
              <w:bottom w:type="dxa" w:w="50"/>
              <w:right w:type="dxa" w:w="80"/>
            </w:tcMar>
          </w:tcPr>
          <w:p>
            <w:pPr>
              <w:jc w:val="center"/>
            </w:pPr>
            <w:r>
              <w:rPr>
                <w:b/>
                <w:bCs/>
                <w:sz w:val="16"/>
                <w:szCs w:val="16"/>
              </w:rPr>
              <w:t xml:space="preserve">Aiguiller par type de client</w:t>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P11</w:t>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Déposer la preuve de paiement</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P12</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Valider / refuser le paiement</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P13</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center"/>
            </w:pPr>
            <w:r>
              <w:rPr>
                <w:b/>
                <w:bCs/>
                <w:sz w:val="16"/>
                <w:szCs w:val="16"/>
              </w:rPr>
              <w:t xml:space="preserve">Lettrage IRIS + confirmer</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P14</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Pièces de sortie + clôturer (FIN)</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P14bis</w:t>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Finalisation au guichet</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P15</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Instruire les 2 branches IES</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r>
        <w:trPr>
          <w:cantSplit/>
        </w:trPr>
        <w:tc>
          <w:tcPr>
            <w:tcW w:type="dxa" w:w="700"/>
            <w:tcBorders>
              <w:top w:val="single" w:color="B8C4D0" w:sz="4"/>
              <w:left w:val="single" w:color="B8C4D0" w:sz="4"/>
              <w:bottom w:val="single" w:color="B8C4D0" w:sz="4"/>
              <w:right w:val="single" w:color="B8C4D0" w:sz="4"/>
            </w:tcBorders>
            <w:shd w:fill="EAF1F8" w:color="auto" w:val="clear"/>
            <w:tcMar>
              <w:top w:type="dxa" w:w="50"/>
              <w:left w:type="dxa" w:w="80"/>
              <w:bottom w:type="dxa" w:w="50"/>
              <w:right w:type="dxa" w:w="80"/>
            </w:tcMar>
          </w:tcPr>
          <w:p>
            <w:pPr>
              <w:jc w:val="center"/>
            </w:pPr>
            <w:r>
              <w:rPr>
                <w:b/>
                <w:bCs/>
                <w:sz w:val="16"/>
                <w:szCs w:val="16"/>
              </w:rPr>
              <w:t xml:space="preserve">P16</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c>
          <w:tcPr>
            <w:tcW w:type="dxa" w:w="1837"/>
            <w:tcBorders>
              <w:top w:val="single" w:color="B8C4D0" w:sz="4"/>
              <w:left w:val="single" w:color="B8C4D0" w:sz="4"/>
              <w:bottom w:val="single" w:color="B8C4D0" w:sz="4"/>
              <w:right w:val="single" w:color="B8C4D0" w:sz="4"/>
            </w:tcBorders>
            <w:shd w:fill="EDEDED" w:color="auto" w:val="clear"/>
            <w:tcMar>
              <w:top w:type="dxa" w:w="50"/>
              <w:left w:type="dxa" w:w="80"/>
              <w:bottom w:type="dxa" w:w="50"/>
              <w:right w:type="dxa" w:w="80"/>
            </w:tcMar>
          </w:tcPr>
          <w:p>
            <w:pPr>
              <w:jc w:val="center"/>
            </w:pPr>
            <w:r>
              <w:rPr>
                <w:b/>
                <w:bCs/>
                <w:sz w:val="16"/>
                <w:szCs w:val="16"/>
              </w:rPr>
              <w:t xml:space="preserve">Jointure + clôture (FIN)</w:t>
            </w:r>
          </w:p>
        </w:tc>
        <w:tc>
          <w:tcPr>
            <w:tcW w:type="dxa" w:w="1837"/>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
            </w:r>
          </w:p>
        </w:tc>
      </w:tr>
    </w:tbl>
    <w:p>
      <w:pPr>
        <w:spacing w:after="100"/>
      </w:pPr>
      <w:r>
        <w:t xml:space="preserve"/>
      </w:r>
    </w:p>
    <w:p>
      <w:pPr>
        <w:spacing w:after="100"/>
      </w:pPr>
      <w:r>
        <w:t xml:space="preserve">Transversal (procédure T) : à chaque changement d'état, le système horodate, trace au journal d'audit, notifie, surveille le SLA et escalade si nécessaire.</w:t>
      </w:r>
    </w:p>
    <w:p>
      <w:pPr>
        <w:pStyle w:val="Heading1"/>
      </w:pPr>
      <w:r>
        <w:t xml:space="preserve">5. Chemins selon le type de client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Type de client</w:t>
            </w:r>
          </w:p>
        </w:tc>
        <w:tc>
          <w:tcPr>
            <w:tcW w:type="dxa" w:w="12398"/>
            <w:tcBorders>
              <w:top w:val="single" w:color="B8C4D0" w:sz="4"/>
              <w:left w:val="single" w:color="B8C4D0" w:sz="4"/>
              <w:bottom w:val="single" w:color="B8C4D0" w:sz="4"/>
              <w:right w:val="single" w:color="B8C4D0" w:sz="4"/>
            </w:tcBorders>
            <w:shd w:fill="0B3D6E" w:color="auto" w:val="clear"/>
            <w:tcMar>
              <w:top w:type="dxa" w:w="50"/>
              <w:left w:type="dxa" w:w="80"/>
              <w:bottom w:type="dxa" w:w="50"/>
              <w:right w:type="dxa" w:w="80"/>
            </w:tcMar>
          </w:tcPr>
          <w:p>
            <w:pPr>
              <w:jc w:val="left"/>
            </w:pPr>
            <w:r>
              <w:rPr>
                <w:b/>
                <w:bCs/>
                <w:color w:val="FFFFFF"/>
                <w:sz w:val="16"/>
                <w:szCs w:val="16"/>
              </w:rPr>
              <w:t xml:space="preserve">Chemin des procédures</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Normal</w:t>
            </w:r>
          </w:p>
        </w:tc>
        <w:tc>
          <w:tcPr>
            <w:tcW w:type="dxa" w:w="123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P1 → P2 → P3 → P4 → P7 → P9 → P10 → P11 → P12 → P14</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En compte</w:t>
            </w:r>
          </w:p>
        </w:tc>
        <w:tc>
          <w:tcPr>
            <w:tcW w:type="dxa" w:w="123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P1 → P2 → P3 → P4 → P7 → P9 → P10 → P14 (pas de paiement à chaque dossier)</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Deposit</w:t>
            </w:r>
          </w:p>
        </w:tc>
        <w:tc>
          <w:tcPr>
            <w:tcW w:type="dxa" w:w="123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P1 → P2 → P3 → P4 → P7 → P9 → P10 → P13 → P14</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IES</w:t>
            </w:r>
          </w:p>
        </w:tc>
        <w:tc>
          <w:tcPr>
            <w:tcW w:type="dxa" w:w="123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P1 → P2 → P3 → P4 → P7 → P15 → P16</w:t>
            </w:r>
          </w:p>
        </w:tc>
      </w:tr>
      <w:tr>
        <w:trPr>
          <w:cantSplit/>
        </w:trPr>
        <w:tc>
          <w:tcPr>
            <w:tcW w:type="dxa" w:w="3000"/>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center"/>
            </w:pPr>
            <w:r>
              <w:rPr>
                <w:b/>
                <w:bCs/>
                <w:sz w:val="16"/>
                <w:szCs w:val="16"/>
              </w:rPr>
              <w:t xml:space="preserve">Tous</w:t>
            </w:r>
          </w:p>
        </w:tc>
        <w:tc>
          <w:tcPr>
            <w:tcW w:type="dxa" w:w="12398"/>
            <w:tcBorders>
              <w:top w:val="single" w:color="B8C4D0" w:sz="4"/>
              <w:left w:val="single" w:color="B8C4D0" w:sz="4"/>
              <w:bottom w:val="single" w:color="B8C4D0" w:sz="4"/>
              <w:right w:val="single" w:color="B8C4D0" w:sz="4"/>
            </w:tcBorders>
            <w:tcMar>
              <w:top w:type="dxa" w:w="50"/>
              <w:left w:type="dxa" w:w="80"/>
              <w:bottom w:type="dxa" w:w="50"/>
              <w:right w:type="dxa" w:w="80"/>
            </w:tcMar>
          </w:tcPr>
          <w:p>
            <w:pPr>
              <w:jc w:val="left"/>
            </w:pPr>
            <w:r>
              <w:rPr>
                <w:b w:val="false"/>
                <w:bCs w:val="false"/>
                <w:sz w:val="16"/>
                <w:szCs w:val="16"/>
              </w:rPr>
              <w:t xml:space="preserve">Boucles possibles : P5 ↔ P5bis (complément), P12 refusé → P11 ; fin anticipée par P6 (rejet)</w:t>
            </w:r>
          </w:p>
        </w:tc>
      </w:tr>
    </w:tbl>
    <w:p>
      <w:pPr>
        <w:pStyle w:val="Heading1"/>
      </w:pPr>
      <w:r>
        <w:t xml:space="preserve">6. Points ouverts et constats</w:t>
      </w:r>
    </w:p>
    <w:p>
      <w:pPr>
        <w:pStyle w:val="ListParagraph"/>
        <w:numPr>
          <w:ilvl w:val="0"/>
          <w:numId w:val="2"/>
        </w:numPr>
        <w:spacing w:after="60"/>
      </w:pPr>
      <w:r>
        <w:t xml:space="preserve">Le lettrage des clients Deposit et la finalisation IES se font hors portail (IRIS, plateforme IES) : aucune intégration à ce jour. Les futures API Navis pourraient enrichir le suivi (position du conteneur, disponibilité).</w:t>
      </w:r>
    </w:p>
    <w:p>
      <w:pPr>
        <w:pStyle w:val="ListParagraph"/>
        <w:numPr>
          <w:ilvl w:val="0"/>
          <w:numId w:val="2"/>
        </w:numPr>
        <w:spacing w:after="60"/>
      </w:pPr>
      <w:r>
        <w:t xml:space="preserve">La liste des pièces de sortie (BS, BADT…) et le rôle exact de la Caisse sont paramétrables, non figés dans le code (points PC-08 et PC-03 du cahier des charges).</w:t>
      </w:r>
    </w:p>
    <w:p>
      <w:pPr>
        <w:pStyle w:val="ListParagraph"/>
        <w:numPr>
          <w:ilvl w:val="0"/>
          <w:numId w:val="2"/>
        </w:numPr>
        <w:spacing w:after="60"/>
      </w:pPr>
      <w:r>
        <w:t xml:space="preserve">Écart documentaire : le cahier de recette v1.3 et les guides de test placent le contrôle documentaire juste après le manifeste, avant la facturation. Dans l'application, il est la dernière étape (pièces de sortie et clôture). Ces documents sont à corriger.</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MOT Traitement d'une demande Import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color w:val="0B3D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 — Traitement d'une demande Import</dc:title>
  <dc:creator>Équipe projet YABA</dc:creator>
  <cp:lastModifiedBy>Un-named</cp:lastModifiedBy>
  <cp:revision>1</cp:revision>
  <dcterms:created xsi:type="dcterms:W3CDTF">2026-09-28T10:05:49.292Z</dcterms:created>
  <dcterms:modified xsi:type="dcterms:W3CDTF">2026-09-28T10:05:49.293Z</dcterms:modified>
</cp:coreProperties>
</file>

<file path=docProps/custom.xml><?xml version="1.0" encoding="utf-8"?>
<Properties xmlns="http://schemas.openxmlformats.org/officeDocument/2006/custom-properties" xmlns:vt="http://schemas.openxmlformats.org/officeDocument/2006/docPropsVTypes"/>
</file>