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Commerce extérieur et balance des paiements : lecture 2024</w:t>
      </w:r>
    </w:p>
    <w:p>
      <w:r>
        <w:t>Auteur : Ibrahima Sow</w:t>
      </w:r>
    </w:p>
    <w:p>
      <w:r>
        <w:t>Document d'exemple RPAE — DNPEC (démonstration).</w:t>
      </w:r>
    </w:p>
    <w:p>
      <w:r>
        <w:t>Synthèse des flux commerciaux et des comptes de la balance des paiements, avec focus sur les termes de l'échange.</w:t>
      </w:r>
    </w:p>
    <w:sectPr/>
  </w:body>
</w:document>
</file>

<file path=word/_rels/document.xml.rels><?xml version="1.0" encoding="UTF-8" standalone="yes"?>
<Relationships xmlns="http://schemas.openxmlformats.org/package/2006/relationships"/>
</file>