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Inflation et pouvoir d'achat en Guinée : une analyse conjoncturelle</w:t>
      </w:r>
    </w:p>
    <w:p>
      <w:r>
        <w:t>Auteur : Aïssatou Diallo</w:t>
      </w:r>
    </w:p>
    <w:p>
      <w:r>
        <w:t>Document d'exemple RPAE — DNPEC (démonstration).</w:t>
      </w:r>
    </w:p>
    <w:p>
      <w:r>
        <w:t>Cette étude examine la dynamique de l'inflation guinéenne et ses effets sur le pouvoir d'achat des ménages entre 2023 et 2025.</w:t>
      </w:r>
    </w:p>
    <w:sectPr/>
  </w:body>
</w:document>
</file>

<file path=word/_rels/document.xml.rels><?xml version="1.0" encoding="UTF-8" standalone="yes"?>
<Relationships xmlns="http://schemas.openxmlformats.org/package/2006/relationships"/>
</file>