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Intégration régionale et commerce intra-CEDEAO</w:t>
      </w:r>
    </w:p>
    <w:p>
      <w:r>
        <w:t>Auteur : Aminata Condé</w:t>
      </w:r>
    </w:p>
    <w:p>
      <w:r>
        <w:t>Document d'exemple RPAE — DNPEC (démonstration).</w:t>
      </w:r>
    </w:p>
    <w:p>
      <w:r>
        <w:t>Article en attente de relecture — opportunités et freins au commerce intra-communautaire.</w:t>
      </w:r>
    </w:p>
    <w:sectPr/>
  </w:body>
</w:document>
</file>

<file path=word/_rels/document.xml.rels><?xml version="1.0" encoding="UTF-8" standalone="yes"?>
<Relationships xmlns="http://schemas.openxmlformats.org/package/2006/relationships"/>
</file>