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Politique monétaire et stabilité des prix : enjeux pour 2026</w:t>
      </w:r>
    </w:p>
    <w:p>
      <w:r>
        <w:t>Auteur : Sekou Touré</w:t>
      </w:r>
    </w:p>
    <w:p>
      <w:r>
        <w:t>Document d'exemple RPAE — DNPEC (démonstration).</w:t>
      </w:r>
    </w:p>
    <w:p>
      <w:r>
        <w:t>Proposition d'article soumis au comité — analyse des canaux de transmission monétaire en Guinée.</w:t>
      </w:r>
    </w:p>
    <w:sectPr/>
  </w:body>
</w:document>
</file>

<file path=word/_rels/document.xml.rels><?xml version="1.0" encoding="UTF-8" standalone="yes"?>
<Relationships xmlns="http://schemas.openxmlformats.org/package/2006/relationships"/>
</file>