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Secteur minier et recettes fiscales : quels leviers pour l'État ?</w:t>
      </w:r>
    </w:p>
    <w:p>
      <w:r>
        <w:t>Auteur : Fatoumata Bah</w:t>
      </w:r>
    </w:p>
    <w:p>
      <w:r>
        <w:t>Document d'exemple RPAE — DNPEC (démonstration).</w:t>
      </w:r>
    </w:p>
    <w:p>
      <w:r>
        <w:t>Contribution sur le lien entre exploitation minière, fiscalité et capacité de financement des politiques publiques.</w:t>
      </w:r>
    </w:p>
    <w:sectPr/>
  </w:body>
</w:document>
</file>

<file path=word/_rels/document.xml.rels><?xml version="1.0" encoding="UTF-8" standalone="yes"?>
<Relationships xmlns="http://schemas.openxmlformats.org/package/2006/relationships"/>
</file>