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666666"/>
          <w:sz w:val="24"/>
          <w:szCs w:val="24"/>
        </w:rPr>
        <w:t xml:space="preserve">RÉPUBLIQUE DE GUINÉE</w:t>
      </w:r>
    </w:p>
    <w:p>
      <w:pPr>
        <w:jc w:val="center"/>
      </w:pPr>
      <w:r>
        <w:rPr>
          <w:i/>
          <w:iCs/>
          <w:color w:val="888888"/>
          <w:sz w:val="20"/>
          <w:szCs w:val="20"/>
        </w:rPr>
        <w:t xml:space="preserve">Travail — Justice — Solidarité</w:t>
      </w:r>
    </w:p>
    <w:p>
      <w:pPr>
        <w:spacing w:before="200"/>
        <w:jc w:val="center"/>
      </w:pPr>
      <w:r>
        <w:rPr>
          <w:color w:val="666666"/>
          <w:sz w:val="22"/>
          <w:szCs w:val="22"/>
        </w:rPr>
        <w:t xml:space="preserve">Ministère de l'Économie, des Finances et du Budget</w:t>
      </w:r>
    </w:p>
    <w:p>
      <w:pPr>
        <w:jc w:val="center"/>
      </w:pPr>
      <w:r>
        <w:rPr>
          <w:b/>
          <w:bCs/>
          <w:color w:val="444444"/>
          <w:sz w:val="22"/>
          <w:szCs w:val="22"/>
        </w:rPr>
        <w:t xml:space="preserve">Direction Nationale des Prévisions Économiques et de la Conjoncture (DNPEC)</w:t>
      </w:r>
    </w:p>
    <w:p>
      <w:pPr>
        <w:spacing w:before="1000"/>
        <w:jc w:val="center"/>
      </w:pPr>
      <w:r>
        <w:rPr>
          <w:b/>
          <w:bCs/>
          <w:color w:val="1F3864"/>
          <w:sz w:val="56"/>
          <w:szCs w:val="56"/>
        </w:rPr>
        <w:t xml:space="preserve">CAHIER DES CHARGES</w:t>
      </w:r>
    </w:p>
    <w:p>
      <w:pPr>
        <w:spacing w:before="200"/>
        <w:jc w:val="center"/>
      </w:pPr>
      <w:r>
        <w:rPr>
          <w:b/>
          <w:bCs/>
          <w:color w:val="2E5C8A"/>
          <w:sz w:val="30"/>
          <w:szCs w:val="30"/>
        </w:rPr>
        <w:t xml:space="preserve">Système d'Information Interne de Gestion des Tâches,</w:t>
      </w:r>
    </w:p>
    <w:p>
      <w:pPr>
        <w:jc w:val="center"/>
      </w:pPr>
      <w:r>
        <w:rPr>
          <w:b/>
          <w:bCs/>
          <w:color w:val="2E5C8A"/>
          <w:sz w:val="30"/>
          <w:szCs w:val="30"/>
        </w:rPr>
        <w:t xml:space="preserve">de la Communication et de l'Archivage</w:t>
      </w:r>
    </w:p>
    <w:p>
      <w:pPr>
        <w:spacing w:before="700"/>
        <w:jc w:val="center"/>
      </w:pPr>
      <w:r>
        <w:rPr>
          <w:i/>
          <w:iCs/>
          <w:color w:val="888888"/>
          <w:sz w:val="20"/>
          <w:szCs w:val="20"/>
        </w:rPr>
        <w:t xml:space="preserve">Version 1.1 — Document de travail</w:t>
      </w:r>
    </w:p>
    <w:p>
      <w:pPr>
        <w:jc w:val="center"/>
      </w:pPr>
      <w:r>
        <w:rPr>
          <w:color w:val="555555"/>
          <w:sz w:val="20"/>
          <w:szCs w:val="20"/>
        </w:rPr>
        <w:t xml:space="preserve">Maître d'Ouvrage : Cellule des Systèmes d'Informations et de la Digitalisation (CSID) — DNPEC</w:t>
      </w:r>
    </w:p>
    <w:p>
      <w:pPr>
        <w:jc w:val="center"/>
      </w:pPr>
      <w:r>
        <w:rPr>
          <w:color w:val="888888"/>
          <w:sz w:val="20"/>
          <w:szCs w:val="20"/>
        </w:rPr>
        <w:t xml:space="preserve">Septembre 2026</w:t>
      </w:r>
    </w:p>
    <w:p>
      <w:r>
        <w:br w:type="page"/>
      </w:r>
    </w:p>
    <w:p>
      <w:pPr>
        <w:pStyle w:val="Heading1"/>
        <w:spacing w:after="200" w:before="400"/>
      </w:pPr>
      <w:r>
        <w:t xml:space="preserve">Historique des versions du document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6650"/>
      </w:tblGrid>
      <w:tr>
        <w:trPr>
          <w:tblHeader/>
        </w:trPr>
        <w:tc>
          <w:tcPr>
            <w:tcW w:type="dxa" w:w="1200"/>
            <w:shd w:fill="1F3864" w:color="auto" w:val="clear"/>
            <w:vAlign w:val="center"/>
          </w:tcPr>
          <w:p>
            <w:r>
              <w:rPr>
                <w:b/>
                <w:bCs/>
                <w:color w:val="FFFFFF"/>
                <w:sz w:val="20"/>
                <w:szCs w:val="20"/>
              </w:rPr>
              <w:t xml:space="preserve">Version</w:t>
            </w:r>
          </w:p>
        </w:tc>
        <w:tc>
          <w:tcPr>
            <w:tcW w:type="dxa" w:w="1500"/>
            <w:shd w:fill="1F3864" w:color="auto" w:val="clear"/>
            <w:vAlign w:val="center"/>
          </w:tcPr>
          <w:p>
            <w:r>
              <w:rPr>
                <w:b/>
                <w:bCs/>
                <w:color w:val="FFFFFF"/>
                <w:sz w:val="20"/>
                <w:szCs w:val="20"/>
              </w:rPr>
              <w:t xml:space="preserve">Date</w:t>
            </w:r>
          </w:p>
        </w:tc>
        <w:tc>
          <w:tcPr>
            <w:tcW w:type="dxa" w:w="6650"/>
            <w:shd w:fill="1F3864" w:color="auto" w:val="clear"/>
            <w:vAlign w:val="center"/>
          </w:tcPr>
          <w:p>
            <w:r>
              <w:rPr>
                <w:b/>
                <w:bCs/>
                <w:color w:val="FFFFFF"/>
                <w:sz w:val="20"/>
                <w:szCs w:val="20"/>
              </w:rPr>
              <w:t xml:space="preserve">Modifications</w:t>
            </w:r>
          </w:p>
        </w:tc>
      </w:tr>
      <w:tr>
        <w:tc>
          <w:tcPr>
            <w:tcW w:type="dxa" w:w="1200"/>
            <w:vAlign w:val="center"/>
          </w:tcPr>
          <w:p>
            <w:r>
              <w:rPr>
                <w:sz w:val="20"/>
                <w:szCs w:val="20"/>
              </w:rPr>
              <w:t xml:space="preserve">1.0</w:t>
            </w:r>
          </w:p>
        </w:tc>
        <w:tc>
          <w:tcPr>
            <w:tcW w:type="dxa" w:w="1500"/>
            <w:vAlign w:val="center"/>
          </w:tcPr>
          <w:p>
            <w:r>
              <w:rPr>
                <w:sz w:val="20"/>
                <w:szCs w:val="20"/>
              </w:rPr>
              <w:t xml:space="preserve">04/09/2026</w:t>
            </w:r>
          </w:p>
        </w:tc>
        <w:tc>
          <w:tcPr>
            <w:tcW w:type="dxa" w:w="6650"/>
            <w:vAlign w:val="center"/>
          </w:tcPr>
          <w:p>
            <w:r>
              <w:rPr>
                <w:sz w:val="20"/>
                <w:szCs w:val="20"/>
              </w:rPr>
              <w:t xml:space="preserve">Version initiale — périmètre fonctionnel, organisation, exigences non fonctionnelles.</w:t>
            </w:r>
          </w:p>
        </w:tc>
      </w:tr>
      <w:tr>
        <w:tc>
          <w:tcPr>
            <w:tcW w:type="dxa" w:w="1200"/>
            <w:vAlign w:val="center"/>
          </w:tcPr>
          <w:p>
            <w:r>
              <w:rPr>
                <w:sz w:val="20"/>
                <w:szCs w:val="20"/>
              </w:rPr>
              <w:t xml:space="preserve">1.1</w:t>
            </w:r>
          </w:p>
        </w:tc>
        <w:tc>
          <w:tcPr>
            <w:tcW w:type="dxa" w:w="1500"/>
            <w:vAlign w:val="center"/>
          </w:tcPr>
          <w:p>
            <w:r>
              <w:rPr>
                <w:sz w:val="20"/>
                <w:szCs w:val="20"/>
              </w:rPr>
              <w:t xml:space="preserve">04/09/2026</w:t>
            </w:r>
          </w:p>
        </w:tc>
        <w:tc>
          <w:tcPr>
            <w:tcW w:type="dxa" w:w="6650"/>
            <w:vAlign w:val="center"/>
          </w:tcPr>
          <w:p>
            <w:r>
              <w:rPr>
                <w:sz w:val="20"/>
                <w:szCs w:val="20"/>
              </w:rPr>
              <w:t xml:space="preserve">Ajout : organigramme visuel, exigences numérotées et priorisées (MoSCoW), section Hors périmètre, critères d'acceptation, risques et hypothèses, glossaire. Correction : DN et DNA positionnés au même niveau d'autorité.</w:t>
            </w:r>
          </w:p>
        </w:tc>
      </w:tr>
    </w:tbl>
    <w:p>
      <w:r>
        <w:br w:type="page"/>
      </w:r>
    </w:p>
    <w:p>
      <w:pPr>
        <w:pStyle w:val="Heading1"/>
        <w:spacing w:after="200" w:before="400"/>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Contexte et objectifs du projet</w:t>
      </w:r>
    </w:p>
    <w:p>
      <w:pPr>
        <w:pStyle w:val="Heading2"/>
        <w:spacing w:after="150" w:before="300"/>
      </w:pPr>
      <w:r>
        <w:t xml:space="preserve">1.1 Contexte</w:t>
      </w:r>
    </w:p>
    <w:p>
      <w:pPr>
        <w:spacing w:after="120"/>
      </w:pPr>
      <w:r>
        <w:t xml:space="preserve">La Direction Nationale des Prévisions Économiques et de la Conjoncture (DNPEC), sous l'autorité du Ministère de l'Économie, des Finances et du Budget, souhaite se doter d'un système d'information interne pour structurer et fluidifier la gestion de ses activités quotidiennes : attribution et suivi des tâches, communication entre les équipes, et archivage des documents et travaux produits par les différentes divisions.</w:t>
      </w:r>
    </w:p>
    <w:p>
      <w:pPr>
        <w:spacing w:after="120"/>
      </w:pPr>
      <w:r>
        <w:t xml:space="preserve">Ce système est distinct de la plateforme PICE (Plateforme Intégrée de suivi de la Conjoncture Économique), qui concerne la collecte et la diffusion des données économiques du pays. Le présent projet concerne exclusivement le fonctionnement interne de la DNPEC.</w:t>
      </w:r>
    </w:p>
    <w:p>
      <w:pPr>
        <w:pStyle w:val="Heading2"/>
        <w:spacing w:after="150" w:before="300"/>
      </w:pPr>
      <w:r>
        <w:t xml:space="preserve">1.2 Objectifs du projet</w:t>
      </w:r>
    </w:p>
    <w:p>
      <w:pPr>
        <w:pStyle w:val="ListParagraph"/>
        <w:numPr>
          <w:ilvl w:val="0"/>
          <w:numId w:val="1"/>
        </w:numPr>
        <w:spacing w:after="60"/>
      </w:pPr>
      <w:r>
        <w:t xml:space="preserve">Permettre aux dirigeants (DN, DNA, Chefs de Division, Chefs de Section) d'assigner des tâches et d'en suivre l'exécution en temps réel.</w:t>
      </w:r>
    </w:p>
    <w:p>
      <w:pPr>
        <w:pStyle w:val="ListParagraph"/>
        <w:numPr>
          <w:ilvl w:val="0"/>
          <w:numId w:val="1"/>
        </w:numPr>
        <w:spacing w:after="60"/>
      </w:pPr>
      <w:r>
        <w:t xml:space="preserve">Donner une visibilité claire sur qui fait quoi, à quel moment, et avec quel niveau d'avancement.</w:t>
      </w:r>
    </w:p>
    <w:p>
      <w:pPr>
        <w:pStyle w:val="ListParagraph"/>
        <w:numPr>
          <w:ilvl w:val="0"/>
          <w:numId w:val="1"/>
        </w:numPr>
        <w:spacing w:after="60"/>
      </w:pPr>
      <w:r>
        <w:t xml:space="preserve">Fluidifier la communication interne : échanges directs et annonces collectives ciblées.</w:t>
      </w:r>
    </w:p>
    <w:p>
      <w:pPr>
        <w:pStyle w:val="ListParagraph"/>
        <w:numPr>
          <w:ilvl w:val="0"/>
          <w:numId w:val="1"/>
        </w:numPr>
        <w:spacing w:after="60"/>
      </w:pPr>
      <w:r>
        <w:t xml:space="preserve">Centraliser et sécuriser l'archivage des documents et travaux produits par chaque division.</w:t>
      </w:r>
    </w:p>
    <w:p>
      <w:pPr>
        <w:pStyle w:val="ListParagraph"/>
        <w:numPr>
          <w:ilvl w:val="0"/>
          <w:numId w:val="1"/>
        </w:numPr>
        <w:spacing w:after="60"/>
      </w:pPr>
      <w:r>
        <w:t xml:space="preserve">Digitaliser la gestion des congés et absences du personnel.</w:t>
      </w:r>
    </w:p>
    <w:p>
      <w:pPr>
        <w:pStyle w:val="ListParagraph"/>
        <w:numPr>
          <w:ilvl w:val="0"/>
          <w:numId w:val="1"/>
        </w:numPr>
        <w:spacing w:after="60"/>
      </w:pPr>
      <w:r>
        <w:t xml:space="preserve">Renforcer la traçabilité et l'auditabilité des actions au sein de la Direction.</w:t>
      </w:r>
    </w:p>
    <w:p>
      <w:r>
        <w:br w:type="page"/>
      </w:r>
    </w:p>
    <w:p>
      <w:pPr>
        <w:pStyle w:val="Heading1"/>
        <w:spacing w:after="200" w:before="400"/>
      </w:pPr>
      <w:r>
        <w:t xml:space="preserve">2. Organisation et hiérarchie de référence</w:t>
      </w:r>
    </w:p>
    <w:p>
      <w:pPr>
        <w:spacing w:after="120"/>
      </w:pPr>
      <w:r>
        <w:t xml:space="preserve">Le système doit refléter fidèlement l'organigramme officiel de la DNPEC, structuré sur 4 niveaux, avec des cellules transversales rattachées directement à la Direction.</w:t>
      </w:r>
    </w:p>
    <w:p>
      <w:pPr>
        <w:pStyle w:val="Heading2"/>
        <w:spacing w:after="150" w:before="300"/>
      </w:pPr>
      <w:r>
        <w:t xml:space="preserve">2.1 Structure hiérarchique</w:t>
      </w:r>
    </w:p>
    <w:p>
      <w:pPr>
        <w:spacing w:after="200" w:before="100"/>
        <w:jc w:val="center"/>
      </w:pPr>
      <w:r>
        <w:drawing>
          <wp:inline distT="0" distB="0" distL="0" distR="0">
            <wp:extent cx="528637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286375" cy="1076325"/>
                    </a:xfrm>
                    <a:prstGeom prst="rect">
                      <a:avLst/>
                    </a:prstGeom>
                  </pic:spPr>
                </pic:pic>
              </a:graphicData>
            </a:graphic>
          </wp:inline>
        </w:drawing>
      </w:r>
    </w:p>
    <w:p>
      <w:pPr>
        <w:pStyle w:val="ListParagraph"/>
        <w:numPr>
          <w:ilvl w:val="0"/>
          <w:numId w:val="1"/>
        </w:numPr>
        <w:spacing w:after="60"/>
      </w:pPr>
      <w:r>
        <w:t xml:space="preserve">DN — Directeur National et DNA — Directeur National Adjoint : les deux disposent des mêmes droits et de la même visibilité totale sur le système (autorité partagée au sommet de la hiérarchie).</w:t>
      </w:r>
    </w:p>
    <w:p>
      <w:pPr>
        <w:pStyle w:val="ListParagraph"/>
        <w:numPr>
          <w:ilvl w:val="1"/>
          <w:numId w:val="1"/>
        </w:numPr>
        <w:spacing w:after="60"/>
      </w:pPr>
      <w:r>
        <w:t xml:space="preserve">Cellules rattachées au DN : CTSCM (Cellule Technique de Suivi de la Conjoncture Macroéconomique), CNC (Comité National de Coordination des Politiques Macroéconomiques et Monétaires)</w:t>
      </w:r>
    </w:p>
    <w:p>
      <w:pPr>
        <w:pStyle w:val="ListParagraph"/>
        <w:numPr>
          <w:ilvl w:val="1"/>
          <w:numId w:val="1"/>
        </w:numPr>
        <w:spacing w:after="60"/>
      </w:pPr>
      <w:r>
        <w:t xml:space="preserve">Cellules rattachées au DNA : SAF (Service Administratif et Financier), RH (Ressources Humaines), CSID (Cellule des Systèmes d'Informations et de la Digitalisation)</w:t>
      </w:r>
    </w:p>
    <w:p>
      <w:pPr>
        <w:pStyle w:val="ListParagraph"/>
        <w:numPr>
          <w:ilvl w:val="0"/>
          <w:numId w:val="1"/>
        </w:numPr>
        <w:spacing w:after="60"/>
      </w:pPr>
      <w:r>
        <w:t xml:space="preserve">5 Divisions (sous le DN/DNA), chacune subdivisée en Sections :</w:t>
      </w:r>
    </w:p>
    <w:p>
      <w:pPr>
        <w:pStyle w:val="ListParagraph"/>
        <w:numPr>
          <w:ilvl w:val="1"/>
          <w:numId w:val="1"/>
        </w:numPr>
        <w:spacing w:after="60"/>
      </w:pPr>
      <w:r>
        <w:t xml:space="preserve">DPE — Division des Prévisions Économiques : SSR, SFP, SSME, SGOP</w:t>
      </w:r>
    </w:p>
    <w:p>
      <w:pPr>
        <w:pStyle w:val="ListParagraph"/>
        <w:numPr>
          <w:ilvl w:val="1"/>
          <w:numId w:val="1"/>
        </w:numPr>
        <w:spacing w:after="60"/>
      </w:pPr>
      <w:r>
        <w:t xml:space="preserve">DEE — Division Études Économiques : SE, SDP, SME</w:t>
      </w:r>
    </w:p>
    <w:p>
      <w:pPr>
        <w:pStyle w:val="ListParagraph"/>
        <w:numPr>
          <w:ilvl w:val="1"/>
          <w:numId w:val="1"/>
        </w:numPr>
        <w:spacing w:after="60"/>
      </w:pPr>
      <w:r>
        <w:t xml:space="preserve">DSPS — Division Suivi de Politiques Économiques : SSSP, SSSS, SSST, SSSQ</w:t>
      </w:r>
    </w:p>
    <w:p>
      <w:pPr>
        <w:pStyle w:val="ListParagraph"/>
        <w:numPr>
          <w:ilvl w:val="1"/>
          <w:numId w:val="1"/>
        </w:numPr>
        <w:spacing w:after="60"/>
      </w:pPr>
      <w:r>
        <w:t xml:space="preserve">DAC — Division Analyses Conjoncturelles : SCI, SCN, SEC, SGBD</w:t>
      </w:r>
    </w:p>
    <w:p>
      <w:pPr>
        <w:pStyle w:val="ListParagraph"/>
        <w:numPr>
          <w:ilvl w:val="1"/>
          <w:numId w:val="1"/>
        </w:numPr>
        <w:spacing w:after="60"/>
      </w:pPr>
      <w:r>
        <w:t xml:space="preserve">DIPE — Division Intégration et Partenariats Économiques : SIRC, SPEN, SAEVS</w:t>
      </w:r>
    </w:p>
    <w:p>
      <w:pPr>
        <w:pStyle w:val="Heading2"/>
        <w:spacing w:after="150" w:before="300"/>
      </w:pPr>
      <w:r>
        <w:t xml:space="preserve">2.2 Cas particulier : les Chargés d'Études (C.E.)</w:t>
      </w:r>
    </w:p>
    <w:p>
      <w:pPr>
        <w:spacing w:after="120"/>
      </w:pPr>
      <w:r>
        <w:t xml:space="preserve">Les Chargés d'Études ne constituent pas un groupe rattaché directement au DN : ce sont des agents affectés au sein de chaque division, sous la double autorité du Chef de Division (toujours) et du Chef de Section (une fois affectés à une section).</w:t>
      </w:r>
    </w:p>
    <w:p>
      <w:pPr>
        <w:pStyle w:val="ListParagraph"/>
        <w:numPr>
          <w:ilvl w:val="0"/>
          <w:numId w:val="1"/>
        </w:numPr>
        <w:spacing w:after="60"/>
      </w:pPr>
      <w:r>
        <w:t xml:space="preserve">Un Chargé d'Études est systématiquement rattaché à une Division dès son arrivée.</w:t>
      </w:r>
    </w:p>
    <w:p>
      <w:pPr>
        <w:pStyle w:val="ListParagraph"/>
        <w:numPr>
          <w:ilvl w:val="0"/>
          <w:numId w:val="1"/>
        </w:numPr>
        <w:spacing w:after="60"/>
      </w:pPr>
      <w:r>
        <w:t xml:space="preserve">Il peut rester rattaché à sa Division sans Section précise pendant une durée indéterminée, en attendant que le Chef de Division l'affecte formellement à une Section.</w:t>
      </w:r>
    </w:p>
    <w:p>
      <w:pPr>
        <w:pStyle w:val="ListParagraph"/>
        <w:numPr>
          <w:ilvl w:val="0"/>
          <w:numId w:val="1"/>
        </w:numPr>
        <w:spacing w:after="60"/>
      </w:pPr>
      <w:r>
        <w:t xml:space="preserve">Tant qu'il n'a pas de Section, il reste néanmoins pleinement actif dans le système : il peut recevoir des tâches directement du Chef de Division et accéder à l'espace documentaire de sa Division.</w:t>
      </w:r>
    </w:p>
    <w:p>
      <w:pPr>
        <w:pStyle w:val="ListParagraph"/>
        <w:numPr>
          <w:ilvl w:val="0"/>
          <w:numId w:val="1"/>
        </w:numPr>
        <w:spacing w:after="60"/>
      </w:pPr>
      <w:r>
        <w:t xml:space="preserve">Le système doit donc permettre qu'un compte utilisateur soit rattaché à une Division seule (Section = non renseignée), sans que cela bloque son fonctionnement.</w:t>
      </w:r>
    </w:p>
    <w:p>
      <w:pPr>
        <w:pStyle w:val="Heading2"/>
        <w:spacing w:after="150" w:before="300"/>
      </w:pPr>
      <w:r>
        <w:t xml:space="preserve">2.3 Principe structurant : la délégation en cascade</w:t>
      </w:r>
    </w:p>
    <w:p>
      <w:pPr>
        <w:spacing w:after="120"/>
      </w:pPr>
      <w:r>
        <w:t xml:space="preserve">Principe transversal appliqué à l'ensemble du système : chaque responsable (DN, DNA, Chef de Division, Chef de Section) dispose d'autorité et de visibilité sur son périmètre direct et sur tous les niveaux qui lui sont subordonnés. Le DN et le DNA se situent au même niveau d'autorité, avec une visibilité totale et identique sur l'ensemble de la DNPEC. Ce principe gouverne la création de tâches, l'envoi d'annonces, la validation des congés et l'accès aux tableaux de bord.</w:t>
      </w:r>
    </w:p>
    <w:p>
      <w:pPr>
        <w:spacing w:after="120"/>
      </w:pPr>
      <w:r>
        <w:t xml:space="preserve">Cas particulier des Chargés d'Études (C.E.) : rattachés directement au DN/DNA sans échelon intermédiaire, ils suivent la même logique de cascade mais avec le DN/DNA comme unique supérieur hiérarchique direct — c'est donc le DN/DNA qui assigne leurs tâches, valide leurs travaux et leurs congés.</w:t>
      </w:r>
    </w:p>
    <w:p>
      <w:r>
        <w:br w:type="page"/>
      </w:r>
    </w:p>
    <w:p>
      <w:pPr>
        <w:pStyle w:val="Heading1"/>
        <w:spacing w:after="200" w:before="400"/>
      </w:pPr>
      <w:r>
        <w:t xml:space="preserve">3. Utilisateurs, rôles et droits d'accès</w:t>
      </w:r>
    </w:p>
    <w:p>
      <w:pPr>
        <w:pStyle w:val="Heading2"/>
        <w:spacing w:after="150" w:before="300"/>
      </w:pPr>
      <w:r>
        <w:t xml:space="preserve">3.1 Rôles du système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4675"/>
      </w:tblGrid>
      <w:tr>
        <w:trPr>
          <w:tblHeader/>
        </w:trPr>
        <w:tc>
          <w:tcPr>
            <w:tcW w:type="dxa" w:w="4675"/>
            <w:shd w:fill="1F3864" w:color="auto" w:val="clear"/>
            <w:vAlign w:val="center"/>
          </w:tcPr>
          <w:p>
            <w:r>
              <w:rPr>
                <w:b/>
                <w:bCs/>
                <w:color w:val="FFFFFF"/>
                <w:sz w:val="20"/>
                <w:szCs w:val="20"/>
              </w:rPr>
              <w:t xml:space="preserve">Rôle</w:t>
            </w:r>
          </w:p>
        </w:tc>
        <w:tc>
          <w:tcPr>
            <w:tcW w:type="dxa" w:w="4675"/>
            <w:shd w:fill="1F3864" w:color="auto" w:val="clear"/>
            <w:vAlign w:val="center"/>
          </w:tcPr>
          <w:p>
            <w:r>
              <w:rPr>
                <w:b/>
                <w:bCs/>
                <w:color w:val="FFFFFF"/>
                <w:sz w:val="20"/>
                <w:szCs w:val="20"/>
              </w:rPr>
              <w:t xml:space="preserve">Périmètre et droits</w:t>
            </w:r>
          </w:p>
        </w:tc>
      </w:tr>
      <w:tr>
        <w:tc>
          <w:tcPr>
            <w:tcW w:type="dxa" w:w="4675"/>
            <w:vAlign w:val="center"/>
          </w:tcPr>
          <w:p>
            <w:r>
              <w:rPr>
                <w:sz w:val="20"/>
                <w:szCs w:val="20"/>
              </w:rPr>
              <w:t xml:space="preserve">DN / DNA</w:t>
            </w:r>
          </w:p>
        </w:tc>
        <w:tc>
          <w:tcPr>
            <w:tcW w:type="dxa" w:w="4675"/>
            <w:vAlign w:val="center"/>
          </w:tcPr>
          <w:p>
            <w:r>
              <w:rPr>
                <w:sz w:val="20"/>
                <w:szCs w:val="20"/>
              </w:rPr>
              <w:t xml:space="preserve">Visibilité totale sur toute la DNPEC. Création/assignation de tâches et annonces à tous niveaux. Publication de documents pour toute la Direction. Validation des congés remontés.</w:t>
            </w:r>
          </w:p>
        </w:tc>
      </w:tr>
      <w:tr>
        <w:tc>
          <w:tcPr>
            <w:tcW w:type="dxa" w:w="4675"/>
            <w:vAlign w:val="center"/>
          </w:tcPr>
          <w:p>
            <w:r>
              <w:rPr>
                <w:sz w:val="20"/>
                <w:szCs w:val="20"/>
              </w:rPr>
              <w:t xml:space="preserve">Chef de Division</w:t>
            </w:r>
          </w:p>
        </w:tc>
        <w:tc>
          <w:tcPr>
            <w:tcW w:type="dxa" w:w="4675"/>
            <w:vAlign w:val="center"/>
          </w:tcPr>
          <w:p>
            <w:r>
              <w:rPr>
                <w:sz w:val="20"/>
                <w:szCs w:val="20"/>
              </w:rPr>
              <w:t xml:space="preserve">Visibilité sur sa division et ses sections. Création/assignation de tâches et annonces à son périmètre. Publication de documents pour toute la DNPEC. Validation des congés de ses agents.</w:t>
            </w:r>
          </w:p>
        </w:tc>
      </w:tr>
      <w:tr>
        <w:tc>
          <w:tcPr>
            <w:tcW w:type="dxa" w:w="4675"/>
            <w:vAlign w:val="center"/>
          </w:tcPr>
          <w:p>
            <w:r>
              <w:rPr>
                <w:sz w:val="20"/>
                <w:szCs w:val="20"/>
              </w:rPr>
              <w:t xml:space="preserve">Chef de Section</w:t>
            </w:r>
          </w:p>
        </w:tc>
        <w:tc>
          <w:tcPr>
            <w:tcW w:type="dxa" w:w="4675"/>
            <w:vAlign w:val="center"/>
          </w:tcPr>
          <w:p>
            <w:r>
              <w:rPr>
                <w:sz w:val="20"/>
                <w:szCs w:val="20"/>
              </w:rPr>
              <w:t xml:space="preserve">Visibilité sur sa section. Création/assignation de tâches et annonces à ses agents directs. Validation des congés de ses agents.</w:t>
            </w:r>
          </w:p>
        </w:tc>
      </w:tr>
      <w:tr>
        <w:tc>
          <w:tcPr>
            <w:tcW w:type="dxa" w:w="4675"/>
            <w:vAlign w:val="center"/>
          </w:tcPr>
          <w:p>
            <w:r>
              <w:rPr>
                <w:sz w:val="20"/>
                <w:szCs w:val="20"/>
              </w:rPr>
              <w:t xml:space="preserve">Agent (dont Chargé d'Études)</w:t>
            </w:r>
          </w:p>
        </w:tc>
        <w:tc>
          <w:tcPr>
            <w:tcW w:type="dxa" w:w="4675"/>
            <w:vAlign w:val="center"/>
          </w:tcPr>
          <w:p>
            <w:r>
              <w:rPr>
                <w:sz w:val="20"/>
                <w:szCs w:val="20"/>
              </w:rPr>
              <w:t xml:space="preserve">Visibilité sur ses propres tâches (droits d'action) + tâches de sa section (lecture seule). Peut déposer des documents privés dans l'espace de sa division. Peut demander des congés. Un Chargé d'Études peut être rattaché à une Division seule, en attendant affectation à une Section par le Chef de Division (voir §2.2).</w:t>
            </w:r>
          </w:p>
        </w:tc>
      </w:tr>
      <w:tr>
        <w:tc>
          <w:tcPr>
            <w:tcW w:type="dxa" w:w="4675"/>
            <w:vAlign w:val="center"/>
          </w:tcPr>
          <w:p>
            <w:r>
              <w:rPr>
                <w:sz w:val="20"/>
                <w:szCs w:val="20"/>
              </w:rPr>
              <w:t xml:space="preserve">Chargé d'Études (C.E.)</w:t>
            </w:r>
          </w:p>
        </w:tc>
        <w:tc>
          <w:tcPr>
            <w:tcW w:type="dxa" w:w="4675"/>
            <w:vAlign w:val="center"/>
          </w:tcPr>
          <w:p>
            <w:r>
              <w:rPr>
                <w:sz w:val="20"/>
                <w:szCs w:val="20"/>
              </w:rPr>
              <w:t xml:space="preserve">Rattaché directement au DN/DNA (pas de Chef de Division ni de Chef de Section intermédiaire). Reçoit ses tâches directement du DN/DNA, qui assure aussi la validation de ses travaux et de ses congés. Mêmes droits qu'un Agent sur ses propres tâches et documents ; visibilité additionnelle sur les tâches et annonces émises directement par le DN/DNA.</w:t>
            </w:r>
          </w:p>
        </w:tc>
      </w:tr>
      <w:tr>
        <w:tc>
          <w:tcPr>
            <w:tcW w:type="dxa" w:w="4675"/>
            <w:vAlign w:val="center"/>
          </w:tcPr>
          <w:p>
            <w:r>
              <w:rPr>
                <w:sz w:val="20"/>
                <w:szCs w:val="20"/>
              </w:rPr>
              <w:t xml:space="preserve">Administrateur système (CSID)</w:t>
            </w:r>
          </w:p>
        </w:tc>
        <w:tc>
          <w:tcPr>
            <w:tcW w:type="dxa" w:w="4675"/>
            <w:vAlign w:val="center"/>
          </w:tcPr>
          <w:p>
            <w:r>
              <w:rPr>
                <w:sz w:val="20"/>
                <w:szCs w:val="20"/>
              </w:rPr>
              <w:t xml:space="preserve">Gestion des comptes utilisateurs, paramétrage technique, supervision de l'infrastructure. Accès aux statistiques techniques. Pas d'accès systématique au contenu métier des tâches.</w:t>
            </w:r>
          </w:p>
        </w:tc>
      </w:tr>
    </w:tbl>
    <w:p>
      <w:pPr>
        <w:pStyle w:val="Heading2"/>
        <w:spacing w:after="150" w:before="300"/>
      </w:pPr>
      <w:r>
        <w:t xml:space="preserve">3.2 Création des comptes utilisateurs</w:t>
      </w:r>
    </w:p>
    <w:p>
      <w:pPr>
        <w:spacing w:after="120"/>
      </w:pPr>
      <w:r>
        <w:t xml:space="preserve">Trois modalités de création de compte doivent être disponibles simultanément :</w:t>
      </w:r>
    </w:p>
    <w:p>
      <w:pPr>
        <w:pStyle w:val="ListParagraph"/>
        <w:numPr>
          <w:ilvl w:val="0"/>
          <w:numId w:val="1"/>
        </w:numPr>
        <w:spacing w:after="60"/>
      </w:pPr>
      <w:r>
        <w:t xml:space="preserve">Création manuelle par l'Administrateur système (CSID).</w:t>
      </w:r>
    </w:p>
    <w:p>
      <w:pPr>
        <w:pStyle w:val="ListParagraph"/>
        <w:numPr>
          <w:ilvl w:val="0"/>
          <w:numId w:val="1"/>
        </w:numPr>
        <w:spacing w:after="60"/>
      </w:pPr>
      <w:r>
        <w:t xml:space="preserve">Auto-inscription avec adresse email professionnelle (@dnpec.gov.gn), soumise à validation par l'administrateur avant activation.</w:t>
      </w:r>
    </w:p>
    <w:p>
      <w:pPr>
        <w:pStyle w:val="ListParagraph"/>
        <w:numPr>
          <w:ilvl w:val="0"/>
          <w:numId w:val="1"/>
        </w:numPr>
        <w:spacing w:after="60"/>
      </w:pPr>
      <w:r>
        <w:t xml:space="preserve">Import en masse via fichier Excel (liste du personnel), utile notamment pour le lancement initial du système.</w:t>
      </w:r>
    </w:p>
    <w:p>
      <w:pPr>
        <w:pStyle w:val="Heading2"/>
        <w:spacing w:after="150" w:before="300"/>
      </w:pPr>
      <w:r>
        <w:t xml:space="preserve">3.3 Sécurité des comptes</w:t>
      </w:r>
    </w:p>
    <w:p>
      <w:pPr>
        <w:pStyle w:val="ListParagraph"/>
        <w:numPr>
          <w:ilvl w:val="0"/>
          <w:numId w:val="1"/>
        </w:numPr>
        <w:spacing w:after="60"/>
      </w:pPr>
      <w:r>
        <w:t xml:space="preserve">Authentification par identifiant + mot de passe complexe obligatoire (majuscule, chiffre, longueur minimale), sans expiration forcée.</w:t>
      </w:r>
    </w:p>
    <w:p>
      <w:pPr>
        <w:pStyle w:val="ListParagraph"/>
        <w:numPr>
          <w:ilvl w:val="0"/>
          <w:numId w:val="1"/>
        </w:numPr>
        <w:spacing w:after="60"/>
      </w:pPr>
      <w:r>
        <w:t xml:space="preserve">Double authentification (2FA par SMS ou email) obligatoire pour les dirigeants (DN, DNA, Chefs de Division au minimum).</w:t>
      </w:r>
    </w:p>
    <w:p>
      <w:pPr>
        <w:pStyle w:val="ListParagraph"/>
        <w:numPr>
          <w:ilvl w:val="0"/>
          <w:numId w:val="1"/>
        </w:numPr>
        <w:spacing w:after="60"/>
      </w:pPr>
      <w:r>
        <w:t xml:space="preserve">Pas de déconnexion automatique par inactivité — session maintenue tant que l'appareil reste connecté ; fonction de « déconnexion à distance / partout » disponible en cas de perte d'appareil.</w:t>
      </w:r>
    </w:p>
    <w:p>
      <w:r>
        <w:br w:type="page"/>
      </w:r>
    </w:p>
    <w:p>
      <w:pPr>
        <w:pStyle w:val="Heading1"/>
        <w:spacing w:after="200" w:before="400"/>
      </w:pPr>
      <w:r>
        <w:t xml:space="preserve">4. Périmètre fonctionnel détaillé</w:t>
      </w:r>
    </w:p>
    <w:p>
      <w:pPr>
        <w:pStyle w:val="Heading2"/>
        <w:spacing w:after="150" w:before="300"/>
      </w:pPr>
      <w:r>
        <w:t xml:space="preserve">4.1 Module — Gestion des tâches</w:t>
      </w:r>
    </w:p>
    <w:p>
      <w:pPr>
        <w:spacing w:after="120"/>
      </w:pPr>
      <w:r>
        <w:rPr>
          <w:i/>
          <w:iCs/>
          <w:color w:val="444444"/>
        </w:rPr>
        <w:t xml:space="preserve">Cœur du système : permettre l'assignation, le suivi et la validation des tâches à tous les niveaux de la hiérarchie.</w:t>
      </w:r>
    </w:p>
    <w:p>
      <w:pPr>
        <w:spacing w:after="60"/>
      </w:pPr>
      <w:r>
        <w:rPr>
          <w:b/>
          <w:bCs/>
        </w:rPr>
        <w:t xml:space="preserve">Fonctionnalités : </w:t>
      </w:r>
    </w:p>
    <w:p>
      <w:pPr>
        <w:pStyle w:val="ListParagraph"/>
        <w:numPr>
          <w:ilvl w:val="0"/>
          <w:numId w:val="1"/>
        </w:numPr>
        <w:spacing w:after="60"/>
      </w:pPr>
      <w:r>
        <w:t xml:space="preserve">Création et assignation de tâches en cascade : tout responsable peut assigner une tâche à ses subordonnés directs.</w:t>
      </w:r>
    </w:p>
    <w:p>
      <w:pPr>
        <w:pStyle w:val="ListParagraph"/>
        <w:numPr>
          <w:ilvl w:val="0"/>
          <w:numId w:val="1"/>
        </w:numPr>
        <w:spacing w:after="60"/>
      </w:pPr>
      <w:r>
        <w:t xml:space="preserve">Une tâche peut être assignée à un responsable unique (+ collaborateurs en soutien) OU à plusieurs co-responsables — les deux modes doivent être supportés.</w:t>
      </w:r>
    </w:p>
    <w:p>
      <w:pPr>
        <w:pStyle w:val="ListParagraph"/>
        <w:numPr>
          <w:ilvl w:val="0"/>
          <w:numId w:val="1"/>
        </w:numPr>
        <w:spacing w:after="60"/>
      </w:pPr>
      <w:r>
        <w:t xml:space="preserve">Workflow de statut complet : À faire → En cours → Soumise pour validation → Validée / Rejetée (retour en cours) → Terminée.</w:t>
      </w:r>
    </w:p>
    <w:p>
      <w:pPr>
        <w:pStyle w:val="ListParagraph"/>
        <w:numPr>
          <w:ilvl w:val="0"/>
          <w:numId w:val="1"/>
        </w:numPr>
        <w:spacing w:after="60"/>
      </w:pPr>
      <w:r>
        <w:t xml:space="preserve">Modification et suppression réservées au créateur de la tâche et à son supérieur hiérarchique direct.</w:t>
      </w:r>
    </w:p>
    <w:p>
      <w:pPr>
        <w:pStyle w:val="ListParagraph"/>
        <w:numPr>
          <w:ilvl w:val="0"/>
          <w:numId w:val="1"/>
        </w:numPr>
        <w:spacing w:after="60"/>
      </w:pPr>
      <w:r>
        <w:t xml:space="preserve">Sous-tâches : une tâche peut être découpée en sous-tâches, chacune avec son propre statut, responsable et échéance ; la progression de la tâche mère se calcule à partir de l'avancement des sous-tâches.</w:t>
      </w:r>
    </w:p>
    <w:p>
      <w:pPr>
        <w:pStyle w:val="ListParagraph"/>
        <w:numPr>
          <w:ilvl w:val="0"/>
          <w:numId w:val="1"/>
        </w:numPr>
        <w:spacing w:after="60"/>
      </w:pPr>
      <w:r>
        <w:t xml:space="preserve">Tâches récurrentes : possibilité de créer des tâches qui se régénèrent automatiquement selon une fréquence définie (quotidienne, hebdomadaire, mensuelle).</w:t>
      </w:r>
    </w:p>
    <w:p>
      <w:pPr>
        <w:pStyle w:val="ListParagraph"/>
        <w:numPr>
          <w:ilvl w:val="0"/>
          <w:numId w:val="1"/>
        </w:numPr>
        <w:spacing w:after="60"/>
      </w:pPr>
      <w:r>
        <w:t xml:space="preserve">Pièces jointes : documents, rapports, fichiers Excel, PDF, directement liés à la tâche.</w:t>
      </w:r>
    </w:p>
    <w:p>
      <w:pPr>
        <w:pStyle w:val="ListParagraph"/>
        <w:numPr>
          <w:ilvl w:val="0"/>
          <w:numId w:val="1"/>
        </w:numPr>
        <w:spacing w:after="60"/>
      </w:pPr>
      <w:r>
        <w:t xml:space="preserve">Niveaux de priorité (Urgent / Normal / Faible) avec alertes automatiques avant échéance.</w:t>
      </w:r>
    </w:p>
    <w:p>
      <w:pPr>
        <w:pStyle w:val="ListParagraph"/>
        <w:numPr>
          <w:ilvl w:val="0"/>
          <w:numId w:val="1"/>
        </w:numPr>
        <w:spacing w:after="60"/>
      </w:pPr>
      <w:r>
        <w:t xml:space="preserve">Niveaux de confidentialité sur les tâches : Public interne / Confidentiel division / Très confidentiel dirigeants — avec filtrage de visibilité correspondant.</w:t>
      </w:r>
    </w:p>
    <w:p>
      <w:pPr>
        <w:pStyle w:val="ListParagraph"/>
        <w:numPr>
          <w:ilvl w:val="0"/>
          <w:numId w:val="1"/>
        </w:numPr>
        <w:spacing w:after="60"/>
      </w:pPr>
      <w:r>
        <w:t xml:space="preserve">Fil de commentaires dédié à chaque tâche, avec système de mentions (@nom) pour notifier une personne précise sans sortir de la tâche.</w:t>
      </w:r>
    </w:p>
    <w:p>
      <w:pPr>
        <w:pStyle w:val="ListParagraph"/>
        <w:numPr>
          <w:ilvl w:val="0"/>
          <w:numId w:val="1"/>
        </w:numPr>
        <w:spacing w:after="60"/>
      </w:pPr>
      <w:r>
        <w:t xml:space="preserve">Regroupement de tâches sous un « Projet / Dossier » englobant, avec vue d'avancement globale du projet.</w:t>
      </w:r>
    </w:p>
    <w:p>
      <w:pPr>
        <w:pStyle w:val="ListParagraph"/>
        <w:numPr>
          <w:ilvl w:val="0"/>
          <w:numId w:val="1"/>
        </w:numPr>
        <w:spacing w:after="60"/>
      </w:pPr>
      <w:r>
        <w:t xml:space="preserve">Double vue de visualisation : Calendrier (échéances dans le temps) et Kanban (colonnes par statut), au choix de l'utilisateur.</w:t>
      </w:r>
    </w:p>
    <w:p>
      <w:pPr>
        <w:pStyle w:val="ListParagraph"/>
        <w:numPr>
          <w:ilvl w:val="0"/>
          <w:numId w:val="1"/>
        </w:numPr>
        <w:spacing w:after="60"/>
      </w:pPr>
      <w:r>
        <w:t xml:space="preserve">Recherche avancée avec filtres (statut, priorité, responsable, division, date d'échéance) et sauvegarde de recherches/filtres favoris.</w:t>
      </w:r>
    </w:p>
    <w:p>
      <w:pPr>
        <w:pStyle w:val="ListParagraph"/>
        <w:numPr>
          <w:ilvl w:val="0"/>
          <w:numId w:val="1"/>
        </w:numPr>
        <w:spacing w:after="60"/>
      </w:pPr>
      <w:r>
        <w:t xml:space="preserve">Tableau de bord d'avancement : vue globale pour DN/DNA (toute la DNPEC), vue filtrée pour chaque Chef de Division/Section sur son périmètre (charge de travail par personne, taux de retard, avancement par division).</w:t>
      </w:r>
    </w:p>
    <w:p>
      <w:pPr>
        <w:pStyle w:val="Heading2"/>
        <w:spacing w:after="150" w:before="300"/>
      </w:pPr>
      <w:r>
        <w:t xml:space="preserve">4.2 Module — Communication</w:t>
      </w:r>
    </w:p>
    <w:p>
      <w:pPr>
        <w:spacing w:after="120"/>
      </w:pPr>
      <w:r>
        <w:rPr>
          <w:i/>
          <w:iCs/>
          <w:color w:val="444444"/>
        </w:rPr>
        <w:t xml:space="preserve">Permettre les échanges directs entre deux personnes et la diffusion d'annonces ciblées ou générales.</w:t>
      </w:r>
    </w:p>
    <w:p>
      <w:pPr>
        <w:spacing w:after="60"/>
      </w:pPr>
      <w:r>
        <w:rPr>
          <w:b/>
          <w:bCs/>
        </w:rPr>
        <w:t xml:space="preserve">Fonctionnalités : </w:t>
      </w:r>
    </w:p>
    <w:p>
      <w:pPr>
        <w:pStyle w:val="ListParagraph"/>
        <w:numPr>
          <w:ilvl w:val="0"/>
          <w:numId w:val="1"/>
        </w:numPr>
        <w:spacing w:after="60"/>
      </w:pPr>
      <w:r>
        <w:t xml:space="preserve">Messagerie directe entre deux utilisateurs : chat texte + partage de fichiers + accusés de lecture horodatés (« vu à 14h32 »).</w:t>
      </w:r>
    </w:p>
    <w:p>
      <w:pPr>
        <w:pStyle w:val="ListParagraph"/>
        <w:numPr>
          <w:ilvl w:val="0"/>
          <w:numId w:val="1"/>
        </w:numPr>
        <w:spacing w:after="60"/>
      </w:pPr>
      <w:r>
        <w:t xml:space="preserve">Annonces (messages groupés) : tout responsable, à tout niveau, peut envoyer une annonce à son périmètre direct (agents, section, division, ou toute la DNPEC pour DN/DNA).</w:t>
      </w:r>
    </w:p>
    <w:p>
      <w:pPr>
        <w:pStyle w:val="ListParagraph"/>
        <w:numPr>
          <w:ilvl w:val="0"/>
          <w:numId w:val="1"/>
        </w:numPr>
        <w:spacing w:after="60"/>
      </w:pPr>
      <w:r>
        <w:t xml:space="preserve">Ciblage des annonces : diffusion possible vers toute la DNPEC, une division précise, ou un groupe personnalisé.</w:t>
      </w:r>
    </w:p>
    <w:p>
      <w:pPr>
        <w:pStyle w:val="ListParagraph"/>
        <w:numPr>
          <w:ilvl w:val="0"/>
          <w:numId w:val="1"/>
        </w:numPr>
        <w:spacing w:after="60"/>
      </w:pPr>
      <w:r>
        <w:t xml:space="preserve">Notifications multi-canal : in-app + email + SMS pour les cas urgents (tâche urgente en retard, annonce critique).</w:t>
      </w:r>
    </w:p>
    <w:p>
      <w:pPr>
        <w:pStyle w:val="ListParagraph"/>
        <w:numPr>
          <w:ilvl w:val="0"/>
          <w:numId w:val="1"/>
        </w:numPr>
        <w:spacing w:after="60"/>
      </w:pPr>
      <w:r>
        <w:t xml:space="preserve">Historisation intégrale et conservation indéfinie de tous les échanges (messages et annonces) à des fins de traçabilité et d'audit.</w:t>
      </w:r>
    </w:p>
    <w:p>
      <w:pPr>
        <w:pStyle w:val="Heading2"/>
        <w:spacing w:after="150" w:before="300"/>
      </w:pPr>
      <w:r>
        <w:t xml:space="preserve">4.3 Module — Archivage et Gestion Électronique des Documents (GED)</w:t>
      </w:r>
    </w:p>
    <w:p>
      <w:pPr>
        <w:spacing w:after="120"/>
      </w:pPr>
      <w:r>
        <w:rPr>
          <w:i/>
          <w:iCs/>
          <w:color w:val="444444"/>
        </w:rPr>
        <w:t xml:space="preserve">Centraliser les travaux et documents produits par chaque division, avec un espace de travail privé et un espace de publication institutionnelle.</w:t>
      </w:r>
    </w:p>
    <w:p>
      <w:pPr>
        <w:spacing w:after="60"/>
      </w:pPr>
      <w:r>
        <w:rPr>
          <w:b/>
          <w:bCs/>
        </w:rPr>
        <w:t xml:space="preserve">Fonctionnalités : </w:t>
      </w:r>
    </w:p>
    <w:p>
      <w:pPr>
        <w:pStyle w:val="ListParagraph"/>
        <w:numPr>
          <w:ilvl w:val="0"/>
          <w:numId w:val="1"/>
        </w:numPr>
        <w:spacing w:after="60"/>
      </w:pPr>
      <w:r>
        <w:t xml:space="preserve">Espace privé par division : chaque agent peut y déposer un document (recherche, résultat d'une tâche), visible uniquement par les membres de sa division ; le document peut être lié directement à la tâche dont il est issu.</w:t>
      </w:r>
    </w:p>
    <w:p>
      <w:pPr>
        <w:pStyle w:val="ListParagraph"/>
        <w:numPr>
          <w:ilvl w:val="0"/>
          <w:numId w:val="1"/>
        </w:numPr>
        <w:spacing w:after="60"/>
      </w:pPr>
      <w:r>
        <w:t xml:space="preserve">Espace de publication DNPEC : documents rendus visibles et téléchargeables par l'ensemble de la Direction.</w:t>
      </w:r>
    </w:p>
    <w:p>
      <w:pPr>
        <w:pStyle w:val="ListParagraph"/>
        <w:numPr>
          <w:ilvl w:val="0"/>
          <w:numId w:val="1"/>
        </w:numPr>
        <w:spacing w:after="60"/>
      </w:pPr>
      <w:r>
        <w:t xml:space="preserve">Droit de publication vers toute la DNPEC réservé au DN/DNA et aux Chefs de Division.</w:t>
      </w:r>
    </w:p>
    <w:p>
      <w:pPr>
        <w:pStyle w:val="ListParagraph"/>
        <w:numPr>
          <w:ilvl w:val="0"/>
          <w:numId w:val="1"/>
        </w:numPr>
        <w:spacing w:after="60"/>
      </w:pPr>
      <w:r>
        <w:t xml:space="preserve">Gestion de versions : conservation de l'historique complet des versions d'un document ; chaque document doit être explicitement marqué « Final » — seuls les documents marqués comme finaux peuvent être publiés à toute la Direction.</w:t>
      </w:r>
    </w:p>
    <w:p>
      <w:pPr>
        <w:pStyle w:val="ListParagraph"/>
        <w:numPr>
          <w:ilvl w:val="0"/>
          <w:numId w:val="1"/>
        </w:numPr>
        <w:spacing w:after="60"/>
      </w:pPr>
      <w:r>
        <w:t xml:space="preserve">Classement hybride : catégories fixes prédéfinies (Division, Type de document : étude / rapport / note technique) + organisation libre en dossiers/sous-dossiers propre à chaque division.</w:t>
      </w:r>
    </w:p>
    <w:p>
      <w:pPr>
        <w:pStyle w:val="ListParagraph"/>
        <w:numPr>
          <w:ilvl w:val="0"/>
          <w:numId w:val="1"/>
        </w:numPr>
        <w:spacing w:after="60"/>
      </w:pPr>
      <w:r>
        <w:t xml:space="preserve">Recherche avancée par filtres (division, date, type, catégorie) ET recherche en texte intégral, y compris dans les documents PDF scannés (OCR requis).</w:t>
      </w:r>
    </w:p>
    <w:p>
      <w:pPr>
        <w:pStyle w:val="Heading2"/>
        <w:spacing w:after="150" w:before="300"/>
      </w:pPr>
      <w:r>
        <w:t xml:space="preserve">4.4 Module — Congés et Absences</w:t>
      </w:r>
    </w:p>
    <w:p>
      <w:pPr>
        <w:spacing w:after="120"/>
      </w:pPr>
      <w:r>
        <w:rPr>
          <w:i/>
          <w:iCs/>
          <w:color w:val="444444"/>
        </w:rPr>
        <w:t xml:space="preserve">Digitaliser la gestion des congés et absences du personnel, indépendamment du système de tâches.</w:t>
      </w:r>
    </w:p>
    <w:p>
      <w:pPr>
        <w:spacing w:after="60"/>
      </w:pPr>
      <w:r>
        <w:rPr>
          <w:b/>
          <w:bCs/>
        </w:rPr>
        <w:t xml:space="preserve">Fonctionnalités : </w:t>
      </w:r>
    </w:p>
    <w:p>
      <w:pPr>
        <w:pStyle w:val="ListParagraph"/>
        <w:numPr>
          <w:ilvl w:val="0"/>
          <w:numId w:val="1"/>
        </w:numPr>
        <w:spacing w:after="60"/>
      </w:pPr>
      <w:r>
        <w:t xml:space="preserve">Demande de congé/absence par l'agent, avec workflow de validation par le supérieur hiérarchique direct (logique de délégation en cascade).</w:t>
      </w:r>
    </w:p>
    <w:p>
      <w:pPr>
        <w:pStyle w:val="ListParagraph"/>
        <w:numPr>
          <w:ilvl w:val="0"/>
          <w:numId w:val="1"/>
        </w:numPr>
        <w:spacing w:after="60"/>
      </w:pPr>
      <w:r>
        <w:t xml:space="preserve">Types de congés/absences : congé annuel, congé maladie, mission/déplacement professionnel (extensible).</w:t>
      </w:r>
    </w:p>
    <w:p>
      <w:pPr>
        <w:pStyle w:val="ListParagraph"/>
        <w:numPr>
          <w:ilvl w:val="0"/>
          <w:numId w:val="1"/>
        </w:numPr>
        <w:spacing w:after="60"/>
      </w:pPr>
      <w:r>
        <w:t xml:space="preserve">Calcul et affichage du solde de jours de congé restants par agent.</w:t>
      </w:r>
    </w:p>
    <w:p>
      <w:pPr>
        <w:pStyle w:val="ListParagraph"/>
        <w:numPr>
          <w:ilvl w:val="0"/>
          <w:numId w:val="1"/>
        </w:numPr>
        <w:spacing w:after="60"/>
      </w:pPr>
      <w:r>
        <w:t xml:space="preserve">Historique complet des congés et absences pour chaque agent.</w:t>
      </w:r>
    </w:p>
    <w:p>
      <w:pPr>
        <w:pStyle w:val="Heading2"/>
        <w:spacing w:after="150" w:before="300"/>
      </w:pPr>
      <w:r>
        <w:t xml:space="preserve">4.5 Module — Annuaire du personnel</w:t>
      </w:r>
    </w:p>
    <w:p>
      <w:pPr>
        <w:spacing w:after="120"/>
      </w:pPr>
      <w:r>
        <w:rPr>
          <w:i/>
          <w:iCs/>
          <w:color w:val="444444"/>
        </w:rPr>
        <w:t xml:space="preserve">Faciliter l'identification rapide des interlocuteurs au sein de la DNPEC.</w:t>
      </w:r>
    </w:p>
    <w:p>
      <w:pPr>
        <w:spacing w:after="60"/>
      </w:pPr>
      <w:r>
        <w:rPr>
          <w:b/>
          <w:bCs/>
        </w:rPr>
        <w:t xml:space="preserve">Fonctionnalités : </w:t>
      </w:r>
    </w:p>
    <w:p>
      <w:pPr>
        <w:pStyle w:val="ListParagraph"/>
        <w:numPr>
          <w:ilvl w:val="0"/>
          <w:numId w:val="1"/>
        </w:numPr>
        <w:spacing w:after="60"/>
      </w:pPr>
      <w:r>
        <w:t xml:space="preserve">Fiche par agent : nom, fonction, division/section de rattachement, contact, photo.</w:t>
      </w:r>
    </w:p>
    <w:p>
      <w:pPr>
        <w:pStyle w:val="ListParagraph"/>
        <w:numPr>
          <w:ilvl w:val="0"/>
          <w:numId w:val="1"/>
        </w:numPr>
        <w:spacing w:after="60"/>
      </w:pPr>
      <w:r>
        <w:t xml:space="preserve">Navigation possible depuis une représentation interactive de l'organigramme.</w:t>
      </w:r>
    </w:p>
    <w:p>
      <w:pPr>
        <w:pStyle w:val="ListParagraph"/>
        <w:numPr>
          <w:ilvl w:val="0"/>
          <w:numId w:val="1"/>
        </w:numPr>
        <w:spacing w:after="60"/>
      </w:pPr>
      <w:r>
        <w:t xml:space="preserve">Accès direct à la messagerie ou à l'assignation de tâche depuis une fiche agent.</w:t>
      </w:r>
    </w:p>
    <w:p>
      <w:pPr>
        <w:pStyle w:val="Heading2"/>
        <w:spacing w:after="150" w:before="300"/>
      </w:pPr>
      <w:r>
        <w:t xml:space="preserve">4.6 Module — Calendrier partagé de réunions</w:t>
      </w:r>
    </w:p>
    <w:p>
      <w:pPr>
        <w:spacing w:after="120"/>
      </w:pPr>
      <w:r>
        <w:rPr>
          <w:i/>
          <w:iCs/>
          <w:color w:val="444444"/>
        </w:rPr>
        <w:t xml:space="preserve">Planifier et suivre les réunions internes, au-delà des simples échéances de tâches.</w:t>
      </w:r>
    </w:p>
    <w:p>
      <w:pPr>
        <w:spacing w:after="60"/>
      </w:pPr>
      <w:r>
        <w:rPr>
          <w:b/>
          <w:bCs/>
        </w:rPr>
        <w:t xml:space="preserve">Fonctionnalités : </w:t>
      </w:r>
    </w:p>
    <w:p>
      <w:pPr>
        <w:pStyle w:val="ListParagraph"/>
        <w:numPr>
          <w:ilvl w:val="0"/>
          <w:numId w:val="1"/>
        </w:numPr>
        <w:spacing w:after="60"/>
      </w:pPr>
      <w:r>
        <w:t xml:space="preserve">Création de réunions avec participants, date/heure, lieu/salle, ordre du jour.</w:t>
      </w:r>
    </w:p>
    <w:p>
      <w:pPr>
        <w:pStyle w:val="ListParagraph"/>
        <w:numPr>
          <w:ilvl w:val="0"/>
          <w:numId w:val="1"/>
        </w:numPr>
        <w:spacing w:after="60"/>
      </w:pPr>
      <w:r>
        <w:t xml:space="preserve">Visibilité limitée aux participants concernés et à leur hiérarchie directe.</w:t>
      </w:r>
    </w:p>
    <w:p>
      <w:pPr>
        <w:pStyle w:val="ListParagraph"/>
        <w:numPr>
          <w:ilvl w:val="0"/>
          <w:numId w:val="1"/>
        </w:numPr>
        <w:spacing w:after="60"/>
      </w:pPr>
      <w:r>
        <w:t xml:space="preserve">Rappels/notifications avant la réunion, alignés sur le système de notifications multi-canal du module Communication.</w:t>
      </w:r>
    </w:p>
    <w:p>
      <w:pPr>
        <w:pStyle w:val="Heading2"/>
        <w:spacing w:after="150" w:before="300"/>
      </w:pPr>
      <w:r>
        <w:t xml:space="preserve">4.7 Module — Sondages et décisions rapides</w:t>
      </w:r>
    </w:p>
    <w:p>
      <w:pPr>
        <w:spacing w:after="120"/>
      </w:pPr>
      <w:r>
        <w:rPr>
          <w:i/>
          <w:iCs/>
          <w:color w:val="444444"/>
        </w:rPr>
        <w:t xml:space="preserve">Permettre à un responsable de consulter rapidement son équipe sans passer par des échanges individuels.</w:t>
      </w:r>
    </w:p>
    <w:p>
      <w:pPr>
        <w:spacing w:after="60"/>
      </w:pPr>
      <w:r>
        <w:rPr>
          <w:b/>
          <w:bCs/>
        </w:rPr>
        <w:t xml:space="preserve">Fonctionnalités : </w:t>
      </w:r>
    </w:p>
    <w:p>
      <w:pPr>
        <w:pStyle w:val="ListParagraph"/>
        <w:numPr>
          <w:ilvl w:val="0"/>
          <w:numId w:val="1"/>
        </w:numPr>
        <w:spacing w:after="60"/>
      </w:pPr>
      <w:r>
        <w:t xml:space="preserve">Création d'un sondage à choix simples par un responsable, à destination de son périmètre (cascade).</w:t>
      </w:r>
    </w:p>
    <w:p>
      <w:pPr>
        <w:pStyle w:val="ListParagraph"/>
        <w:numPr>
          <w:ilvl w:val="0"/>
          <w:numId w:val="1"/>
        </w:numPr>
        <w:spacing w:after="60"/>
      </w:pPr>
      <w:r>
        <w:t xml:space="preserve">Suivi en temps réel des réponses et affichage synthétique des résultats.</w:t>
      </w:r>
    </w:p>
    <w:p>
      <w:pPr>
        <w:pStyle w:val="Heading2"/>
        <w:spacing w:after="150" w:before="300"/>
      </w:pPr>
      <w:r>
        <w:t xml:space="preserve">4.8 Module — Boîte à suggestions</w:t>
      </w:r>
    </w:p>
    <w:p>
      <w:pPr>
        <w:spacing w:after="120"/>
      </w:pPr>
      <w:r>
        <w:rPr>
          <w:i/>
          <w:iCs/>
          <w:color w:val="444444"/>
        </w:rPr>
        <w:t xml:space="preserve">Offrir un canal formel aux agents pour proposer des idées d'amélioration, et favoriser l'adhésion au système.</w:t>
      </w:r>
    </w:p>
    <w:p>
      <w:pPr>
        <w:spacing w:after="60"/>
      </w:pPr>
      <w:r>
        <w:rPr>
          <w:b/>
          <w:bCs/>
        </w:rPr>
        <w:t xml:space="preserve">Fonctionnalités : </w:t>
      </w:r>
    </w:p>
    <w:p>
      <w:pPr>
        <w:pStyle w:val="ListParagraph"/>
        <w:numPr>
          <w:ilvl w:val="0"/>
          <w:numId w:val="1"/>
        </w:numPr>
        <w:spacing w:after="60"/>
      </w:pPr>
      <w:r>
        <w:t xml:space="preserve">Soumission de suggestions par tout agent, à destination du DN/DNA.</w:t>
      </w:r>
    </w:p>
    <w:p>
      <w:pPr>
        <w:pStyle w:val="ListParagraph"/>
        <w:numPr>
          <w:ilvl w:val="0"/>
          <w:numId w:val="1"/>
        </w:numPr>
        <w:spacing w:after="60"/>
      </w:pPr>
      <w:r>
        <w:t xml:space="preserve">Suivi de statut de la suggestion (Reçue / En étude / Retenue / Non retenue).</w:t>
      </w:r>
    </w:p>
    <w:p>
      <w:pPr>
        <w:pStyle w:val="Heading2"/>
        <w:spacing w:after="150" w:before="300"/>
      </w:pPr>
      <w:r>
        <w:t xml:space="preserve">4.9 Reporting et export</w:t>
      </w:r>
    </w:p>
    <w:p>
      <w:pPr>
        <w:spacing w:after="120"/>
      </w:pPr>
      <w:r>
        <w:rPr>
          <w:i/>
          <w:iCs/>
          <w:color w:val="444444"/>
        </w:rPr>
        <w:t xml:space="preserve">Donner aux dirigeants les moyens de consulter et de partager les données du système en dehors de l'application.</w:t>
      </w:r>
    </w:p>
    <w:p>
      <w:pPr>
        <w:spacing w:after="60"/>
      </w:pPr>
      <w:r>
        <w:rPr>
          <w:b/>
          <w:bCs/>
        </w:rPr>
        <w:t xml:space="preserve">Fonctionnalités : </w:t>
      </w:r>
    </w:p>
    <w:p>
      <w:pPr>
        <w:pStyle w:val="ListParagraph"/>
        <w:numPr>
          <w:ilvl w:val="0"/>
          <w:numId w:val="1"/>
        </w:numPr>
        <w:spacing w:after="60"/>
      </w:pPr>
      <w:r>
        <w:t xml:space="preserve">Export des données (tâches, statistiques) en PDF (présentation/impression) et en Excel (retraitement des données).</w:t>
      </w:r>
    </w:p>
    <w:p>
      <w:pPr>
        <w:pStyle w:val="ListParagraph"/>
        <w:numPr>
          <w:ilvl w:val="0"/>
          <w:numId w:val="1"/>
        </w:numPr>
        <w:spacing w:after="60"/>
      </w:pPr>
      <w:r>
        <w:t xml:space="preserve">Pas de rapport périodique automatique — consultation à la demande via le tableau de bord et les exports.</w:t>
      </w:r>
    </w:p>
    <w:p>
      <w:pPr>
        <w:pStyle w:val="ListParagraph"/>
        <w:numPr>
          <w:ilvl w:val="0"/>
          <w:numId w:val="1"/>
        </w:numPr>
        <w:spacing w:after="60"/>
      </w:pPr>
      <w:r>
        <w:t xml:space="preserve">Journal d'activité/audit détaillé (création, modification, suppression, validation), accessible à chaque responsable pour son propre périmètre.</w:t>
      </w:r>
    </w:p>
    <w:p>
      <w:r>
        <w:br w:type="page"/>
      </w:r>
    </w:p>
    <w:p>
      <w:pPr>
        <w:pStyle w:val="Heading1"/>
        <w:spacing w:after="200" w:before="400"/>
      </w:pPr>
      <w:r>
        <w:t xml:space="preserve">5. Synthèse des exigences fonctionnelles et priorisation</w:t>
      </w:r>
    </w:p>
    <w:p>
      <w:pPr>
        <w:spacing w:after="120"/>
      </w:pPr>
      <w:r>
        <w:t xml:space="preserve">Chaque exigence est identifiée par un code unique (réutilisable comme référence pendant le développement) et classée selon la méthode MoSCoW : MUST (indispensable / MVP), SHOULD (important, peu après le MVP), COULD (souhaitable, si le temps/budget le permet).</w:t>
      </w:r>
    </w:p>
    <w:p>
      <w:pPr>
        <w:pStyle w:val="Heading2"/>
        <w:spacing w:after="150" w:before="300"/>
      </w:pPr>
      <w:r>
        <w:t xml:space="preserve">5.1 Module Tâches (RF-TAC)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RF-TAC-01</w:t>
            </w:r>
          </w:p>
        </w:tc>
        <w:tc>
          <w:tcPr>
            <w:tcW w:type="dxa" w:w="6800"/>
            <w:vAlign w:val="center"/>
          </w:tcPr>
          <w:p>
            <w:r>
              <w:rPr>
                <w:sz w:val="19"/>
                <w:szCs w:val="19"/>
              </w:rPr>
              <w:t xml:space="preserve">Création et assignation de tâches en cascade selon la hiérarchie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RF-TAC-02</w:t>
            </w:r>
          </w:p>
        </w:tc>
        <w:tc>
          <w:tcPr>
            <w:tcW w:type="dxa" w:w="6800"/>
            <w:vAlign w:val="center"/>
          </w:tcPr>
          <w:p>
            <w:r>
              <w:rPr>
                <w:sz w:val="19"/>
                <w:szCs w:val="19"/>
              </w:rPr>
              <w:t xml:space="preserve">Support de la co-responsabilité multi-utilisateurs sur une même tâche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RF-TAC-03</w:t>
            </w:r>
          </w:p>
        </w:tc>
        <w:tc>
          <w:tcPr>
            <w:tcW w:type="dxa" w:w="6800"/>
            <w:vAlign w:val="center"/>
          </w:tcPr>
          <w:p>
            <w:r>
              <w:rPr>
                <w:sz w:val="19"/>
                <w:szCs w:val="19"/>
              </w:rPr>
              <w:t xml:space="preserve">Workflow de statut avec soumission/validation/rejet</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RF-TAC-04</w:t>
            </w:r>
          </w:p>
        </w:tc>
        <w:tc>
          <w:tcPr>
            <w:tcW w:type="dxa" w:w="6800"/>
            <w:vAlign w:val="center"/>
          </w:tcPr>
          <w:p>
            <w:r>
              <w:rPr>
                <w:sz w:val="19"/>
                <w:szCs w:val="19"/>
              </w:rPr>
              <w:t xml:space="preserve">Sous-tâches avec statut et progression calculée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RF-TAC-05</w:t>
            </w:r>
          </w:p>
        </w:tc>
        <w:tc>
          <w:tcPr>
            <w:tcW w:type="dxa" w:w="6800"/>
            <w:vAlign w:val="center"/>
          </w:tcPr>
          <w:p>
            <w:r>
              <w:rPr>
                <w:sz w:val="19"/>
                <w:szCs w:val="19"/>
              </w:rPr>
              <w:t xml:space="preserve">Pièces jointes sur les tâches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RF-TAC-06</w:t>
            </w:r>
          </w:p>
        </w:tc>
        <w:tc>
          <w:tcPr>
            <w:tcW w:type="dxa" w:w="6800"/>
            <w:vAlign w:val="center"/>
          </w:tcPr>
          <w:p>
            <w:r>
              <w:rPr>
                <w:sz w:val="19"/>
                <w:szCs w:val="19"/>
              </w:rPr>
              <w:t xml:space="preserve">Priorités et alertes automatiques avant échéance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RF-TAC-07</w:t>
            </w:r>
          </w:p>
        </w:tc>
        <w:tc>
          <w:tcPr>
            <w:tcW w:type="dxa" w:w="6800"/>
            <w:vAlign w:val="center"/>
          </w:tcPr>
          <w:p>
            <w:r>
              <w:rPr>
                <w:sz w:val="19"/>
                <w:szCs w:val="19"/>
              </w:rPr>
              <w:t xml:space="preserve">Niveaux de confidentialité sur les tâches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RF-TAC-08</w:t>
            </w:r>
          </w:p>
        </w:tc>
        <w:tc>
          <w:tcPr>
            <w:tcW w:type="dxa" w:w="6800"/>
            <w:vAlign w:val="center"/>
          </w:tcPr>
          <w:p>
            <w:r>
              <w:rPr>
                <w:sz w:val="19"/>
                <w:szCs w:val="19"/>
              </w:rPr>
              <w:t xml:space="preserve">Fil de commentaires avec mentions @nom</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RF-TAC-09</w:t>
            </w:r>
          </w:p>
        </w:tc>
        <w:tc>
          <w:tcPr>
            <w:tcW w:type="dxa" w:w="6800"/>
            <w:vAlign w:val="center"/>
          </w:tcPr>
          <w:p>
            <w:r>
              <w:rPr>
                <w:sz w:val="19"/>
                <w:szCs w:val="19"/>
              </w:rPr>
              <w:t xml:space="preserve">Tâches récurrentes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RF-TAC-10</w:t>
            </w:r>
          </w:p>
        </w:tc>
        <w:tc>
          <w:tcPr>
            <w:tcW w:type="dxa" w:w="6800"/>
            <w:vAlign w:val="center"/>
          </w:tcPr>
          <w:p>
            <w:r>
              <w:rPr>
                <w:sz w:val="19"/>
                <w:szCs w:val="19"/>
              </w:rPr>
              <w:t xml:space="preserve">Vue Calendrier et vue Kanban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RF-TAC-11</w:t>
            </w:r>
          </w:p>
        </w:tc>
        <w:tc>
          <w:tcPr>
            <w:tcW w:type="dxa" w:w="6800"/>
            <w:vAlign w:val="center"/>
          </w:tcPr>
          <w:p>
            <w:r>
              <w:rPr>
                <w:sz w:val="19"/>
                <w:szCs w:val="19"/>
              </w:rPr>
              <w:t xml:space="preserve">Recherche avancée avec filtres et favoris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RF-TAC-12</w:t>
            </w:r>
          </w:p>
        </w:tc>
        <w:tc>
          <w:tcPr>
            <w:tcW w:type="dxa" w:w="6800"/>
            <w:vAlign w:val="center"/>
          </w:tcPr>
          <w:p>
            <w:r>
              <w:rPr>
                <w:sz w:val="19"/>
                <w:szCs w:val="19"/>
              </w:rPr>
              <w:t xml:space="preserve">Tableau de bord d'avancement (global et par périmètre)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RF-TAC-13</w:t>
            </w:r>
          </w:p>
        </w:tc>
        <w:tc>
          <w:tcPr>
            <w:tcW w:type="dxa" w:w="6800"/>
            <w:vAlign w:val="center"/>
          </w:tcPr>
          <w:p>
            <w:r>
              <w:rPr>
                <w:sz w:val="19"/>
                <w:szCs w:val="19"/>
              </w:rPr>
              <w:t xml:space="preserve">Regroupement de tâches en Projets/Dossiers</w:t>
            </w:r>
          </w:p>
        </w:tc>
        <w:tc>
          <w:tcPr>
            <w:tcW w:type="dxa" w:w="1350"/>
            <w:vAlign w:val="center"/>
          </w:tcPr>
          <w:p>
            <w:r>
              <w:rPr>
                <w:b/>
                <w:bCs/>
                <w:color w:val="BF8F00"/>
                <w:sz w:val="19"/>
                <w:szCs w:val="19"/>
              </w:rPr>
              <w:t xml:space="preserve">SHOULD</w:t>
            </w:r>
          </w:p>
        </w:tc>
      </w:tr>
    </w:tbl>
    <w:p>
      <w:pPr>
        <w:pStyle w:val="Heading2"/>
        <w:spacing w:after="150" w:before="300"/>
      </w:pPr>
      <w:r>
        <w:t xml:space="preserve">5.2 Module Communication (RF-COM)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RF-COM-01</w:t>
            </w:r>
          </w:p>
        </w:tc>
        <w:tc>
          <w:tcPr>
            <w:tcW w:type="dxa" w:w="6800"/>
            <w:vAlign w:val="center"/>
          </w:tcPr>
          <w:p>
            <w:r>
              <w:rPr>
                <w:sz w:val="19"/>
                <w:szCs w:val="19"/>
              </w:rPr>
              <w:t xml:space="preserve">Messagerie directe avec fichiers et accusés de lecture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RF-COM-02</w:t>
            </w:r>
          </w:p>
        </w:tc>
        <w:tc>
          <w:tcPr>
            <w:tcW w:type="dxa" w:w="6800"/>
            <w:vAlign w:val="center"/>
          </w:tcPr>
          <w:p>
            <w:r>
              <w:rPr>
                <w:sz w:val="19"/>
                <w:szCs w:val="19"/>
              </w:rPr>
              <w:t xml:space="preserve">Annonces ciblées en cascade hiérarchique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RF-COM-03</w:t>
            </w:r>
          </w:p>
        </w:tc>
        <w:tc>
          <w:tcPr>
            <w:tcW w:type="dxa" w:w="6800"/>
            <w:vAlign w:val="center"/>
          </w:tcPr>
          <w:p>
            <w:r>
              <w:rPr>
                <w:sz w:val="19"/>
                <w:szCs w:val="19"/>
              </w:rPr>
              <w:t xml:space="preserve">Notifications in-app et email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RF-COM-04</w:t>
            </w:r>
          </w:p>
        </w:tc>
        <w:tc>
          <w:tcPr>
            <w:tcW w:type="dxa" w:w="6800"/>
            <w:vAlign w:val="center"/>
          </w:tcPr>
          <w:p>
            <w:r>
              <w:rPr>
                <w:sz w:val="19"/>
                <w:szCs w:val="19"/>
              </w:rPr>
              <w:t xml:space="preserve">Notifications SMS pour les cas urgents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RF-COM-05</w:t>
            </w:r>
          </w:p>
        </w:tc>
        <w:tc>
          <w:tcPr>
            <w:tcW w:type="dxa" w:w="6800"/>
            <w:vAlign w:val="center"/>
          </w:tcPr>
          <w:p>
            <w:r>
              <w:rPr>
                <w:sz w:val="19"/>
                <w:szCs w:val="19"/>
              </w:rPr>
              <w:t xml:space="preserve">Historisation intégrale et conservation indéfinie des échanges</w:t>
            </w:r>
          </w:p>
        </w:tc>
        <w:tc>
          <w:tcPr>
            <w:tcW w:type="dxa" w:w="1350"/>
            <w:vAlign w:val="center"/>
          </w:tcPr>
          <w:p>
            <w:r>
              <w:rPr>
                <w:b/>
                <w:bCs/>
                <w:color w:val="C00000"/>
                <w:sz w:val="19"/>
                <w:szCs w:val="19"/>
              </w:rPr>
              <w:t xml:space="preserve">MUST</w:t>
            </w:r>
          </w:p>
        </w:tc>
      </w:tr>
    </w:tbl>
    <w:p>
      <w:pPr>
        <w:pStyle w:val="Heading2"/>
        <w:spacing w:after="150" w:before="300"/>
      </w:pPr>
      <w:r>
        <w:t xml:space="preserve">5.3 Module Archivage / GED (RF-GED)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RF-GED-01</w:t>
            </w:r>
          </w:p>
        </w:tc>
        <w:tc>
          <w:tcPr>
            <w:tcW w:type="dxa" w:w="6800"/>
            <w:vAlign w:val="center"/>
          </w:tcPr>
          <w:p>
            <w:r>
              <w:rPr>
                <w:sz w:val="19"/>
                <w:szCs w:val="19"/>
              </w:rPr>
              <w:t xml:space="preserve">Espace privé par division pour les documents de travail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RF-GED-02</w:t>
            </w:r>
          </w:p>
        </w:tc>
        <w:tc>
          <w:tcPr>
            <w:tcW w:type="dxa" w:w="6800"/>
            <w:vAlign w:val="center"/>
          </w:tcPr>
          <w:p>
            <w:r>
              <w:rPr>
                <w:sz w:val="19"/>
                <w:szCs w:val="19"/>
              </w:rPr>
              <w:t xml:space="preserve">Espace de publication institutionnelle pour toute la DNPEC</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RF-GED-03</w:t>
            </w:r>
          </w:p>
        </w:tc>
        <w:tc>
          <w:tcPr>
            <w:tcW w:type="dxa" w:w="6800"/>
            <w:vAlign w:val="center"/>
          </w:tcPr>
          <w:p>
            <w:r>
              <w:rPr>
                <w:sz w:val="19"/>
                <w:szCs w:val="19"/>
              </w:rPr>
              <w:t xml:space="preserve">Gestion de versions avec marquage « Final »</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RF-GED-04</w:t>
            </w:r>
          </w:p>
        </w:tc>
        <w:tc>
          <w:tcPr>
            <w:tcW w:type="dxa" w:w="6800"/>
            <w:vAlign w:val="center"/>
          </w:tcPr>
          <w:p>
            <w:r>
              <w:rPr>
                <w:sz w:val="19"/>
                <w:szCs w:val="19"/>
              </w:rPr>
              <w:t xml:space="preserve">Classement par catégories fixes + dossiers libres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RF-GED-05</w:t>
            </w:r>
          </w:p>
        </w:tc>
        <w:tc>
          <w:tcPr>
            <w:tcW w:type="dxa" w:w="6800"/>
            <w:vAlign w:val="center"/>
          </w:tcPr>
          <w:p>
            <w:r>
              <w:rPr>
                <w:sz w:val="19"/>
                <w:szCs w:val="19"/>
              </w:rPr>
              <w:t xml:space="preserve">Recherche par filtres (division, date, type)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RF-GED-06</w:t>
            </w:r>
          </w:p>
        </w:tc>
        <w:tc>
          <w:tcPr>
            <w:tcW w:type="dxa" w:w="6800"/>
            <w:vAlign w:val="center"/>
          </w:tcPr>
          <w:p>
            <w:r>
              <w:rPr>
                <w:sz w:val="19"/>
                <w:szCs w:val="19"/>
              </w:rPr>
              <w:t xml:space="preserve">Recherche en texte intégral avec OCR sur PDF scannés</w:t>
            </w:r>
          </w:p>
        </w:tc>
        <w:tc>
          <w:tcPr>
            <w:tcW w:type="dxa" w:w="1350"/>
            <w:vAlign w:val="center"/>
          </w:tcPr>
          <w:p>
            <w:r>
              <w:rPr>
                <w:b/>
                <w:bCs/>
                <w:color w:val="BF8F00"/>
                <w:sz w:val="19"/>
                <w:szCs w:val="19"/>
              </w:rPr>
              <w:t xml:space="preserve">SHOULD</w:t>
            </w:r>
          </w:p>
        </w:tc>
      </w:tr>
    </w:tbl>
    <w:p>
      <w:pPr>
        <w:pStyle w:val="Heading2"/>
        <w:spacing w:after="150" w:before="300"/>
      </w:pPr>
      <w:r>
        <w:t xml:space="preserve">5.4 Module Congés et Absences (RF-CNG)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RF-CNG-01</w:t>
            </w:r>
          </w:p>
        </w:tc>
        <w:tc>
          <w:tcPr>
            <w:tcW w:type="dxa" w:w="6800"/>
            <w:vAlign w:val="center"/>
          </w:tcPr>
          <w:p>
            <w:r>
              <w:rPr>
                <w:sz w:val="19"/>
                <w:szCs w:val="19"/>
              </w:rPr>
              <w:t xml:space="preserve">Demande de congé/absence avec workflow de validation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RF-CNG-02</w:t>
            </w:r>
          </w:p>
        </w:tc>
        <w:tc>
          <w:tcPr>
            <w:tcW w:type="dxa" w:w="6800"/>
            <w:vAlign w:val="center"/>
          </w:tcPr>
          <w:p>
            <w:r>
              <w:rPr>
                <w:sz w:val="19"/>
                <w:szCs w:val="19"/>
              </w:rPr>
              <w:t xml:space="preserve">Types de congés (annuel, maladie, mission)</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RF-CNG-03</w:t>
            </w:r>
          </w:p>
        </w:tc>
        <w:tc>
          <w:tcPr>
            <w:tcW w:type="dxa" w:w="6800"/>
            <w:vAlign w:val="center"/>
          </w:tcPr>
          <w:p>
            <w:r>
              <w:rPr>
                <w:sz w:val="19"/>
                <w:szCs w:val="19"/>
              </w:rPr>
              <w:t xml:space="preserve">Calcul automatique du solde de jours restants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RF-CNG-04</w:t>
            </w:r>
          </w:p>
        </w:tc>
        <w:tc>
          <w:tcPr>
            <w:tcW w:type="dxa" w:w="6800"/>
            <w:vAlign w:val="center"/>
          </w:tcPr>
          <w:p>
            <w:r>
              <w:rPr>
                <w:sz w:val="19"/>
                <w:szCs w:val="19"/>
              </w:rPr>
              <w:t xml:space="preserve">Historique des congés/absences par agent</w:t>
            </w:r>
          </w:p>
        </w:tc>
        <w:tc>
          <w:tcPr>
            <w:tcW w:type="dxa" w:w="1350"/>
            <w:vAlign w:val="center"/>
          </w:tcPr>
          <w:p>
            <w:r>
              <w:rPr>
                <w:b/>
                <w:bCs/>
                <w:color w:val="BF8F00"/>
                <w:sz w:val="19"/>
                <w:szCs w:val="19"/>
              </w:rPr>
              <w:t xml:space="preserve">SHOULD</w:t>
            </w:r>
          </w:p>
        </w:tc>
      </w:tr>
    </w:tbl>
    <w:p>
      <w:pPr>
        <w:pStyle w:val="Heading2"/>
        <w:spacing w:after="150" w:before="300"/>
      </w:pPr>
      <w:r>
        <w:t xml:space="preserve">5.5 Utilisateurs et sécurité (RF-SEC)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RF-SEC-01</w:t>
            </w:r>
          </w:p>
        </w:tc>
        <w:tc>
          <w:tcPr>
            <w:tcW w:type="dxa" w:w="6800"/>
            <w:vAlign w:val="center"/>
          </w:tcPr>
          <w:p>
            <w:r>
              <w:rPr>
                <w:sz w:val="19"/>
                <w:szCs w:val="19"/>
              </w:rPr>
              <w:t xml:space="preserve">Trois modalités de création de compte (manuelle, auto-inscription, import Excel)</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RF-SEC-02</w:t>
            </w:r>
          </w:p>
        </w:tc>
        <w:tc>
          <w:tcPr>
            <w:tcW w:type="dxa" w:w="6800"/>
            <w:vAlign w:val="center"/>
          </w:tcPr>
          <w:p>
            <w:r>
              <w:rPr>
                <w:sz w:val="19"/>
                <w:szCs w:val="19"/>
              </w:rPr>
              <w:t xml:space="preserve">Authentification par mot de passe complexe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RF-SEC-03</w:t>
            </w:r>
          </w:p>
        </w:tc>
        <w:tc>
          <w:tcPr>
            <w:tcW w:type="dxa" w:w="6800"/>
            <w:vAlign w:val="center"/>
          </w:tcPr>
          <w:p>
            <w:r>
              <w:rPr>
                <w:sz w:val="19"/>
                <w:szCs w:val="19"/>
              </w:rPr>
              <w:t xml:space="preserve">Double authentification (2FA) pour les dirigeants</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RF-SEC-04</w:t>
            </w:r>
          </w:p>
        </w:tc>
        <w:tc>
          <w:tcPr>
            <w:tcW w:type="dxa" w:w="6800"/>
            <w:vAlign w:val="center"/>
          </w:tcPr>
          <w:p>
            <w:r>
              <w:rPr>
                <w:sz w:val="19"/>
                <w:szCs w:val="19"/>
              </w:rPr>
              <w:t xml:space="preserve">Journal d'audit détaillé par périmètre</w:t>
            </w:r>
          </w:p>
        </w:tc>
        <w:tc>
          <w:tcPr>
            <w:tcW w:type="dxa" w:w="1350"/>
            <w:vAlign w:val="center"/>
          </w:tcPr>
          <w:p>
            <w:r>
              <w:rPr>
                <w:b/>
                <w:bCs/>
                <w:color w:val="C00000"/>
                <w:sz w:val="19"/>
                <w:szCs w:val="19"/>
              </w:rPr>
              <w:t xml:space="preserve">MUST</w:t>
            </w:r>
          </w:p>
        </w:tc>
      </w:tr>
      <w:tr>
        <w:tc>
          <w:tcPr>
            <w:tcW w:type="dxa" w:w="1200"/>
            <w:vAlign w:val="center"/>
          </w:tcPr>
          <w:p>
            <w:r>
              <w:rPr>
                <w:b/>
                <w:bCs/>
                <w:sz w:val="19"/>
                <w:szCs w:val="19"/>
              </w:rPr>
              <w:t xml:space="preserve">RF-SEC-05</w:t>
            </w:r>
          </w:p>
        </w:tc>
        <w:tc>
          <w:tcPr>
            <w:tcW w:type="dxa" w:w="6800"/>
            <w:vAlign w:val="center"/>
          </w:tcPr>
          <w:p>
            <w:r>
              <w:rPr>
                <w:sz w:val="19"/>
                <w:szCs w:val="19"/>
              </w:rPr>
              <w:t xml:space="preserve">Fonction de déconnexion à distance de tous les appareils</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RF-SEC-06</w:t>
            </w:r>
          </w:p>
        </w:tc>
        <w:tc>
          <w:tcPr>
            <w:tcW w:type="dxa" w:w="6800"/>
            <w:vAlign w:val="center"/>
          </w:tcPr>
          <w:p>
            <w:r>
              <w:rPr>
                <w:sz w:val="19"/>
                <w:szCs w:val="19"/>
              </w:rPr>
              <w:t xml:space="preserve">Compte utilisateur rattachable à une Division seule, sans Section (cas des Chargés d'Études en attente d'affectation)</w:t>
            </w:r>
          </w:p>
        </w:tc>
        <w:tc>
          <w:tcPr>
            <w:tcW w:type="dxa" w:w="1350"/>
            <w:vAlign w:val="center"/>
          </w:tcPr>
          <w:p>
            <w:r>
              <w:rPr>
                <w:b/>
                <w:bCs/>
                <w:color w:val="C00000"/>
                <w:sz w:val="19"/>
                <w:szCs w:val="19"/>
              </w:rPr>
              <w:t xml:space="preserve">MUST</w:t>
            </w:r>
          </w:p>
        </w:tc>
      </w:tr>
    </w:tbl>
    <w:p>
      <w:pPr>
        <w:pStyle w:val="Heading2"/>
        <w:spacing w:after="150" w:before="300"/>
      </w:pPr>
      <w:r>
        <w:t xml:space="preserve">5.6 Modules complémentaires (RF-CPL)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200"/>
        <w:gridCol w:w="6800"/>
        <w:gridCol w:w="1350"/>
      </w:tblGrid>
      <w:tr>
        <w:trPr>
          <w:tblHeader/>
        </w:trPr>
        <w:tc>
          <w:tcPr>
            <w:tcW w:type="dxa" w:w="1200"/>
            <w:shd w:fill="1F3864" w:color="auto" w:val="clear"/>
            <w:vAlign w:val="center"/>
          </w:tcPr>
          <w:p>
            <w:r>
              <w:rPr>
                <w:b/>
                <w:bCs/>
                <w:color w:val="FFFFFF"/>
                <w:sz w:val="20"/>
                <w:szCs w:val="20"/>
              </w:rPr>
              <w:t xml:space="preserve">ID</w:t>
            </w:r>
          </w:p>
        </w:tc>
        <w:tc>
          <w:tcPr>
            <w:tcW w:type="dxa" w:w="6800"/>
            <w:shd w:fill="1F3864" w:color="auto" w:val="clear"/>
            <w:vAlign w:val="center"/>
          </w:tcPr>
          <w:p>
            <w:r>
              <w:rPr>
                <w:b/>
                <w:bCs/>
                <w:color w:val="FFFFFF"/>
                <w:sz w:val="20"/>
                <w:szCs w:val="20"/>
              </w:rPr>
              <w:t xml:space="preserve">Exigence</w:t>
            </w:r>
          </w:p>
        </w:tc>
        <w:tc>
          <w:tcPr>
            <w:tcW w:type="dxa" w:w="1350"/>
            <w:shd w:fill="1F3864" w:color="auto" w:val="clear"/>
            <w:vAlign w:val="center"/>
          </w:tcPr>
          <w:p>
            <w:r>
              <w:rPr>
                <w:b/>
                <w:bCs/>
                <w:color w:val="FFFFFF"/>
                <w:sz w:val="20"/>
                <w:szCs w:val="20"/>
              </w:rPr>
              <w:t xml:space="preserve">Priorité</w:t>
            </w:r>
          </w:p>
        </w:tc>
      </w:tr>
      <w:tr>
        <w:tc>
          <w:tcPr>
            <w:tcW w:type="dxa" w:w="1200"/>
            <w:vAlign w:val="center"/>
          </w:tcPr>
          <w:p>
            <w:r>
              <w:rPr>
                <w:b/>
                <w:bCs/>
                <w:sz w:val="19"/>
                <w:szCs w:val="19"/>
              </w:rPr>
              <w:t xml:space="preserve">RF-CPL-01</w:t>
            </w:r>
          </w:p>
        </w:tc>
        <w:tc>
          <w:tcPr>
            <w:tcW w:type="dxa" w:w="6800"/>
            <w:vAlign w:val="center"/>
          </w:tcPr>
          <w:p>
            <w:r>
              <w:rPr>
                <w:sz w:val="19"/>
                <w:szCs w:val="19"/>
              </w:rPr>
              <w:t xml:space="preserve">Reporting et export PDF / Excel</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RF-CPL-02</w:t>
            </w:r>
          </w:p>
        </w:tc>
        <w:tc>
          <w:tcPr>
            <w:tcW w:type="dxa" w:w="6800"/>
            <w:vAlign w:val="center"/>
          </w:tcPr>
          <w:p>
            <w:r>
              <w:rPr>
                <w:sz w:val="19"/>
                <w:szCs w:val="19"/>
              </w:rPr>
              <w:t xml:space="preserve">Annuaire du personnel relié à l'organigramme</w:t>
            </w:r>
          </w:p>
        </w:tc>
        <w:tc>
          <w:tcPr>
            <w:tcW w:type="dxa" w:w="1350"/>
            <w:vAlign w:val="center"/>
          </w:tcPr>
          <w:p>
            <w:r>
              <w:rPr>
                <w:b/>
                <w:bCs/>
                <w:color w:val="BF8F00"/>
                <w:sz w:val="19"/>
                <w:szCs w:val="19"/>
              </w:rPr>
              <w:t xml:space="preserve">SHOULD</w:t>
            </w:r>
          </w:p>
        </w:tc>
      </w:tr>
      <w:tr>
        <w:tc>
          <w:tcPr>
            <w:tcW w:type="dxa" w:w="1200"/>
            <w:vAlign w:val="center"/>
          </w:tcPr>
          <w:p>
            <w:r>
              <w:rPr>
                <w:b/>
                <w:bCs/>
                <w:sz w:val="19"/>
                <w:szCs w:val="19"/>
              </w:rPr>
              <w:t xml:space="preserve">RF-CPL-03</w:t>
            </w:r>
          </w:p>
        </w:tc>
        <w:tc>
          <w:tcPr>
            <w:tcW w:type="dxa" w:w="6800"/>
            <w:vAlign w:val="center"/>
          </w:tcPr>
          <w:p>
            <w:r>
              <w:rPr>
                <w:sz w:val="19"/>
                <w:szCs w:val="19"/>
              </w:rPr>
              <w:t xml:space="preserve">Calendrier partagé de réunions</w:t>
            </w:r>
          </w:p>
        </w:tc>
        <w:tc>
          <w:tcPr>
            <w:tcW w:type="dxa" w:w="1350"/>
            <w:vAlign w:val="center"/>
          </w:tcPr>
          <w:p>
            <w:r>
              <w:rPr>
                <w:b/>
                <w:bCs/>
                <w:color w:val="375623"/>
                <w:sz w:val="19"/>
                <w:szCs w:val="19"/>
              </w:rPr>
              <w:t xml:space="preserve">COULD</w:t>
            </w:r>
          </w:p>
        </w:tc>
      </w:tr>
      <w:tr>
        <w:tc>
          <w:tcPr>
            <w:tcW w:type="dxa" w:w="1200"/>
            <w:vAlign w:val="center"/>
          </w:tcPr>
          <w:p>
            <w:r>
              <w:rPr>
                <w:b/>
                <w:bCs/>
                <w:sz w:val="19"/>
                <w:szCs w:val="19"/>
              </w:rPr>
              <w:t xml:space="preserve">RF-CPL-04</w:t>
            </w:r>
          </w:p>
        </w:tc>
        <w:tc>
          <w:tcPr>
            <w:tcW w:type="dxa" w:w="6800"/>
            <w:vAlign w:val="center"/>
          </w:tcPr>
          <w:p>
            <w:r>
              <w:rPr>
                <w:sz w:val="19"/>
                <w:szCs w:val="19"/>
              </w:rPr>
              <w:t xml:space="preserve">Sondages et décisions rapides</w:t>
            </w:r>
          </w:p>
        </w:tc>
        <w:tc>
          <w:tcPr>
            <w:tcW w:type="dxa" w:w="1350"/>
            <w:vAlign w:val="center"/>
          </w:tcPr>
          <w:p>
            <w:r>
              <w:rPr>
                <w:b/>
                <w:bCs/>
                <w:color w:val="375623"/>
                <w:sz w:val="19"/>
                <w:szCs w:val="19"/>
              </w:rPr>
              <w:t xml:space="preserve">COULD</w:t>
            </w:r>
          </w:p>
        </w:tc>
      </w:tr>
      <w:tr>
        <w:tc>
          <w:tcPr>
            <w:tcW w:type="dxa" w:w="1200"/>
            <w:vAlign w:val="center"/>
          </w:tcPr>
          <w:p>
            <w:r>
              <w:rPr>
                <w:b/>
                <w:bCs/>
                <w:sz w:val="19"/>
                <w:szCs w:val="19"/>
              </w:rPr>
              <w:t xml:space="preserve">RF-CPL-05</w:t>
            </w:r>
          </w:p>
        </w:tc>
        <w:tc>
          <w:tcPr>
            <w:tcW w:type="dxa" w:w="6800"/>
            <w:vAlign w:val="center"/>
          </w:tcPr>
          <w:p>
            <w:r>
              <w:rPr>
                <w:sz w:val="19"/>
                <w:szCs w:val="19"/>
              </w:rPr>
              <w:t xml:space="preserve">Boîte à suggestions</w:t>
            </w:r>
          </w:p>
        </w:tc>
        <w:tc>
          <w:tcPr>
            <w:tcW w:type="dxa" w:w="1350"/>
            <w:vAlign w:val="center"/>
          </w:tcPr>
          <w:p>
            <w:r>
              <w:rPr>
                <w:b/>
                <w:bCs/>
                <w:color w:val="375623"/>
                <w:sz w:val="19"/>
                <w:szCs w:val="19"/>
              </w:rPr>
              <w:t xml:space="preserve">COULD</w:t>
            </w:r>
          </w:p>
        </w:tc>
      </w:tr>
    </w:tbl>
    <w:p>
      <w:pPr>
        <w:pStyle w:val="Heading2"/>
        <w:spacing w:after="150" w:before="300"/>
      </w:pPr>
      <w:r>
        <w:t xml:space="preserve">5.7 Lecture proposée du MVP</w:t>
      </w:r>
    </w:p>
    <w:p>
      <w:pPr>
        <w:spacing w:after="120"/>
      </w:pPr>
      <w:r>
        <w:t xml:space="preserve">Sur la base de cette priorisation, le maître d'œuvre propose un développement en deux vagues :</w:t>
      </w:r>
    </w:p>
    <w:p>
      <w:pPr>
        <w:pStyle w:val="ListParagraph"/>
        <w:numPr>
          <w:ilvl w:val="0"/>
          <w:numId w:val="1"/>
        </w:numPr>
        <w:spacing w:after="60"/>
      </w:pPr>
      <w:r>
        <w:t xml:space="preserve">Vague 1 (MVP) — toutes les exigences MUST : Tâches (cœur), Communication (messagerie + annonces + notifications de base), Archivage privé/publié, Congés, Sécurité des comptes.</w:t>
      </w:r>
    </w:p>
    <w:p>
      <w:pPr>
        <w:pStyle w:val="ListParagraph"/>
        <w:numPr>
          <w:ilvl w:val="0"/>
          <w:numId w:val="1"/>
        </w:numPr>
        <w:spacing w:after="60"/>
      </w:pPr>
      <w:r>
        <w:t xml:space="preserve">Vague 2 — exigences SHOULD puis COULD : confidentialité fine des tâches, recherche full-text/OCR, reporting/export, annuaire, puis calendrier de réunions, sondages, boîte à suggestions.</w:t>
      </w:r>
    </w:p>
    <w:p>
      <w:pPr>
        <w:spacing w:after="120"/>
      </w:pPr>
      <w:r>
        <w:t xml:space="preserve">Ce séquençage est une proposition et reste à valider avec la Direction avant le démarrage du développement.</w:t>
      </w:r>
    </w:p>
    <w:p>
      <w:r>
        <w:br w:type="page"/>
      </w:r>
    </w:p>
    <w:p>
      <w:pPr>
        <w:pStyle w:val="Heading1"/>
        <w:spacing w:after="200" w:before="400"/>
      </w:pPr>
      <w:r>
        <w:t xml:space="preserve">6. Hors périmètre</w:t>
      </w:r>
    </w:p>
    <w:p>
      <w:pPr>
        <w:spacing w:after="120"/>
      </w:pPr>
      <w:r>
        <w:t xml:space="preserve">Pour éviter toute ambiguïté pendant le développement, les éléments suivants sont explicitement exclus du présent projet :</w:t>
      </w:r>
    </w:p>
    <w:p>
      <w:pPr>
        <w:pStyle w:val="ListParagraph"/>
        <w:numPr>
          <w:ilvl w:val="0"/>
          <w:numId w:val="1"/>
        </w:numPr>
        <w:spacing w:after="60"/>
      </w:pPr>
      <w:r>
        <w:t xml:space="preserve">Aucune intégration technique avec la plateforme PICE (suivi de la conjoncture économique) — les deux systèmes restent indépendants.</w:t>
      </w:r>
    </w:p>
    <w:p>
      <w:pPr>
        <w:pStyle w:val="ListParagraph"/>
        <w:numPr>
          <w:ilvl w:val="0"/>
          <w:numId w:val="1"/>
        </w:numPr>
        <w:spacing w:after="60"/>
      </w:pPr>
      <w:r>
        <w:t xml:space="preserve">Aucun module de gestion de la paie ou de comptabilité.</w:t>
      </w:r>
    </w:p>
    <w:p>
      <w:pPr>
        <w:pStyle w:val="ListParagraph"/>
        <w:numPr>
          <w:ilvl w:val="0"/>
          <w:numId w:val="1"/>
        </w:numPr>
        <w:spacing w:after="60"/>
      </w:pPr>
      <w:r>
        <w:t xml:space="preserve">Aucune collecte ou diffusion de données économiques nationales (ce rôle reste celui de la PICE).</w:t>
      </w:r>
    </w:p>
    <w:p>
      <w:pPr>
        <w:pStyle w:val="ListParagraph"/>
        <w:numPr>
          <w:ilvl w:val="0"/>
          <w:numId w:val="1"/>
        </w:numPr>
        <w:spacing w:after="60"/>
      </w:pPr>
      <w:r>
        <w:t xml:space="preserve">Aucune traduction en langue autre que le français au lancement (prévu en architecture pour une phase ultérieure, non développé initialement).</w:t>
      </w:r>
    </w:p>
    <w:p>
      <w:pPr>
        <w:pStyle w:val="ListParagraph"/>
        <w:numPr>
          <w:ilvl w:val="0"/>
          <w:numId w:val="1"/>
        </w:numPr>
        <w:spacing w:after="60"/>
      </w:pPr>
      <w:r>
        <w:t xml:space="preserve">Aucun rapport périodique automatique envoyé sans action de l'utilisateur (choix validé : consultation à la demande uniquement).</w:t>
      </w:r>
    </w:p>
    <w:p>
      <w:pPr>
        <w:pStyle w:val="ListParagraph"/>
        <w:numPr>
          <w:ilvl w:val="0"/>
          <w:numId w:val="1"/>
        </w:numPr>
        <w:spacing w:after="60"/>
      </w:pPr>
      <w:r>
        <w:t xml:space="preserve">Aucune intégration avec des systèmes tiers hors de la DNPEC au lancement (ex. systèmes d'autres ministères), sauf demande explicite ultérieure.</w:t>
      </w:r>
    </w:p>
    <w:p>
      <w:r>
        <w:br w:type="page"/>
      </w:r>
    </w:p>
    <w:p>
      <w:pPr>
        <w:pStyle w:val="Heading1"/>
        <w:spacing w:after="200" w:before="400"/>
      </w:pPr>
      <w:r>
        <w:t xml:space="preserve">7. Exigences non fonctionnelles</w:t>
      </w:r>
    </w:p>
    <w:p>
      <w:pPr>
        <w:pStyle w:val="Heading2"/>
        <w:spacing w:after="150" w:before="300"/>
      </w:pPr>
      <w:r>
        <w:t xml:space="preserve">7.1 Plateformes et accessibilité</w:t>
      </w:r>
    </w:p>
    <w:p>
      <w:pPr>
        <w:pStyle w:val="ListParagraph"/>
        <w:numPr>
          <w:ilvl w:val="0"/>
          <w:numId w:val="1"/>
        </w:numPr>
        <w:spacing w:after="60"/>
      </w:pPr>
      <w:r>
        <w:t xml:space="preserve">Application Web + application mobile (Android / iOS).</w:t>
      </w:r>
    </w:p>
    <w:p>
      <w:pPr>
        <w:pStyle w:val="ListParagraph"/>
        <w:numPr>
          <w:ilvl w:val="0"/>
          <w:numId w:val="1"/>
        </w:numPr>
        <w:spacing w:after="60"/>
      </w:pPr>
      <w:r>
        <w:t xml:space="preserve">Mode hors-ligne avec synchronisation automatique dès le retour de connexion (gestion des conflits de synchronisation à concevoir : deux modifications simultanées d'une même tâche hors-ligne, par exemple).</w:t>
      </w:r>
    </w:p>
    <w:p>
      <w:pPr>
        <w:pStyle w:val="ListParagraph"/>
        <w:numPr>
          <w:ilvl w:val="0"/>
          <w:numId w:val="1"/>
        </w:numPr>
        <w:spacing w:after="60"/>
      </w:pPr>
      <w:r>
        <w:t xml:space="preserve">Compatibilité large : smartphones récents ET appareils plus anciens/moins puissants — l'application doit rester légère en ressources.</w:t>
      </w:r>
    </w:p>
    <w:p>
      <w:pPr>
        <w:pStyle w:val="Heading2"/>
        <w:spacing w:after="150" w:before="300"/>
      </w:pPr>
      <w:r>
        <w:t xml:space="preserve">7.2 Hébergement et infrastructure</w:t>
      </w:r>
    </w:p>
    <w:p>
      <w:pPr>
        <w:pStyle w:val="ListParagraph"/>
        <w:numPr>
          <w:ilvl w:val="0"/>
          <w:numId w:val="1"/>
        </w:numPr>
        <w:spacing w:after="60"/>
      </w:pPr>
      <w:r>
        <w:t xml:space="preserve">Décision finale à valider avec la Direction et la CSID.</w:t>
      </w:r>
    </w:p>
    <w:p>
      <w:pPr>
        <w:pStyle w:val="ListParagraph"/>
        <w:numPr>
          <w:ilvl w:val="0"/>
          <w:numId w:val="1"/>
        </w:numPr>
        <w:spacing w:after="60"/>
      </w:pPr>
      <w:r>
        <w:t xml:space="preserve">Recommandation du maître d'œuvre : solution hybride — hébergement local en Guinée (souveraineté des données, résilience face aux coupures) + sauvegarde automatique chiffrée sur un cloud international.</w:t>
      </w:r>
    </w:p>
    <w:p>
      <w:pPr>
        <w:pStyle w:val="ListParagraph"/>
        <w:numPr>
          <w:ilvl w:val="0"/>
          <w:numId w:val="1"/>
        </w:numPr>
        <w:spacing w:after="60"/>
      </w:pPr>
      <w:r>
        <w:t xml:space="preserve">Phase de développement et de validation : hébergement provisoire léger et migrable (VPS cloud simple, architecture conteneurisée type Docker) en attendant la décision d'infrastructure définitive.</w:t>
      </w:r>
    </w:p>
    <w:p>
      <w:pPr>
        <w:pStyle w:val="ListParagraph"/>
        <w:numPr>
          <w:ilvl w:val="0"/>
          <w:numId w:val="1"/>
        </w:numPr>
        <w:spacing w:after="60"/>
      </w:pPr>
      <w:r>
        <w:t xml:space="preserve">Sauvegarde automatique quotidienne des données, avec politique de rétention à définir techniquement.</w:t>
      </w:r>
    </w:p>
    <w:p>
      <w:pPr>
        <w:pStyle w:val="ListParagraph"/>
        <w:numPr>
          <w:ilvl w:val="0"/>
          <w:numId w:val="1"/>
        </w:numPr>
        <w:spacing w:after="60"/>
      </w:pPr>
      <w:r>
        <w:t xml:space="preserve">Hébergement provisoire retenu pour la phase de développement et de validation : Render (service web + base de données PostgreSQL), pour un coût prévisible d'environ 13 à 14 $/mois (7 $ service web + 6-7 $ base de données), sans coupure de service — un plan gratuit initial est possible pour les tout premiers tests internes, avec un délai de réveil de 30 à 60 secondes après inactivité et une base de données gratuite limitée à 90 jours.</w:t>
      </w:r>
    </w:p>
    <w:p>
      <w:pPr>
        <w:pStyle w:val="Heading2"/>
        <w:spacing w:after="150" w:before="300"/>
      </w:pPr>
      <w:r>
        <w:t xml:space="preserve">7.3 Sécurité</w:t>
      </w:r>
    </w:p>
    <w:p>
      <w:pPr>
        <w:pStyle w:val="ListParagraph"/>
        <w:numPr>
          <w:ilvl w:val="0"/>
          <w:numId w:val="1"/>
        </w:numPr>
        <w:spacing w:after="60"/>
      </w:pPr>
      <w:r>
        <w:t xml:space="preserve">Authentification forte : mot de passe complexe + 2FA obligatoire pour les dirigeants.</w:t>
      </w:r>
    </w:p>
    <w:p>
      <w:pPr>
        <w:pStyle w:val="ListParagraph"/>
        <w:numPr>
          <w:ilvl w:val="0"/>
          <w:numId w:val="1"/>
        </w:numPr>
        <w:spacing w:after="60"/>
      </w:pPr>
      <w:r>
        <w:t xml:space="preserve">Gestion fine des permissions par rôle et par niveau hiérarchique (délégation en cascade).</w:t>
      </w:r>
    </w:p>
    <w:p>
      <w:pPr>
        <w:pStyle w:val="ListParagraph"/>
        <w:numPr>
          <w:ilvl w:val="0"/>
          <w:numId w:val="1"/>
        </w:numPr>
        <w:spacing w:after="60"/>
      </w:pPr>
      <w:r>
        <w:t xml:space="preserve">Niveaux de confidentialité sur les tâches et logique privé/publié sur les documents.</w:t>
      </w:r>
    </w:p>
    <w:p>
      <w:pPr>
        <w:pStyle w:val="ListParagraph"/>
        <w:numPr>
          <w:ilvl w:val="0"/>
          <w:numId w:val="1"/>
        </w:numPr>
        <w:spacing w:after="60"/>
      </w:pPr>
      <w:r>
        <w:t xml:space="preserve">Journal d'audit et traçabilité intégrale des échanges et des actions.</w:t>
      </w:r>
    </w:p>
    <w:p>
      <w:pPr>
        <w:pStyle w:val="Heading2"/>
        <w:spacing w:after="150" w:before="300"/>
      </w:pPr>
      <w:r>
        <w:t xml:space="preserve">7.4 Langue</w:t>
      </w:r>
    </w:p>
    <w:p>
      <w:pPr>
        <w:pStyle w:val="ListParagraph"/>
        <w:numPr>
          <w:ilvl w:val="0"/>
          <w:numId w:val="1"/>
        </w:numPr>
        <w:spacing w:after="60"/>
      </w:pPr>
      <w:r>
        <w:t xml:space="preserve">Français uniquement au lancement.</w:t>
      </w:r>
    </w:p>
    <w:p>
      <w:pPr>
        <w:pStyle w:val="ListParagraph"/>
        <w:numPr>
          <w:ilvl w:val="0"/>
          <w:numId w:val="1"/>
        </w:numPr>
        <w:spacing w:after="60"/>
      </w:pPr>
      <w:r>
        <w:t xml:space="preserve">Architecture prévue pour l'internationalisation future (textes externalisés du code, pas de texte codé en dur), pour ajout ultérieur d'autres langues (ex. anglais, à l'image du site institutionnel DNPEC).</w:t>
      </w:r>
    </w:p>
    <w:p>
      <w:pPr>
        <w:pStyle w:val="Heading2"/>
        <w:spacing w:after="150" w:before="300"/>
      </w:pPr>
      <w:r>
        <w:t xml:space="preserve">7.5 Design et identité visuelle</w:t>
      </w:r>
    </w:p>
    <w:p>
      <w:pPr>
        <w:pStyle w:val="ListParagraph"/>
        <w:numPr>
          <w:ilvl w:val="0"/>
          <w:numId w:val="1"/>
        </w:numPr>
        <w:spacing w:after="60"/>
      </w:pPr>
      <w:r>
        <w:t xml:space="preserve">Reprise du logo officiel de la DNPEC.</w:t>
      </w:r>
    </w:p>
    <w:p>
      <w:pPr>
        <w:pStyle w:val="ListParagraph"/>
        <w:numPr>
          <w:ilvl w:val="0"/>
          <w:numId w:val="1"/>
        </w:numPr>
        <w:spacing w:after="60"/>
      </w:pPr>
      <w:r>
        <w:t xml:space="preserve">Liberté créative sur le reste de l'interface (couleurs, mise en page, style moderne et professionnel).</w:t>
      </w:r>
    </w:p>
    <w:p>
      <w:pPr>
        <w:pStyle w:val="Heading2"/>
        <w:spacing w:after="150" w:before="300"/>
      </w:pPr>
      <w:r>
        <w:t xml:space="preserve">7.6 Performance</w:t>
      </w:r>
    </w:p>
    <w:p>
      <w:pPr>
        <w:pStyle w:val="ListParagraph"/>
        <w:numPr>
          <w:ilvl w:val="0"/>
          <w:numId w:val="1"/>
        </w:numPr>
        <w:spacing w:after="60"/>
      </w:pPr>
      <w:r>
        <w:t xml:space="preserve">Architecture scalable, sans hypothèse figée sur le nombre d'utilisateurs (effectif exact non connu à ce stade).</w:t>
      </w:r>
    </w:p>
    <w:p>
      <w:pPr>
        <w:pStyle w:val="ListParagraph"/>
        <w:numPr>
          <w:ilvl w:val="0"/>
          <w:numId w:val="1"/>
        </w:numPr>
        <w:spacing w:after="60"/>
      </w:pPr>
      <w:r>
        <w:t xml:space="preserve">Recherche indexée (texte intégral) performante y compris sur de larges volumes de documents archivés.</w:t>
      </w:r>
    </w:p>
    <w:p>
      <w:pPr>
        <w:pStyle w:val="Heading2"/>
        <w:spacing w:after="150" w:before="300"/>
      </w:pPr>
      <w:r>
        <w:t xml:space="preserve">7.7 Stack technique recommandée</w:t>
      </w:r>
    </w:p>
    <w:p>
      <w:pPr>
        <w:spacing w:after="120"/>
      </w:pPr>
      <w:r>
        <w:t xml:space="preserve">Proposition du maître d'œuvre, pensée pour un fonctionnement offline-first, un hébergement hybride, une faible consommation de ressources, et une reprise en main facilitée par la CSID (un seul langage — TypeScript — du frontend au backend).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50"/>
      </w:tblGrid>
      <w:tr>
        <w:trPr>
          <w:tblHeader/>
        </w:trPr>
        <w:tc>
          <w:tcPr>
            <w:tcW w:type="dxa" w:w="1700"/>
            <w:shd w:fill="1F3864" w:color="auto" w:val="clear"/>
            <w:vAlign w:val="center"/>
          </w:tcPr>
          <w:p>
            <w:r>
              <w:rPr>
                <w:b/>
                <w:bCs/>
                <w:color w:val="FFFFFF"/>
                <w:sz w:val="20"/>
                <w:szCs w:val="20"/>
              </w:rPr>
              <w:t xml:space="preserve">Couche</w:t>
            </w:r>
          </w:p>
        </w:tc>
        <w:tc>
          <w:tcPr>
            <w:tcW w:type="dxa" w:w="2800"/>
            <w:shd w:fill="1F3864" w:color="auto" w:val="clear"/>
            <w:vAlign w:val="center"/>
          </w:tcPr>
          <w:p>
            <w:r>
              <w:rPr>
                <w:b/>
                <w:bCs/>
                <w:color w:val="FFFFFF"/>
                <w:sz w:val="20"/>
                <w:szCs w:val="20"/>
              </w:rPr>
              <w:t xml:space="preserve">Technologie</w:t>
            </w:r>
          </w:p>
        </w:tc>
        <w:tc>
          <w:tcPr>
            <w:tcW w:type="dxa" w:w="4850"/>
            <w:shd w:fill="1F3864" w:color="auto" w:val="clear"/>
            <w:vAlign w:val="center"/>
          </w:tcPr>
          <w:p>
            <w:r>
              <w:rPr>
                <w:b/>
                <w:bCs/>
                <w:color w:val="FFFFFF"/>
                <w:sz w:val="20"/>
                <w:szCs w:val="20"/>
              </w:rPr>
              <w:t xml:space="preserve">Justification</w:t>
            </w:r>
          </w:p>
        </w:tc>
      </w:tr>
      <w:tr>
        <w:tc>
          <w:tcPr>
            <w:tcW w:type="dxa" w:w="1700"/>
            <w:vAlign w:val="center"/>
          </w:tcPr>
          <w:p>
            <w:r>
              <w:rPr>
                <w:sz w:val="20"/>
                <w:szCs w:val="20"/>
              </w:rPr>
              <w:t xml:space="preserve">Frontend Web</w:t>
            </w:r>
          </w:p>
        </w:tc>
        <w:tc>
          <w:tcPr>
            <w:tcW w:type="dxa" w:w="2800"/>
            <w:vAlign w:val="center"/>
          </w:tcPr>
          <w:p>
            <w:r>
              <w:rPr>
                <w:sz w:val="20"/>
                <w:szCs w:val="20"/>
              </w:rPr>
              <w:t xml:space="preserve">Next.js (React + TypeScript) + Tailwind CSS</w:t>
            </w:r>
          </w:p>
        </w:tc>
        <w:tc>
          <w:tcPr>
            <w:tcW w:type="dxa" w:w="4850"/>
            <w:vAlign w:val="center"/>
          </w:tcPr>
          <w:p>
            <w:r>
              <w:rPr>
                <w:sz w:val="20"/>
                <w:szCs w:val="20"/>
              </w:rPr>
              <w:t xml:space="preserve">Écosystème riche, bien supporté par les outils de développement assisté par IA (ex. Cursor) ; composants prêts à l'emploi (shadcn/ui) pour aller vite.</w:t>
            </w:r>
          </w:p>
        </w:tc>
      </w:tr>
      <w:tr>
        <w:tc>
          <w:tcPr>
            <w:tcW w:type="dxa" w:w="1700"/>
            <w:vAlign w:val="center"/>
          </w:tcPr>
          <w:p>
            <w:r>
              <w:rPr>
                <w:sz w:val="20"/>
                <w:szCs w:val="20"/>
              </w:rPr>
              <w:t xml:space="preserve">Mobile</w:t>
            </w:r>
          </w:p>
        </w:tc>
        <w:tc>
          <w:tcPr>
            <w:tcW w:type="dxa" w:w="2800"/>
            <w:vAlign w:val="center"/>
          </w:tcPr>
          <w:p>
            <w:r>
              <w:rPr>
                <w:sz w:val="20"/>
                <w:szCs w:val="20"/>
              </w:rPr>
              <w:t xml:space="preserve">React Native (via Expo)</w:t>
            </w:r>
          </w:p>
        </w:tc>
        <w:tc>
          <w:tcPr>
            <w:tcW w:type="dxa" w:w="4850"/>
            <w:vAlign w:val="center"/>
          </w:tcPr>
          <w:p>
            <w:r>
              <w:rPr>
                <w:sz w:val="20"/>
                <w:szCs w:val="20"/>
              </w:rPr>
              <w:t xml:space="preserve">Même langage (TypeScript) que le web : une seule équipe peut maintenir web et mobile. Compatible Android/iOS, adapté aux appareils anciens.</w:t>
            </w:r>
          </w:p>
        </w:tc>
      </w:tr>
      <w:tr>
        <w:tc>
          <w:tcPr>
            <w:tcW w:type="dxa" w:w="1700"/>
            <w:vAlign w:val="center"/>
          </w:tcPr>
          <w:p>
            <w:r>
              <w:rPr>
                <w:sz w:val="20"/>
                <w:szCs w:val="20"/>
              </w:rPr>
              <w:t xml:space="preserve">Backend / API</w:t>
            </w:r>
          </w:p>
        </w:tc>
        <w:tc>
          <w:tcPr>
            <w:tcW w:type="dxa" w:w="2800"/>
            <w:vAlign w:val="center"/>
          </w:tcPr>
          <w:p>
            <w:r>
              <w:rPr>
                <w:sz w:val="20"/>
                <w:szCs w:val="20"/>
              </w:rPr>
              <w:t xml:space="preserve">Node.js + NestJS (TypeScript)</w:t>
            </w:r>
          </w:p>
        </w:tc>
        <w:tc>
          <w:tcPr>
            <w:tcW w:type="dxa" w:w="4850"/>
            <w:vAlign w:val="center"/>
          </w:tcPr>
          <w:p>
            <w:r>
              <w:rPr>
                <w:sz w:val="20"/>
                <w:szCs w:val="20"/>
              </w:rPr>
              <w:t xml:space="preserve">Framework structuré, adapté à une hiérarchie de permissions complexe (délégation en cascade). Même langage que le frontend.</w:t>
            </w:r>
          </w:p>
        </w:tc>
      </w:tr>
      <w:tr>
        <w:tc>
          <w:tcPr>
            <w:tcW w:type="dxa" w:w="1700"/>
            <w:vAlign w:val="center"/>
          </w:tcPr>
          <w:p>
            <w:r>
              <w:rPr>
                <w:sz w:val="20"/>
                <w:szCs w:val="20"/>
              </w:rPr>
              <w:t xml:space="preserve">Base de données</w:t>
            </w:r>
          </w:p>
        </w:tc>
        <w:tc>
          <w:tcPr>
            <w:tcW w:type="dxa" w:w="2800"/>
            <w:vAlign w:val="center"/>
          </w:tcPr>
          <w:p>
            <w:r>
              <w:rPr>
                <w:sz w:val="20"/>
                <w:szCs w:val="20"/>
              </w:rPr>
              <w:t xml:space="preserve">PostgreSQL + Prisma (ORM)</w:t>
            </w:r>
          </w:p>
        </w:tc>
        <w:tc>
          <w:tcPr>
            <w:tcW w:type="dxa" w:w="4850"/>
            <w:vAlign w:val="center"/>
          </w:tcPr>
          <w:p>
            <w:r>
              <w:rPr>
                <w:sz w:val="20"/>
                <w:szCs w:val="20"/>
              </w:rPr>
              <w:t xml:space="preserve">Robuste, gratuit, adapté aux données hiérarchiques (utilisateurs, tâches, divisions/sections). Prisma facilite les migrations et la lecture du schéma.</w:t>
            </w:r>
          </w:p>
        </w:tc>
      </w:tr>
      <w:tr>
        <w:tc>
          <w:tcPr>
            <w:tcW w:type="dxa" w:w="1700"/>
            <w:vAlign w:val="center"/>
          </w:tcPr>
          <w:p>
            <w:r>
              <w:rPr>
                <w:sz w:val="20"/>
                <w:szCs w:val="20"/>
              </w:rPr>
              <w:t xml:space="preserve">Recherche full-text</w:t>
            </w:r>
          </w:p>
        </w:tc>
        <w:tc>
          <w:tcPr>
            <w:tcW w:type="dxa" w:w="2800"/>
            <w:vAlign w:val="center"/>
          </w:tcPr>
          <w:p>
            <w:r>
              <w:rPr>
                <w:sz w:val="20"/>
                <w:szCs w:val="20"/>
              </w:rPr>
              <w:t xml:space="preserve">Meilisearch</w:t>
            </w:r>
          </w:p>
        </w:tc>
        <w:tc>
          <w:tcPr>
            <w:tcW w:type="dxa" w:w="4850"/>
            <w:vAlign w:val="center"/>
          </w:tcPr>
          <w:p>
            <w:r>
              <w:rPr>
                <w:sz w:val="20"/>
                <w:szCs w:val="20"/>
              </w:rPr>
              <w:t xml:space="preserve">Plus simple à auto-héberger qu'Elasticsearch, rapide, tolérant aux fautes de frappe.</w:t>
            </w:r>
          </w:p>
        </w:tc>
      </w:tr>
      <w:tr>
        <w:tc>
          <w:tcPr>
            <w:tcW w:type="dxa" w:w="1700"/>
            <w:vAlign w:val="center"/>
          </w:tcPr>
          <w:p>
            <w:r>
              <w:rPr>
                <w:sz w:val="20"/>
                <w:szCs w:val="20"/>
              </w:rPr>
              <w:t xml:space="preserve">OCR (PDF scannés)</w:t>
            </w:r>
          </w:p>
        </w:tc>
        <w:tc>
          <w:tcPr>
            <w:tcW w:type="dxa" w:w="2800"/>
            <w:vAlign w:val="center"/>
          </w:tcPr>
          <w:p>
            <w:r>
              <w:rPr>
                <w:sz w:val="20"/>
                <w:szCs w:val="20"/>
              </w:rPr>
              <w:t xml:space="preserve">Tesseract OCR</w:t>
            </w:r>
          </w:p>
        </w:tc>
        <w:tc>
          <w:tcPr>
            <w:tcW w:type="dxa" w:w="4850"/>
            <w:vAlign w:val="center"/>
          </w:tcPr>
          <w:p>
            <w:r>
              <w:rPr>
                <w:sz w:val="20"/>
                <w:szCs w:val="20"/>
              </w:rPr>
              <w:t xml:space="preserve">Open-source, gratuit, auto-hébergeable, bon support du français.</w:t>
            </w:r>
          </w:p>
        </w:tc>
      </w:tr>
      <w:tr>
        <w:tc>
          <w:tcPr>
            <w:tcW w:type="dxa" w:w="1700"/>
            <w:vAlign w:val="center"/>
          </w:tcPr>
          <w:p>
            <w:r>
              <w:rPr>
                <w:sz w:val="20"/>
                <w:szCs w:val="20"/>
              </w:rPr>
              <w:t xml:space="preserve">Stockage fichiers</w:t>
            </w:r>
          </w:p>
        </w:tc>
        <w:tc>
          <w:tcPr>
            <w:tcW w:type="dxa" w:w="2800"/>
            <w:vAlign w:val="center"/>
          </w:tcPr>
          <w:p>
            <w:r>
              <w:rPr>
                <w:sz w:val="20"/>
                <w:szCs w:val="20"/>
              </w:rPr>
              <w:t xml:space="preserve">MinIO (auto-hébergé, compatible S3)</w:t>
            </w:r>
          </w:p>
        </w:tc>
        <w:tc>
          <w:tcPr>
            <w:tcW w:type="dxa" w:w="4850"/>
            <w:vAlign w:val="center"/>
          </w:tcPr>
          <w:p>
            <w:r>
              <w:rPr>
                <w:sz w:val="20"/>
                <w:szCs w:val="20"/>
              </w:rPr>
              <w:t xml:space="preserve">Installable sur le serveur local ; réplication facile vers un stockage cloud pour la sauvegarde.</w:t>
            </w:r>
          </w:p>
        </w:tc>
      </w:tr>
      <w:tr>
        <w:tc>
          <w:tcPr>
            <w:tcW w:type="dxa" w:w="1700"/>
            <w:vAlign w:val="center"/>
          </w:tcPr>
          <w:p>
            <w:r>
              <w:rPr>
                <w:sz w:val="20"/>
                <w:szCs w:val="20"/>
              </w:rPr>
              <w:t xml:space="preserve">Mode hors-ligne (mobile)</w:t>
            </w:r>
          </w:p>
        </w:tc>
        <w:tc>
          <w:tcPr>
            <w:tcW w:type="dxa" w:w="2800"/>
            <w:vAlign w:val="center"/>
          </w:tcPr>
          <w:p>
            <w:r>
              <w:rPr>
                <w:sz w:val="20"/>
                <w:szCs w:val="20"/>
              </w:rPr>
              <w:t xml:space="preserve">SQLite local + synchronisation différée</w:t>
            </w:r>
          </w:p>
        </w:tc>
        <w:tc>
          <w:tcPr>
            <w:tcW w:type="dxa" w:w="4850"/>
            <w:vAlign w:val="center"/>
          </w:tcPr>
          <w:p>
            <w:r>
              <w:rPr>
                <w:sz w:val="20"/>
                <w:szCs w:val="20"/>
              </w:rPr>
              <w:t xml:space="preserve">Actions stockées localement puis synchronisées au retour de connexion, avec horodatage pour la résolution de conflits.</w:t>
            </w:r>
          </w:p>
        </w:tc>
      </w:tr>
      <w:tr>
        <w:tc>
          <w:tcPr>
            <w:tcW w:type="dxa" w:w="1700"/>
            <w:vAlign w:val="center"/>
          </w:tcPr>
          <w:p>
            <w:r>
              <w:rPr>
                <w:sz w:val="20"/>
                <w:szCs w:val="20"/>
              </w:rPr>
              <w:t xml:space="preserve">Temps réel (chat, notifications)</w:t>
            </w:r>
          </w:p>
        </w:tc>
        <w:tc>
          <w:tcPr>
            <w:tcW w:type="dxa" w:w="2800"/>
            <w:vAlign w:val="center"/>
          </w:tcPr>
          <w:p>
            <w:r>
              <w:rPr>
                <w:sz w:val="20"/>
                <w:szCs w:val="20"/>
              </w:rPr>
              <w:t xml:space="preserve">Socket.io</w:t>
            </w:r>
          </w:p>
        </w:tc>
        <w:tc>
          <w:tcPr>
            <w:tcW w:type="dxa" w:w="4850"/>
            <w:vAlign w:val="center"/>
          </w:tcPr>
          <w:p>
            <w:r>
              <w:rPr>
                <w:sz w:val="20"/>
                <w:szCs w:val="20"/>
              </w:rPr>
              <w:t xml:space="preserve">Standard, simple, fonctionne aussi bien sur web que mobile.</w:t>
            </w:r>
          </w:p>
        </w:tc>
      </w:tr>
      <w:tr>
        <w:tc>
          <w:tcPr>
            <w:tcW w:type="dxa" w:w="1700"/>
            <w:vAlign w:val="center"/>
          </w:tcPr>
          <w:p>
            <w:r>
              <w:rPr>
                <w:sz w:val="20"/>
                <w:szCs w:val="20"/>
              </w:rPr>
              <w:t xml:space="preserve">Notifications push mobile</w:t>
            </w:r>
          </w:p>
        </w:tc>
        <w:tc>
          <w:tcPr>
            <w:tcW w:type="dxa" w:w="2800"/>
            <w:vAlign w:val="center"/>
          </w:tcPr>
          <w:p>
            <w:r>
              <w:rPr>
                <w:sz w:val="20"/>
                <w:szCs w:val="20"/>
              </w:rPr>
              <w:t xml:space="preserve">Firebase Cloud Messaging</w:t>
            </w:r>
          </w:p>
        </w:tc>
        <w:tc>
          <w:tcPr>
            <w:tcW w:type="dxa" w:w="4850"/>
            <w:vAlign w:val="center"/>
          </w:tcPr>
          <w:p>
            <w:r>
              <w:rPr>
                <w:sz w:val="20"/>
                <w:szCs w:val="20"/>
              </w:rPr>
              <w:t xml:space="preserve">Gratuit, standard de l'industrie pour Android/iOS.</w:t>
            </w:r>
          </w:p>
        </w:tc>
      </w:tr>
      <w:tr>
        <w:tc>
          <w:tcPr>
            <w:tcW w:type="dxa" w:w="1700"/>
            <w:vAlign w:val="center"/>
          </w:tcPr>
          <w:p>
            <w:r>
              <w:rPr>
                <w:sz w:val="20"/>
                <w:szCs w:val="20"/>
              </w:rPr>
              <w:t xml:space="preserve">Email</w:t>
            </w:r>
          </w:p>
        </w:tc>
        <w:tc>
          <w:tcPr>
            <w:tcW w:type="dxa" w:w="2800"/>
            <w:vAlign w:val="center"/>
          </w:tcPr>
          <w:p>
            <w:r>
              <w:rPr>
                <w:sz w:val="20"/>
                <w:szCs w:val="20"/>
              </w:rPr>
              <w:t xml:space="preserve">Nodemailer + Brevo ou SendGrid</w:t>
            </w:r>
          </w:p>
        </w:tc>
        <w:tc>
          <w:tcPr>
            <w:tcW w:type="dxa" w:w="4850"/>
            <w:vAlign w:val="center"/>
          </w:tcPr>
          <w:p>
            <w:r>
              <w:rPr>
                <w:sz w:val="20"/>
                <w:szCs w:val="20"/>
              </w:rPr>
              <w:t xml:space="preserve">Fiable et économique à faible volume.</w:t>
            </w:r>
          </w:p>
        </w:tc>
      </w:tr>
      <w:tr>
        <w:tc>
          <w:tcPr>
            <w:tcW w:type="dxa" w:w="1700"/>
            <w:vAlign w:val="center"/>
          </w:tcPr>
          <w:p>
            <w:r>
              <w:rPr>
                <w:sz w:val="20"/>
                <w:szCs w:val="20"/>
              </w:rPr>
              <w:t xml:space="preserve">SMS (alertes urgentes)</w:t>
            </w:r>
          </w:p>
        </w:tc>
        <w:tc>
          <w:tcPr>
            <w:tcW w:type="dxa" w:w="2800"/>
            <w:vAlign w:val="center"/>
          </w:tcPr>
          <w:p>
            <w:r>
              <w:rPr>
                <w:sz w:val="20"/>
                <w:szCs w:val="20"/>
              </w:rPr>
              <w:t xml:space="preserve">Twilio ou Africa's Talking (à confirmer selon couverture Guinée)</w:t>
            </w:r>
          </w:p>
        </w:tc>
        <w:tc>
          <w:tcPr>
            <w:tcW w:type="dxa" w:w="4850"/>
            <w:vAlign w:val="center"/>
          </w:tcPr>
          <w:p>
            <w:r>
              <w:rPr>
                <w:sz w:val="20"/>
                <w:szCs w:val="20"/>
              </w:rPr>
              <w:t xml:space="preserve">Couverture et coût à valider avec les opérateurs locaux (Orange/MTN).</w:t>
            </w:r>
          </w:p>
        </w:tc>
      </w:tr>
      <w:tr>
        <w:tc>
          <w:tcPr>
            <w:tcW w:type="dxa" w:w="1700"/>
            <w:vAlign w:val="center"/>
          </w:tcPr>
          <w:p>
            <w:r>
              <w:rPr>
                <w:sz w:val="20"/>
                <w:szCs w:val="20"/>
              </w:rPr>
              <w:t xml:space="preserve">Authentification / 2FA</w:t>
            </w:r>
          </w:p>
        </w:tc>
        <w:tc>
          <w:tcPr>
            <w:tcW w:type="dxa" w:w="2800"/>
            <w:vAlign w:val="center"/>
          </w:tcPr>
          <w:p>
            <w:r>
              <w:rPr>
                <w:sz w:val="20"/>
                <w:szCs w:val="20"/>
              </w:rPr>
              <w:t xml:space="preserve">JWT + TOTP (type Google Authenticator)</w:t>
            </w:r>
          </w:p>
        </w:tc>
        <w:tc>
          <w:tcPr>
            <w:tcW w:type="dxa" w:w="4850"/>
            <w:vAlign w:val="center"/>
          </w:tcPr>
          <w:p>
            <w:r>
              <w:rPr>
                <w:sz w:val="20"/>
                <w:szCs w:val="20"/>
              </w:rPr>
              <w:t xml:space="preserve">Gratuit et fiable, ne dépend pas d'un opérateur SMS pour fonctionner.</w:t>
            </w:r>
          </w:p>
        </w:tc>
      </w:tr>
      <w:tr>
        <w:tc>
          <w:tcPr>
            <w:tcW w:type="dxa" w:w="1700"/>
            <w:vAlign w:val="center"/>
          </w:tcPr>
          <w:p>
            <w:r>
              <w:rPr>
                <w:sz w:val="20"/>
                <w:szCs w:val="20"/>
              </w:rPr>
              <w:t xml:space="preserve">Infrastructure</w:t>
            </w:r>
          </w:p>
        </w:tc>
        <w:tc>
          <w:tcPr>
            <w:tcW w:type="dxa" w:w="2800"/>
            <w:vAlign w:val="center"/>
          </w:tcPr>
          <w:p>
            <w:r>
              <w:rPr>
                <w:sz w:val="20"/>
                <w:szCs w:val="20"/>
              </w:rPr>
              <w:t xml:space="preserve">Docker + Docker Compose, Nginx, Let's Encrypt</w:t>
            </w:r>
          </w:p>
        </w:tc>
        <w:tc>
          <w:tcPr>
            <w:tcW w:type="dxa" w:w="4850"/>
            <w:vAlign w:val="center"/>
          </w:tcPr>
          <w:p>
            <w:r>
              <w:rPr>
                <w:sz w:val="20"/>
                <w:szCs w:val="20"/>
              </w:rPr>
              <w:t xml:space="preserve">Conteneurisé dès le départ pour une migration facile entre hébergement provisoire et définitif.</w:t>
            </w:r>
          </w:p>
        </w:tc>
      </w:tr>
      <w:tr>
        <w:tc>
          <w:tcPr>
            <w:tcW w:type="dxa" w:w="1700"/>
            <w:vAlign w:val="center"/>
          </w:tcPr>
          <w:p>
            <w:r>
              <w:rPr>
                <w:sz w:val="20"/>
                <w:szCs w:val="20"/>
              </w:rPr>
              <w:t xml:space="preserve">CI/CD</w:t>
            </w:r>
          </w:p>
        </w:tc>
        <w:tc>
          <w:tcPr>
            <w:tcW w:type="dxa" w:w="2800"/>
            <w:vAlign w:val="center"/>
          </w:tcPr>
          <w:p>
            <w:r>
              <w:rPr>
                <w:sz w:val="20"/>
                <w:szCs w:val="20"/>
              </w:rPr>
              <w:t xml:space="preserve">GitHub Actions</w:t>
            </w:r>
          </w:p>
        </w:tc>
        <w:tc>
          <w:tcPr>
            <w:tcW w:type="dxa" w:w="4850"/>
            <w:vAlign w:val="center"/>
          </w:tcPr>
          <w:p>
            <w:r>
              <w:rPr>
                <w:sz w:val="20"/>
                <w:szCs w:val="20"/>
              </w:rPr>
              <w:t xml:space="preserve">Déploiement automatisé, gratuit pour un dépôt privé de cette taille.</w:t>
            </w:r>
          </w:p>
        </w:tc>
      </w:tr>
    </w:tbl>
    <w:p>
      <w:pPr>
        <w:pStyle w:val="Heading2"/>
        <w:spacing w:after="150" w:before="300"/>
      </w:pPr>
      <w:r>
        <w:t xml:space="preserve">7.8 Hébergement provisoire de développement et de validation</w:t>
      </w:r>
    </w:p>
    <w:p>
      <w:pPr>
        <w:spacing w:after="120"/>
      </w:pPr>
      <w:r>
        <w:t xml:space="preserve">Décision validée : hébergement provisoire sur Render, le temps du développement et de la validation par la Direction, avant bascule vers l'hébergement définitif (cf. §7.2).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6550"/>
      </w:tblGrid>
      <w:tr>
        <w:trPr>
          <w:tblHeader/>
        </w:trPr>
        <w:tc>
          <w:tcPr>
            <w:tcW w:type="dxa" w:w="2800"/>
            <w:shd w:fill="1F3864" w:color="auto" w:val="clear"/>
            <w:vAlign w:val="center"/>
          </w:tcPr>
          <w:p>
            <w:r>
              <w:rPr>
                <w:b/>
                <w:bCs/>
                <w:color w:val="FFFFFF"/>
                <w:sz w:val="20"/>
                <w:szCs w:val="20"/>
              </w:rPr>
              <w:t xml:space="preserve">Élément</w:t>
            </w:r>
          </w:p>
        </w:tc>
        <w:tc>
          <w:tcPr>
            <w:tcW w:type="dxa" w:w="6550"/>
            <w:shd w:fill="1F3864" w:color="auto" w:val="clear"/>
            <w:vAlign w:val="center"/>
          </w:tcPr>
          <w:p>
            <w:r>
              <w:rPr>
                <w:b/>
                <w:bCs/>
                <w:color w:val="FFFFFF"/>
                <w:sz w:val="20"/>
                <w:szCs w:val="20"/>
              </w:rPr>
              <w:t xml:space="preserve">Détail</w:t>
            </w:r>
          </w:p>
        </w:tc>
      </w:tr>
      <w:tr>
        <w:tc>
          <w:tcPr>
            <w:tcW w:type="dxa" w:w="2800"/>
            <w:vAlign w:val="center"/>
          </w:tcPr>
          <w:p>
            <w:r>
              <w:rPr>
                <w:sz w:val="20"/>
                <w:szCs w:val="20"/>
              </w:rPr>
              <w:t xml:space="preserve">Fournisseur retenu</w:t>
            </w:r>
          </w:p>
        </w:tc>
        <w:tc>
          <w:tcPr>
            <w:tcW w:type="dxa" w:w="6550"/>
            <w:vAlign w:val="center"/>
          </w:tcPr>
          <w:p>
            <w:r>
              <w:rPr>
                <w:sz w:val="20"/>
                <w:szCs w:val="20"/>
              </w:rPr>
              <w:t xml:space="preserve">Render.com</w:t>
            </w:r>
          </w:p>
        </w:tc>
      </w:tr>
      <w:tr>
        <w:tc>
          <w:tcPr>
            <w:tcW w:type="dxa" w:w="2800"/>
            <w:vAlign w:val="center"/>
          </w:tcPr>
          <w:p>
            <w:r>
              <w:rPr>
                <w:sz w:val="20"/>
                <w:szCs w:val="20"/>
              </w:rPr>
              <w:t xml:space="preserve">Composants hébergés</w:t>
            </w:r>
          </w:p>
        </w:tc>
        <w:tc>
          <w:tcPr>
            <w:tcW w:type="dxa" w:w="6550"/>
            <w:vAlign w:val="center"/>
          </w:tcPr>
          <w:p>
            <w:r>
              <w:rPr>
                <w:sz w:val="20"/>
                <w:szCs w:val="20"/>
              </w:rPr>
              <w:t xml:space="preserve">Service web (backend + frontend) + base de données PostgreSQL</w:t>
            </w:r>
          </w:p>
        </w:tc>
      </w:tr>
      <w:tr>
        <w:tc>
          <w:tcPr>
            <w:tcW w:type="dxa" w:w="2800"/>
            <w:vAlign w:val="center"/>
          </w:tcPr>
          <w:p>
            <w:r>
              <w:rPr>
                <w:sz w:val="20"/>
                <w:szCs w:val="20"/>
              </w:rPr>
              <w:t xml:space="preserve">Coût estimé</w:t>
            </w:r>
          </w:p>
        </w:tc>
        <w:tc>
          <w:tcPr>
            <w:tcW w:type="dxa" w:w="6550"/>
            <w:vAlign w:val="center"/>
          </w:tcPr>
          <w:p>
            <w:r>
              <w:rPr>
                <w:sz w:val="20"/>
                <w:szCs w:val="20"/>
              </w:rPr>
              <w:t xml:space="preserve">Environ 13-14 $/mois (7 $ service web « Starter » + 6-7 $ PostgreSQL « Basic »)</w:t>
            </w:r>
          </w:p>
        </w:tc>
      </w:tr>
      <w:tr>
        <w:tc>
          <w:tcPr>
            <w:tcW w:type="dxa" w:w="2800"/>
            <w:vAlign w:val="center"/>
          </w:tcPr>
          <w:p>
            <w:r>
              <w:rPr>
                <w:sz w:val="20"/>
                <w:szCs w:val="20"/>
              </w:rPr>
              <w:t xml:space="preserve">Option de démarrage à 0 $</w:t>
            </w:r>
          </w:p>
        </w:tc>
        <w:tc>
          <w:tcPr>
            <w:tcW w:type="dxa" w:w="6550"/>
            <w:vAlign w:val="center"/>
          </w:tcPr>
          <w:p>
            <w:r>
              <w:rPr>
                <w:sz w:val="20"/>
                <w:szCs w:val="20"/>
              </w:rPr>
              <w:t xml:space="preserve">Plan gratuit possible pour les tout premiers tests internes (délai de réveil de 30-60 s après inactivité ; base de données gratuite limitée à 90 jours, à migrer ensuite vers un plan payant)</w:t>
            </w:r>
          </w:p>
        </w:tc>
      </w:tr>
      <w:tr>
        <w:tc>
          <w:tcPr>
            <w:tcW w:type="dxa" w:w="2800"/>
            <w:vAlign w:val="center"/>
          </w:tcPr>
          <w:p>
            <w:r>
              <w:rPr>
                <w:sz w:val="20"/>
                <w:szCs w:val="20"/>
              </w:rPr>
              <w:t xml:space="preserve">Lien de démonstration</w:t>
            </w:r>
          </w:p>
        </w:tc>
        <w:tc>
          <w:tcPr>
            <w:tcW w:type="dxa" w:w="6550"/>
            <w:vAlign w:val="center"/>
          </w:tcPr>
          <w:p>
            <w:r>
              <w:rPr>
                <w:sz w:val="20"/>
                <w:szCs w:val="20"/>
              </w:rPr>
              <w:t xml:space="preserve">URL fournie par Render (ex. dnpec-si.onrender.com), avec possibilité d'un sous-domaine institutionnel (ex. demo.dnpec.gov.gn) si le DNS de la DNPEC est accessible</w:t>
            </w:r>
          </w:p>
        </w:tc>
      </w:tr>
      <w:tr>
        <w:tc>
          <w:tcPr>
            <w:tcW w:type="dxa" w:w="2800"/>
            <w:vAlign w:val="center"/>
          </w:tcPr>
          <w:p>
            <w:r>
              <w:rPr>
                <w:sz w:val="20"/>
                <w:szCs w:val="20"/>
              </w:rPr>
              <w:t xml:space="preserve">Migration future</w:t>
            </w:r>
          </w:p>
        </w:tc>
        <w:tc>
          <w:tcPr>
            <w:tcW w:type="dxa" w:w="6550"/>
            <w:vAlign w:val="center"/>
          </w:tcPr>
          <w:p>
            <w:r>
              <w:rPr>
                <w:sz w:val="20"/>
                <w:szCs w:val="20"/>
              </w:rPr>
              <w:t xml:space="preserve">Grâce à la conteneurisation Docker prévue dès le départ, bascule possible vers l'hébergement définitif (local Guinée + sauvegarde cloud) sans réécrire le code</w:t>
            </w:r>
          </w:p>
        </w:tc>
      </w:tr>
    </w:tbl>
    <w:p>
      <w:r>
        <w:br w:type="page"/>
      </w:r>
    </w:p>
    <w:p>
      <w:pPr>
        <w:pStyle w:val="Heading1"/>
        <w:spacing w:after="200" w:before="400"/>
      </w:pPr>
      <w:r>
        <w:t xml:space="preserve">8. Critères d'acceptation</w:t>
      </w:r>
    </w:p>
    <w:p>
      <w:pPr>
        <w:spacing w:after="120"/>
      </w:pPr>
      <w:r>
        <w:t xml:space="preserve">Un module est considéré comme livré et acceptable lorsque les conditions suivantes sont réunies :</w:t>
      </w:r>
    </w:p>
    <w:p>
      <w:pPr>
        <w:pStyle w:val="Heading2"/>
        <w:spacing w:after="150" w:before="300"/>
      </w:pPr>
      <w:r>
        <w:t xml:space="preserve">8.1 Module Tâches</w:t>
      </w:r>
    </w:p>
    <w:p>
      <w:pPr>
        <w:pStyle w:val="ListParagraph"/>
        <w:numPr>
          <w:ilvl w:val="0"/>
          <w:numId w:val="1"/>
        </w:numPr>
        <w:spacing w:after="60"/>
      </w:pPr>
      <w:r>
        <w:t xml:space="preserve">Un responsable peut créer, assigner (à une ou plusieurs personnes), suivre et faire valider une tâche de bout en bout, y compris avec sous-tâches.</w:t>
      </w:r>
    </w:p>
    <w:p>
      <w:pPr>
        <w:pStyle w:val="ListParagraph"/>
        <w:numPr>
          <w:ilvl w:val="0"/>
          <w:numId w:val="1"/>
        </w:numPr>
        <w:spacing w:after="60"/>
      </w:pPr>
      <w:r>
        <w:t xml:space="preserve">Le tableau de bord reflète correctement le périmètre visible selon le rôle connecté (cascade hiérarchique).</w:t>
      </w:r>
    </w:p>
    <w:p>
      <w:pPr>
        <w:pStyle w:val="Heading2"/>
        <w:spacing w:after="150" w:before="300"/>
      </w:pPr>
      <w:r>
        <w:t xml:space="preserve">8.2 Module Communication</w:t>
      </w:r>
    </w:p>
    <w:p>
      <w:pPr>
        <w:pStyle w:val="ListParagraph"/>
        <w:numPr>
          <w:ilvl w:val="0"/>
          <w:numId w:val="1"/>
        </w:numPr>
        <w:spacing w:after="60"/>
      </w:pPr>
      <w:r>
        <w:t xml:space="preserve">Un message direct et une annonce ciblée sont livrés avec accusé de réception/lecture et notification (in-app + email au minimum).</w:t>
      </w:r>
    </w:p>
    <w:p>
      <w:pPr>
        <w:pStyle w:val="ListParagraph"/>
        <w:numPr>
          <w:ilvl w:val="0"/>
          <w:numId w:val="1"/>
        </w:numPr>
        <w:spacing w:after="60"/>
      </w:pPr>
      <w:r>
        <w:t xml:space="preserve">L'historique des échanges reste consultable sans limite de durée.</w:t>
      </w:r>
    </w:p>
    <w:p>
      <w:pPr>
        <w:pStyle w:val="Heading2"/>
        <w:spacing w:after="150" w:before="300"/>
      </w:pPr>
      <w:r>
        <w:t xml:space="preserve">8.3 Module Archivage / GED</w:t>
      </w:r>
    </w:p>
    <w:p>
      <w:pPr>
        <w:pStyle w:val="ListParagraph"/>
        <w:numPr>
          <w:ilvl w:val="0"/>
          <w:numId w:val="1"/>
        </w:numPr>
        <w:spacing w:after="60"/>
      </w:pPr>
      <w:r>
        <w:t xml:space="preserve">Un document déposé en privé n'est visible que par la division concernée tant qu'il n'est pas publié par une personne habilitée (DN/DNA/Chef de Division).</w:t>
      </w:r>
    </w:p>
    <w:p>
      <w:pPr>
        <w:pStyle w:val="ListParagraph"/>
        <w:numPr>
          <w:ilvl w:val="0"/>
          <w:numId w:val="1"/>
        </w:numPr>
        <w:spacing w:after="60"/>
      </w:pPr>
      <w:r>
        <w:t xml:space="preserve">La recherche par filtres et par mot-clé retourne des résultats corrects sur un jeu de test d'au moins 50 documents.</w:t>
      </w:r>
    </w:p>
    <w:p>
      <w:pPr>
        <w:pStyle w:val="Heading2"/>
        <w:spacing w:after="150" w:before="300"/>
      </w:pPr>
      <w:r>
        <w:t xml:space="preserve">8.4 Module Congés</w:t>
      </w:r>
    </w:p>
    <w:p>
      <w:pPr>
        <w:pStyle w:val="ListParagraph"/>
        <w:numPr>
          <w:ilvl w:val="0"/>
          <w:numId w:val="1"/>
        </w:numPr>
        <w:spacing w:after="60"/>
      </w:pPr>
      <w:r>
        <w:t xml:space="preserve">Une demande de congé suit le circuit de validation hiérarchique et met à jour le solde de jours automatiquement une fois validée.</w:t>
      </w:r>
    </w:p>
    <w:p>
      <w:pPr>
        <w:pStyle w:val="Heading2"/>
        <w:spacing w:after="150" w:before="300"/>
      </w:pPr>
      <w:r>
        <w:t xml:space="preserve">8.5 Sécurité</w:t>
      </w:r>
    </w:p>
    <w:p>
      <w:pPr>
        <w:pStyle w:val="ListParagraph"/>
        <w:numPr>
          <w:ilvl w:val="0"/>
          <w:numId w:val="1"/>
        </w:numPr>
        <w:spacing w:after="60"/>
      </w:pPr>
      <w:r>
        <w:t xml:space="preserve">Le 2FA est fonctionnel et obligatoire pour les comptes dirigeants ; aucun contournement possible.</w:t>
      </w:r>
    </w:p>
    <w:p>
      <w:pPr>
        <w:pStyle w:val="ListParagraph"/>
        <w:numPr>
          <w:ilvl w:val="0"/>
          <w:numId w:val="1"/>
        </w:numPr>
        <w:spacing w:after="60"/>
      </w:pPr>
      <w:r>
        <w:t xml:space="preserve">Le journal d'audit enregistre toute création, modification, suppression et validation, horodatée et attribuée à un utilisateur.</w:t>
      </w:r>
    </w:p>
    <w:p>
      <w:r>
        <w:br w:type="page"/>
      </w:r>
    </w:p>
    <w:p>
      <w:pPr>
        <w:pStyle w:val="Heading1"/>
        <w:spacing w:after="200" w:before="400"/>
      </w:pPr>
      <w:r>
        <w:t xml:space="preserve">9. Formation, documentation et accompagnement</w:t>
      </w:r>
    </w:p>
    <w:p>
      <w:pPr>
        <w:pStyle w:val="ListParagraph"/>
        <w:numPr>
          <w:ilvl w:val="0"/>
          <w:numId w:val="1"/>
        </w:numPr>
        <w:spacing w:after="60"/>
      </w:pPr>
      <w:r>
        <w:t xml:space="preserve">Manuel utilisateur intégré directement dans l'interface du système (aide contextuelle).</w:t>
      </w:r>
    </w:p>
    <w:p>
      <w:pPr>
        <w:pStyle w:val="ListParagraph"/>
        <w:numPr>
          <w:ilvl w:val="0"/>
          <w:numId w:val="1"/>
        </w:numPr>
        <w:spacing w:after="60"/>
      </w:pPr>
      <w:r>
        <w:t xml:space="preserve">Vidéo explicative destinée aux utilisateurs : script à produire conjointement avec le maître d'œuvre, puis réalisation via un outil d'enregistrement d'écran ou de génération vidéo au choix de la CSID, une fois l'interface stabilisée.</w:t>
      </w:r>
    </w:p>
    <w:p>
      <w:pPr>
        <w:pStyle w:val="Heading2"/>
        <w:spacing w:after="150" w:before="300"/>
      </w:pPr>
      <w:r>
        <w:t xml:space="preserve">9.1 Maintenance et évolutions</w:t>
      </w:r>
    </w:p>
    <w:p>
      <w:pPr>
        <w:spacing w:after="120"/>
      </w:pPr>
      <w:r>
        <w:t xml:space="preserve">La maintenance et les évolutions du système après livraison seront prises en charge en interne par la CSID, une fois formée sur l'architecture et le code du système.</w:t>
      </w:r>
    </w:p>
    <w:p>
      <w:r>
        <w:br w:type="page"/>
      </w:r>
    </w:p>
    <w:p>
      <w:pPr>
        <w:pStyle w:val="Heading1"/>
        <w:spacing w:after="200" w:before="400"/>
      </w:pPr>
      <w:r>
        <w:t xml:space="preserve">10. Risques et hypothèses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50"/>
      </w:tblGrid>
      <w:tr>
        <w:trPr>
          <w:tblHeader/>
        </w:trPr>
        <w:tc>
          <w:tcPr>
            <w:tcW w:type="dxa" w:w="2800"/>
            <w:shd w:fill="1F3864" w:color="auto" w:val="clear"/>
            <w:vAlign w:val="center"/>
          </w:tcPr>
          <w:p>
            <w:r>
              <w:rPr>
                <w:b/>
                <w:bCs/>
                <w:color w:val="FFFFFF"/>
                <w:sz w:val="20"/>
                <w:szCs w:val="20"/>
              </w:rPr>
              <w:t xml:space="preserve">Risque</w:t>
            </w:r>
          </w:p>
        </w:tc>
        <w:tc>
          <w:tcPr>
            <w:tcW w:type="dxa" w:w="2800"/>
            <w:shd w:fill="1F3864" w:color="auto" w:val="clear"/>
            <w:vAlign w:val="center"/>
          </w:tcPr>
          <w:p>
            <w:r>
              <w:rPr>
                <w:b/>
                <w:bCs/>
                <w:color w:val="FFFFFF"/>
                <w:sz w:val="20"/>
                <w:szCs w:val="20"/>
              </w:rPr>
              <w:t xml:space="preserve">Impact potentiel</w:t>
            </w:r>
          </w:p>
        </w:tc>
        <w:tc>
          <w:tcPr>
            <w:tcW w:type="dxa" w:w="3750"/>
            <w:shd w:fill="1F3864" w:color="auto" w:val="clear"/>
            <w:vAlign w:val="center"/>
          </w:tcPr>
          <w:p>
            <w:r>
              <w:rPr>
                <w:b/>
                <w:bCs/>
                <w:color w:val="FFFFFF"/>
                <w:sz w:val="20"/>
                <w:szCs w:val="20"/>
              </w:rPr>
              <w:t xml:space="preserve">Mesure de mitigation</w:t>
            </w:r>
          </w:p>
        </w:tc>
      </w:tr>
      <w:tr>
        <w:tc>
          <w:tcPr>
            <w:tcW w:type="dxa" w:w="2800"/>
            <w:vAlign w:val="center"/>
          </w:tcPr>
          <w:p>
            <w:r>
              <w:rPr>
                <w:sz w:val="20"/>
                <w:szCs w:val="20"/>
              </w:rPr>
              <w:t xml:space="preserve">Instabilité de la connexion internet dans les locaux</w:t>
            </w:r>
          </w:p>
        </w:tc>
        <w:tc>
          <w:tcPr>
            <w:tcW w:type="dxa" w:w="2800"/>
            <w:vAlign w:val="center"/>
          </w:tcPr>
          <w:p>
            <w:r>
              <w:rPr>
                <w:sz w:val="20"/>
                <w:szCs w:val="20"/>
              </w:rPr>
              <w:t xml:space="preserve">Retard de synchronisation, frustration utilisateurs</w:t>
            </w:r>
          </w:p>
        </w:tc>
        <w:tc>
          <w:tcPr>
            <w:tcW w:type="dxa" w:w="3750"/>
            <w:vAlign w:val="center"/>
          </w:tcPr>
          <w:p>
            <w:r>
              <w:rPr>
                <w:sz w:val="20"/>
                <w:szCs w:val="20"/>
              </w:rPr>
              <w:t xml:space="preserve">Mode hors-ligne avec synchronisation différée (déjà prévu au cahier des charges)</w:t>
            </w:r>
          </w:p>
        </w:tc>
      </w:tr>
      <w:tr>
        <w:tc>
          <w:tcPr>
            <w:tcW w:type="dxa" w:w="2800"/>
            <w:vAlign w:val="center"/>
          </w:tcPr>
          <w:p>
            <w:r>
              <w:rPr>
                <w:sz w:val="20"/>
                <w:szCs w:val="20"/>
              </w:rPr>
              <w:t xml:space="preserve">Décision d'hébergement définitif tardive</w:t>
            </w:r>
          </w:p>
        </w:tc>
        <w:tc>
          <w:tcPr>
            <w:tcW w:type="dxa" w:w="2800"/>
            <w:vAlign w:val="center"/>
          </w:tcPr>
          <w:p>
            <w:r>
              <w:rPr>
                <w:sz w:val="20"/>
                <w:szCs w:val="20"/>
              </w:rPr>
              <w:t xml:space="preserve">Retard de mise en production</w:t>
            </w:r>
          </w:p>
        </w:tc>
        <w:tc>
          <w:tcPr>
            <w:tcW w:type="dxa" w:w="3750"/>
            <w:vAlign w:val="center"/>
          </w:tcPr>
          <w:p>
            <w:r>
              <w:rPr>
                <w:sz w:val="20"/>
                <w:szCs w:val="20"/>
              </w:rPr>
              <w:t xml:space="preserve">Hébergement provisoire migrable dès la phase de développement (déjà prévu)</w:t>
            </w:r>
          </w:p>
        </w:tc>
      </w:tr>
      <w:tr>
        <w:tc>
          <w:tcPr>
            <w:tcW w:type="dxa" w:w="2800"/>
            <w:vAlign w:val="center"/>
          </w:tcPr>
          <w:p>
            <w:r>
              <w:rPr>
                <w:sz w:val="20"/>
                <w:szCs w:val="20"/>
              </w:rPr>
              <w:t xml:space="preserve">Faible adoption par les agents (résistance au changement)</w:t>
            </w:r>
          </w:p>
        </w:tc>
        <w:tc>
          <w:tcPr>
            <w:tcW w:type="dxa" w:w="2800"/>
            <w:vAlign w:val="center"/>
          </w:tcPr>
          <w:p>
            <w:r>
              <w:rPr>
                <w:sz w:val="20"/>
                <w:szCs w:val="20"/>
              </w:rPr>
              <w:t xml:space="preserve">Sous-utilisation du système</w:t>
            </w:r>
          </w:p>
        </w:tc>
        <w:tc>
          <w:tcPr>
            <w:tcW w:type="dxa" w:w="3750"/>
            <w:vAlign w:val="center"/>
          </w:tcPr>
          <w:p>
            <w:r>
              <w:rPr>
                <w:sz w:val="20"/>
                <w:szCs w:val="20"/>
              </w:rPr>
              <w:t xml:space="preserve">Manuel intégré, vidéo explicative, boîte à suggestions pour favoriser l'appropriation</w:t>
            </w:r>
          </w:p>
        </w:tc>
      </w:tr>
      <w:tr>
        <w:tc>
          <w:tcPr>
            <w:tcW w:type="dxa" w:w="2800"/>
            <w:vAlign w:val="center"/>
          </w:tcPr>
          <w:p>
            <w:r>
              <w:rPr>
                <w:sz w:val="20"/>
                <w:szCs w:val="20"/>
              </w:rPr>
              <w:t xml:space="preserve">Effectif et budget non encore définis</w:t>
            </w:r>
          </w:p>
        </w:tc>
        <w:tc>
          <w:tcPr>
            <w:tcW w:type="dxa" w:w="2800"/>
            <w:vAlign w:val="center"/>
          </w:tcPr>
          <w:p>
            <w:r>
              <w:rPr>
                <w:sz w:val="20"/>
                <w:szCs w:val="20"/>
              </w:rPr>
              <w:t xml:space="preserve">Difficulté à dimensionner l'infrastructure et le planning</w:t>
            </w:r>
          </w:p>
        </w:tc>
        <w:tc>
          <w:tcPr>
            <w:tcW w:type="dxa" w:w="3750"/>
            <w:vAlign w:val="center"/>
          </w:tcPr>
          <w:p>
            <w:r>
              <w:rPr>
                <w:sz w:val="20"/>
                <w:szCs w:val="20"/>
              </w:rPr>
              <w:t xml:space="preserve">Architecture scalable dès le départ ; chiffrage à affiner avec la Direction</w:t>
            </w:r>
          </w:p>
        </w:tc>
      </w:tr>
      <w:tr>
        <w:tc>
          <w:tcPr>
            <w:tcW w:type="dxa" w:w="2800"/>
            <w:vAlign w:val="center"/>
          </w:tcPr>
          <w:p>
            <w:r>
              <w:rPr>
                <w:sz w:val="20"/>
                <w:szCs w:val="20"/>
              </w:rPr>
              <w:t xml:space="preserve">Disponibilité limitée de la CSID pour la maintenance post-livraison</w:t>
            </w:r>
          </w:p>
        </w:tc>
        <w:tc>
          <w:tcPr>
            <w:tcW w:type="dxa" w:w="2800"/>
            <w:vAlign w:val="center"/>
          </w:tcPr>
          <w:p>
            <w:r>
              <w:rPr>
                <w:sz w:val="20"/>
                <w:szCs w:val="20"/>
              </w:rPr>
              <w:t xml:space="preserve">Ralentissement du support aux utilisateurs</w:t>
            </w:r>
          </w:p>
        </w:tc>
        <w:tc>
          <w:tcPr>
            <w:tcW w:type="dxa" w:w="3750"/>
            <w:vAlign w:val="center"/>
          </w:tcPr>
          <w:p>
            <w:r>
              <w:rPr>
                <w:sz w:val="20"/>
                <w:szCs w:val="20"/>
              </w:rPr>
              <w:t xml:space="preserve">Formation approfondie de la CSID prévue avant la fin du projet</w:t>
            </w:r>
          </w:p>
        </w:tc>
      </w:tr>
      <w:tr>
        <w:tc>
          <w:tcPr>
            <w:tcW w:type="dxa" w:w="2800"/>
            <w:vAlign w:val="center"/>
          </w:tcPr>
          <w:p>
            <w:r>
              <w:rPr>
                <w:sz w:val="20"/>
                <w:szCs w:val="20"/>
              </w:rPr>
              <w:t xml:space="preserve">Volume croissant de documents archivés (conservation indéfinie)</w:t>
            </w:r>
          </w:p>
        </w:tc>
        <w:tc>
          <w:tcPr>
            <w:tcW w:type="dxa" w:w="2800"/>
            <w:vAlign w:val="center"/>
          </w:tcPr>
          <w:p>
            <w:r>
              <w:rPr>
                <w:sz w:val="20"/>
                <w:szCs w:val="20"/>
              </w:rPr>
              <w:t xml:space="preserve">Coût de stockage croissant dans le temps</w:t>
            </w:r>
          </w:p>
        </w:tc>
        <w:tc>
          <w:tcPr>
            <w:tcW w:type="dxa" w:w="3750"/>
            <w:vAlign w:val="center"/>
          </w:tcPr>
          <w:p>
            <w:r>
              <w:rPr>
                <w:sz w:val="20"/>
                <w:szCs w:val="20"/>
              </w:rPr>
              <w:t xml:space="preserve">Prévoir un stockage évolutif et une politique de sauvegarde adaptée</w:t>
            </w:r>
          </w:p>
        </w:tc>
      </w:tr>
    </w:tbl>
    <w:p>
      <w:r>
        <w:br w:type="page"/>
      </w:r>
    </w:p>
    <w:p>
      <w:pPr>
        <w:pStyle w:val="Heading1"/>
        <w:spacing w:after="200" w:before="400"/>
      </w:pPr>
      <w:r>
        <w:t xml:space="preserve">11. Points restant à valider</w:t>
      </w:r>
    </w:p>
    <w:p>
      <w:pPr>
        <w:spacing w:after="120"/>
      </w:pPr>
      <w:r>
        <w:t xml:space="preserve">Les points suivants ont été identifiés au cours des échanges mais nécessitent une décision ultérieure de la Direction / CSID avant ou pendant le développement :</w:t>
      </w:r>
    </w:p>
    <w:p>
      <w:pPr>
        <w:pStyle w:val="ListParagraph"/>
        <w:numPr>
          <w:ilvl w:val="0"/>
          <w:numId w:val="1"/>
        </w:numPr>
        <w:spacing w:after="60"/>
      </w:pPr>
      <w:r>
        <w:t xml:space="preserve">Décision finale sur l'hébergement définitif (local, cloud, ou hybride).</w:t>
      </w:r>
    </w:p>
    <w:p>
      <w:pPr>
        <w:pStyle w:val="ListParagraph"/>
        <w:numPr>
          <w:ilvl w:val="0"/>
          <w:numId w:val="1"/>
        </w:numPr>
        <w:spacing w:after="60"/>
      </w:pPr>
      <w:r>
        <w:t xml:space="preserve">Effectif exact des utilisateurs du système.</w:t>
      </w:r>
    </w:p>
    <w:p>
      <w:pPr>
        <w:pStyle w:val="ListParagraph"/>
        <w:numPr>
          <w:ilvl w:val="0"/>
          <w:numId w:val="1"/>
        </w:numPr>
        <w:spacing w:after="60"/>
      </w:pPr>
      <w:r>
        <w:t xml:space="preserve">Budget alloué au projet.</w:t>
      </w:r>
    </w:p>
    <w:p>
      <w:pPr>
        <w:pStyle w:val="ListParagraph"/>
        <w:numPr>
          <w:ilvl w:val="0"/>
          <w:numId w:val="1"/>
        </w:numPr>
        <w:spacing w:after="60"/>
      </w:pPr>
      <w:r>
        <w:t xml:space="preserve">Délai cible de mise en service.</w:t>
      </w:r>
    </w:p>
    <w:p>
      <w:pPr>
        <w:pStyle w:val="ListParagraph"/>
        <w:numPr>
          <w:ilvl w:val="0"/>
          <w:numId w:val="1"/>
        </w:numPr>
        <w:spacing w:after="60"/>
      </w:pPr>
      <w:r>
        <w:t xml:space="preserve">Choix de l'outil de production de la vidéo explicative.</w:t>
      </w:r>
    </w:p>
    <w:p>
      <w:pPr>
        <w:pStyle w:val="ListParagraph"/>
        <w:numPr>
          <w:ilvl w:val="0"/>
          <w:numId w:val="1"/>
        </w:numPr>
        <w:spacing w:after="60"/>
      </w:pPr>
      <w:r>
        <w:t xml:space="preserve">Politique précise de rétention des sauvegardes (nombre de jours/semaines glissants conservés).</w:t>
      </w:r>
    </w:p>
    <w:p>
      <w:pPr>
        <w:pStyle w:val="ListParagraph"/>
        <w:numPr>
          <w:ilvl w:val="0"/>
          <w:numId w:val="1"/>
        </w:numPr>
        <w:spacing w:after="60"/>
      </w:pPr>
      <w:r>
        <w:t xml:space="preserve">Validation par la Direction du séquençage MVP / Vague 2 proposé en section 5.7.</w:t>
      </w:r>
    </w:p>
    <w:p>
      <w:r>
        <w:br w:type="page"/>
      </w:r>
    </w:p>
    <w:p>
      <w:pPr>
        <w:pStyle w:val="Heading1"/>
        <w:spacing w:after="200" w:before="400"/>
      </w:pPr>
      <w:r>
        <w:t xml:space="preserve">Annexe A — Glossaire des sigles et acronymes</w:t>
      </w:r>
    </w:p>
    <w:p>
      <w:pPr>
        <w:pStyle w:val="Heading2"/>
        <w:spacing w:after="150" w:before="300"/>
      </w:pPr>
      <w:r>
        <w:t xml:space="preserve">A.1 Organisation DNPEC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F3864" w:color="auto" w:val="clear"/>
            <w:vAlign w:val="center"/>
          </w:tcPr>
          <w:p>
            <w:r>
              <w:rPr>
                <w:b/>
                <w:bCs/>
                <w:color w:val="FFFFFF"/>
                <w:sz w:val="20"/>
                <w:szCs w:val="20"/>
              </w:rPr>
              <w:t xml:space="preserve">Sigle</w:t>
            </w:r>
          </w:p>
        </w:tc>
        <w:tc>
          <w:tcPr>
            <w:tcW w:type="dxa" w:w="7150"/>
            <w:shd w:fill="1F3864" w:color="auto" w:val="clear"/>
            <w:vAlign w:val="center"/>
          </w:tcPr>
          <w:p>
            <w:r>
              <w:rPr>
                <w:b/>
                <w:bCs/>
                <w:color w:val="FFFFFF"/>
                <w:sz w:val="20"/>
                <w:szCs w:val="20"/>
              </w:rPr>
              <w:t xml:space="preserve">Signification</w:t>
            </w:r>
          </w:p>
        </w:tc>
      </w:tr>
      <w:tr>
        <w:tc>
          <w:tcPr>
            <w:tcW w:type="dxa" w:w="2200"/>
            <w:vAlign w:val="center"/>
          </w:tcPr>
          <w:p>
            <w:r>
              <w:rPr>
                <w:sz w:val="20"/>
                <w:szCs w:val="20"/>
              </w:rPr>
              <w:t xml:space="preserve">DN</w:t>
            </w:r>
          </w:p>
        </w:tc>
        <w:tc>
          <w:tcPr>
            <w:tcW w:type="dxa" w:w="7150"/>
            <w:vAlign w:val="center"/>
          </w:tcPr>
          <w:p>
            <w:r>
              <w:rPr>
                <w:sz w:val="20"/>
                <w:szCs w:val="20"/>
              </w:rPr>
              <w:t xml:space="preserve">Directeur National</w:t>
            </w:r>
          </w:p>
        </w:tc>
      </w:tr>
      <w:tr>
        <w:tc>
          <w:tcPr>
            <w:tcW w:type="dxa" w:w="2200"/>
            <w:vAlign w:val="center"/>
          </w:tcPr>
          <w:p>
            <w:r>
              <w:rPr>
                <w:sz w:val="20"/>
                <w:szCs w:val="20"/>
              </w:rPr>
              <w:t xml:space="preserve">DNA</w:t>
            </w:r>
          </w:p>
        </w:tc>
        <w:tc>
          <w:tcPr>
            <w:tcW w:type="dxa" w:w="7150"/>
            <w:vAlign w:val="center"/>
          </w:tcPr>
          <w:p>
            <w:r>
              <w:rPr>
                <w:sz w:val="20"/>
                <w:szCs w:val="20"/>
              </w:rPr>
              <w:t xml:space="preserve">Directeur National Adjoint</w:t>
            </w:r>
          </w:p>
        </w:tc>
      </w:tr>
      <w:tr>
        <w:tc>
          <w:tcPr>
            <w:tcW w:type="dxa" w:w="2200"/>
            <w:vAlign w:val="center"/>
          </w:tcPr>
          <w:p>
            <w:r>
              <w:rPr>
                <w:sz w:val="20"/>
                <w:szCs w:val="20"/>
              </w:rPr>
              <w:t xml:space="preserve">DPE</w:t>
            </w:r>
          </w:p>
        </w:tc>
        <w:tc>
          <w:tcPr>
            <w:tcW w:type="dxa" w:w="7150"/>
            <w:vAlign w:val="center"/>
          </w:tcPr>
          <w:p>
            <w:r>
              <w:rPr>
                <w:sz w:val="20"/>
                <w:szCs w:val="20"/>
              </w:rPr>
              <w:t xml:space="preserve">Division des Prévisions Économiques</w:t>
            </w:r>
          </w:p>
        </w:tc>
      </w:tr>
      <w:tr>
        <w:tc>
          <w:tcPr>
            <w:tcW w:type="dxa" w:w="2200"/>
            <w:vAlign w:val="center"/>
          </w:tcPr>
          <w:p>
            <w:r>
              <w:rPr>
                <w:sz w:val="20"/>
                <w:szCs w:val="20"/>
              </w:rPr>
              <w:t xml:space="preserve">DEE</w:t>
            </w:r>
          </w:p>
        </w:tc>
        <w:tc>
          <w:tcPr>
            <w:tcW w:type="dxa" w:w="7150"/>
            <w:vAlign w:val="center"/>
          </w:tcPr>
          <w:p>
            <w:r>
              <w:rPr>
                <w:sz w:val="20"/>
                <w:szCs w:val="20"/>
              </w:rPr>
              <w:t xml:space="preserve">Division Études Économiques</w:t>
            </w:r>
          </w:p>
        </w:tc>
      </w:tr>
      <w:tr>
        <w:tc>
          <w:tcPr>
            <w:tcW w:type="dxa" w:w="2200"/>
            <w:vAlign w:val="center"/>
          </w:tcPr>
          <w:p>
            <w:r>
              <w:rPr>
                <w:sz w:val="20"/>
                <w:szCs w:val="20"/>
              </w:rPr>
              <w:t xml:space="preserve">DSPS</w:t>
            </w:r>
          </w:p>
        </w:tc>
        <w:tc>
          <w:tcPr>
            <w:tcW w:type="dxa" w:w="7150"/>
            <w:vAlign w:val="center"/>
          </w:tcPr>
          <w:p>
            <w:r>
              <w:rPr>
                <w:sz w:val="20"/>
                <w:szCs w:val="20"/>
              </w:rPr>
              <w:t xml:space="preserve">Division Suivi de Politiques Économiques</w:t>
            </w:r>
          </w:p>
        </w:tc>
      </w:tr>
      <w:tr>
        <w:tc>
          <w:tcPr>
            <w:tcW w:type="dxa" w:w="2200"/>
            <w:vAlign w:val="center"/>
          </w:tcPr>
          <w:p>
            <w:r>
              <w:rPr>
                <w:sz w:val="20"/>
                <w:szCs w:val="20"/>
              </w:rPr>
              <w:t xml:space="preserve">DAC</w:t>
            </w:r>
          </w:p>
        </w:tc>
        <w:tc>
          <w:tcPr>
            <w:tcW w:type="dxa" w:w="7150"/>
            <w:vAlign w:val="center"/>
          </w:tcPr>
          <w:p>
            <w:r>
              <w:rPr>
                <w:sz w:val="20"/>
                <w:szCs w:val="20"/>
              </w:rPr>
              <w:t xml:space="preserve">Division Analyses Conjoncturelles</w:t>
            </w:r>
          </w:p>
        </w:tc>
      </w:tr>
      <w:tr>
        <w:tc>
          <w:tcPr>
            <w:tcW w:type="dxa" w:w="2200"/>
            <w:vAlign w:val="center"/>
          </w:tcPr>
          <w:p>
            <w:r>
              <w:rPr>
                <w:sz w:val="20"/>
                <w:szCs w:val="20"/>
              </w:rPr>
              <w:t xml:space="preserve">DIPE</w:t>
            </w:r>
          </w:p>
        </w:tc>
        <w:tc>
          <w:tcPr>
            <w:tcW w:type="dxa" w:w="7150"/>
            <w:vAlign w:val="center"/>
          </w:tcPr>
          <w:p>
            <w:r>
              <w:rPr>
                <w:sz w:val="20"/>
                <w:szCs w:val="20"/>
              </w:rPr>
              <w:t xml:space="preserve">Division Intégration et Partenariats Économiques</w:t>
            </w:r>
          </w:p>
        </w:tc>
      </w:tr>
      <w:tr>
        <w:tc>
          <w:tcPr>
            <w:tcW w:type="dxa" w:w="2200"/>
            <w:vAlign w:val="center"/>
          </w:tcPr>
          <w:p>
            <w:r>
              <w:rPr>
                <w:sz w:val="20"/>
                <w:szCs w:val="20"/>
              </w:rPr>
              <w:t xml:space="preserve">SSR / SFP / SSME / SGOP</w:t>
            </w:r>
          </w:p>
        </w:tc>
        <w:tc>
          <w:tcPr>
            <w:tcW w:type="dxa" w:w="7150"/>
            <w:vAlign w:val="center"/>
          </w:tcPr>
          <w:p>
            <w:r>
              <w:rPr>
                <w:sz w:val="20"/>
                <w:szCs w:val="20"/>
              </w:rPr>
              <w:t xml:space="preserve">Sections de la DPE : Secteur Réel, Finances Publiques, Secteurs Monétaires et Extérieur, Gestion des Outils de Prévision</w:t>
            </w:r>
          </w:p>
        </w:tc>
      </w:tr>
      <w:tr>
        <w:tc>
          <w:tcPr>
            <w:tcW w:type="dxa" w:w="2200"/>
            <w:vAlign w:val="center"/>
          </w:tcPr>
          <w:p>
            <w:r>
              <w:rPr>
                <w:sz w:val="20"/>
                <w:szCs w:val="20"/>
              </w:rPr>
              <w:t xml:space="preserve">SE / SDP / SME</w:t>
            </w:r>
          </w:p>
        </w:tc>
        <w:tc>
          <w:tcPr>
            <w:tcW w:type="dxa" w:w="7150"/>
            <w:vAlign w:val="center"/>
          </w:tcPr>
          <w:p>
            <w:r>
              <w:rPr>
                <w:sz w:val="20"/>
                <w:szCs w:val="20"/>
              </w:rPr>
              <w:t xml:space="preserve">Sections de la DEE : Études, Documentation et Publications, Modélisation Économique</w:t>
            </w:r>
          </w:p>
        </w:tc>
      </w:tr>
      <w:tr>
        <w:tc>
          <w:tcPr>
            <w:tcW w:type="dxa" w:w="2200"/>
            <w:vAlign w:val="center"/>
          </w:tcPr>
          <w:p>
            <w:r>
              <w:rPr>
                <w:sz w:val="20"/>
                <w:szCs w:val="20"/>
              </w:rPr>
              <w:t xml:space="preserve">SSSP / SSSS / SSST / SSSQ</w:t>
            </w:r>
          </w:p>
        </w:tc>
        <w:tc>
          <w:tcPr>
            <w:tcW w:type="dxa" w:w="7150"/>
            <w:vAlign w:val="center"/>
          </w:tcPr>
          <w:p>
            <w:r>
              <w:rPr>
                <w:sz w:val="20"/>
                <w:szCs w:val="20"/>
              </w:rPr>
              <w:t xml:space="preserve">Sections de la DSPS : Suivi des Secteurs Primaire, Secondaire, Tertiaire, Quaternaire</w:t>
            </w:r>
          </w:p>
        </w:tc>
      </w:tr>
      <w:tr>
        <w:tc>
          <w:tcPr>
            <w:tcW w:type="dxa" w:w="2200"/>
            <w:vAlign w:val="center"/>
          </w:tcPr>
          <w:p>
            <w:r>
              <w:rPr>
                <w:sz w:val="20"/>
                <w:szCs w:val="20"/>
              </w:rPr>
              <w:t xml:space="preserve">SCI / SCN / SEC / SGBD</w:t>
            </w:r>
          </w:p>
        </w:tc>
        <w:tc>
          <w:tcPr>
            <w:tcW w:type="dxa" w:w="7150"/>
            <w:vAlign w:val="center"/>
          </w:tcPr>
          <w:p>
            <w:r>
              <w:rPr>
                <w:sz w:val="20"/>
                <w:szCs w:val="20"/>
              </w:rPr>
              <w:t xml:space="preserve">Sections de la DAC : Conjoncture Internationale, Conjoncture Nationale, Enquête Conjoncturelle, Gestion de la Base des Données</w:t>
            </w:r>
          </w:p>
        </w:tc>
      </w:tr>
      <w:tr>
        <w:tc>
          <w:tcPr>
            <w:tcW w:type="dxa" w:w="2200"/>
            <w:vAlign w:val="center"/>
          </w:tcPr>
          <w:p>
            <w:r>
              <w:rPr>
                <w:sz w:val="20"/>
                <w:szCs w:val="20"/>
              </w:rPr>
              <w:t xml:space="preserve">SIRC / SPEN / SAEVS</w:t>
            </w:r>
          </w:p>
        </w:tc>
        <w:tc>
          <w:tcPr>
            <w:tcW w:type="dxa" w:w="7150"/>
            <w:vAlign w:val="center"/>
          </w:tcPr>
          <w:p>
            <w:r>
              <w:rPr>
                <w:sz w:val="20"/>
                <w:szCs w:val="20"/>
              </w:rPr>
              <w:t xml:space="preserve">Sections de la DIPE : Intégration Régionale et Convergence, Partenariats Économiques et Négociations, Analyse Études et Veille Stratégique</w:t>
            </w:r>
          </w:p>
        </w:tc>
      </w:tr>
      <w:tr>
        <w:tc>
          <w:tcPr>
            <w:tcW w:type="dxa" w:w="2200"/>
            <w:vAlign w:val="center"/>
          </w:tcPr>
          <w:p>
            <w:r>
              <w:rPr>
                <w:sz w:val="20"/>
                <w:szCs w:val="20"/>
              </w:rPr>
              <w:t xml:space="preserve">CTSCM</w:t>
            </w:r>
          </w:p>
        </w:tc>
        <w:tc>
          <w:tcPr>
            <w:tcW w:type="dxa" w:w="7150"/>
            <w:vAlign w:val="center"/>
          </w:tcPr>
          <w:p>
            <w:r>
              <w:rPr>
                <w:sz w:val="20"/>
                <w:szCs w:val="20"/>
              </w:rPr>
              <w:t xml:space="preserve">Cellule Technique de Suivi de la Conjoncture Macroéconomique</w:t>
            </w:r>
          </w:p>
        </w:tc>
      </w:tr>
      <w:tr>
        <w:tc>
          <w:tcPr>
            <w:tcW w:type="dxa" w:w="2200"/>
            <w:vAlign w:val="center"/>
          </w:tcPr>
          <w:p>
            <w:r>
              <w:rPr>
                <w:sz w:val="20"/>
                <w:szCs w:val="20"/>
              </w:rPr>
              <w:t xml:space="preserve">CNC</w:t>
            </w:r>
          </w:p>
        </w:tc>
        <w:tc>
          <w:tcPr>
            <w:tcW w:type="dxa" w:w="7150"/>
            <w:vAlign w:val="center"/>
          </w:tcPr>
          <w:p>
            <w:r>
              <w:rPr>
                <w:sz w:val="20"/>
                <w:szCs w:val="20"/>
              </w:rPr>
              <w:t xml:space="preserve">Comité National de Coordination des Politiques Macroéconomiques et Monétaires</w:t>
            </w:r>
          </w:p>
        </w:tc>
      </w:tr>
      <w:tr>
        <w:tc>
          <w:tcPr>
            <w:tcW w:type="dxa" w:w="2200"/>
            <w:vAlign w:val="center"/>
          </w:tcPr>
          <w:p>
            <w:r>
              <w:rPr>
                <w:sz w:val="20"/>
                <w:szCs w:val="20"/>
              </w:rPr>
              <w:t xml:space="preserve">SAF</w:t>
            </w:r>
          </w:p>
        </w:tc>
        <w:tc>
          <w:tcPr>
            <w:tcW w:type="dxa" w:w="7150"/>
            <w:vAlign w:val="center"/>
          </w:tcPr>
          <w:p>
            <w:r>
              <w:rPr>
                <w:sz w:val="20"/>
                <w:szCs w:val="20"/>
              </w:rPr>
              <w:t xml:space="preserve">Service Administratif et Financier</w:t>
            </w:r>
          </w:p>
        </w:tc>
      </w:tr>
      <w:tr>
        <w:tc>
          <w:tcPr>
            <w:tcW w:type="dxa" w:w="2200"/>
            <w:vAlign w:val="center"/>
          </w:tcPr>
          <w:p>
            <w:r>
              <w:rPr>
                <w:sz w:val="20"/>
                <w:szCs w:val="20"/>
              </w:rPr>
              <w:t xml:space="preserve">RH</w:t>
            </w:r>
          </w:p>
        </w:tc>
        <w:tc>
          <w:tcPr>
            <w:tcW w:type="dxa" w:w="7150"/>
            <w:vAlign w:val="center"/>
          </w:tcPr>
          <w:p>
            <w:r>
              <w:rPr>
                <w:sz w:val="20"/>
                <w:szCs w:val="20"/>
              </w:rPr>
              <w:t xml:space="preserve">Ressources Humaines</w:t>
            </w:r>
          </w:p>
        </w:tc>
      </w:tr>
      <w:tr>
        <w:tc>
          <w:tcPr>
            <w:tcW w:type="dxa" w:w="2200"/>
            <w:vAlign w:val="center"/>
          </w:tcPr>
          <w:p>
            <w:r>
              <w:rPr>
                <w:sz w:val="20"/>
                <w:szCs w:val="20"/>
              </w:rPr>
              <w:t xml:space="preserve">CSID</w:t>
            </w:r>
          </w:p>
        </w:tc>
        <w:tc>
          <w:tcPr>
            <w:tcW w:type="dxa" w:w="7150"/>
            <w:vAlign w:val="center"/>
          </w:tcPr>
          <w:p>
            <w:r>
              <w:rPr>
                <w:sz w:val="20"/>
                <w:szCs w:val="20"/>
              </w:rPr>
              <w:t xml:space="preserve">Cellule des Systèmes d'Informations et de la Digitalisation</w:t>
            </w:r>
          </w:p>
        </w:tc>
      </w:tr>
      <w:tr>
        <w:tc>
          <w:tcPr>
            <w:tcW w:type="dxa" w:w="2200"/>
            <w:vAlign w:val="center"/>
          </w:tcPr>
          <w:p>
            <w:r>
              <w:rPr>
                <w:sz w:val="20"/>
                <w:szCs w:val="20"/>
              </w:rPr>
              <w:t xml:space="preserve">C.E.</w:t>
            </w:r>
          </w:p>
        </w:tc>
        <w:tc>
          <w:tcPr>
            <w:tcW w:type="dxa" w:w="7150"/>
            <w:vAlign w:val="center"/>
          </w:tcPr>
          <w:p>
            <w:r>
              <w:rPr>
                <w:sz w:val="20"/>
                <w:szCs w:val="20"/>
              </w:rPr>
              <w:t xml:space="preserve">Chargés d'Études</w:t>
            </w:r>
          </w:p>
        </w:tc>
      </w:tr>
    </w:tbl>
    <w:p>
      <w:pPr>
        <w:pStyle w:val="Heading2"/>
        <w:spacing w:after="150" w:before="300"/>
      </w:pPr>
      <w:r>
        <w:t xml:space="preserve">A.2 Termes techniques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1F3864" w:color="auto" w:val="clear"/>
            <w:vAlign w:val="center"/>
          </w:tcPr>
          <w:p>
            <w:r>
              <w:rPr>
                <w:b/>
                <w:bCs/>
                <w:color w:val="FFFFFF"/>
                <w:sz w:val="20"/>
                <w:szCs w:val="20"/>
              </w:rPr>
              <w:t xml:space="preserve">Terme</w:t>
            </w:r>
          </w:p>
        </w:tc>
        <w:tc>
          <w:tcPr>
            <w:tcW w:type="dxa" w:w="7150"/>
            <w:shd w:fill="1F3864" w:color="auto" w:val="clear"/>
            <w:vAlign w:val="center"/>
          </w:tcPr>
          <w:p>
            <w:r>
              <w:rPr>
                <w:b/>
                <w:bCs/>
                <w:color w:val="FFFFFF"/>
                <w:sz w:val="20"/>
                <w:szCs w:val="20"/>
              </w:rPr>
              <w:t xml:space="preserve">Définition</w:t>
            </w:r>
          </w:p>
        </w:tc>
      </w:tr>
      <w:tr>
        <w:tc>
          <w:tcPr>
            <w:tcW w:type="dxa" w:w="2200"/>
            <w:vAlign w:val="center"/>
          </w:tcPr>
          <w:p>
            <w:r>
              <w:rPr>
                <w:sz w:val="20"/>
                <w:szCs w:val="20"/>
              </w:rPr>
              <w:t xml:space="preserve">MVP</w:t>
            </w:r>
          </w:p>
        </w:tc>
        <w:tc>
          <w:tcPr>
            <w:tcW w:type="dxa" w:w="7150"/>
            <w:vAlign w:val="center"/>
          </w:tcPr>
          <w:p>
            <w:r>
              <w:rPr>
                <w:sz w:val="20"/>
                <w:szCs w:val="20"/>
              </w:rPr>
              <w:t xml:space="preserve">Minimum Viable Product — version minimale fonctionnelle du système, priorisée pour un premier déploiement</w:t>
            </w:r>
          </w:p>
        </w:tc>
      </w:tr>
      <w:tr>
        <w:tc>
          <w:tcPr>
            <w:tcW w:type="dxa" w:w="2200"/>
            <w:vAlign w:val="center"/>
          </w:tcPr>
          <w:p>
            <w:r>
              <w:rPr>
                <w:sz w:val="20"/>
                <w:szCs w:val="20"/>
              </w:rPr>
              <w:t xml:space="preserve">MoSCoW</w:t>
            </w:r>
          </w:p>
        </w:tc>
        <w:tc>
          <w:tcPr>
            <w:tcW w:type="dxa" w:w="7150"/>
            <w:vAlign w:val="center"/>
          </w:tcPr>
          <w:p>
            <w:r>
              <w:rPr>
                <w:sz w:val="20"/>
                <w:szCs w:val="20"/>
              </w:rPr>
              <w:t xml:space="preserve">Méthode de priorisation : Must have (indispensable), Should have (important), Could have (souhaitable), Won't have (hors périmètre)</w:t>
            </w:r>
          </w:p>
        </w:tc>
      </w:tr>
      <w:tr>
        <w:tc>
          <w:tcPr>
            <w:tcW w:type="dxa" w:w="2200"/>
            <w:vAlign w:val="center"/>
          </w:tcPr>
          <w:p>
            <w:r>
              <w:rPr>
                <w:sz w:val="20"/>
                <w:szCs w:val="20"/>
              </w:rPr>
              <w:t xml:space="preserve">2FA</w:t>
            </w:r>
          </w:p>
        </w:tc>
        <w:tc>
          <w:tcPr>
            <w:tcW w:type="dxa" w:w="7150"/>
            <w:vAlign w:val="center"/>
          </w:tcPr>
          <w:p>
            <w:r>
              <w:rPr>
                <w:sz w:val="20"/>
                <w:szCs w:val="20"/>
              </w:rPr>
              <w:t xml:space="preserve">Authentification à deux facteurs (Two-Factor Authentication) — code de sécurité complémentaire au mot de passe</w:t>
            </w:r>
          </w:p>
        </w:tc>
      </w:tr>
      <w:tr>
        <w:tc>
          <w:tcPr>
            <w:tcW w:type="dxa" w:w="2200"/>
            <w:vAlign w:val="center"/>
          </w:tcPr>
          <w:p>
            <w:r>
              <w:rPr>
                <w:sz w:val="20"/>
                <w:szCs w:val="20"/>
              </w:rPr>
              <w:t xml:space="preserve">GED</w:t>
            </w:r>
          </w:p>
        </w:tc>
        <w:tc>
          <w:tcPr>
            <w:tcW w:type="dxa" w:w="7150"/>
            <w:vAlign w:val="center"/>
          </w:tcPr>
          <w:p>
            <w:r>
              <w:rPr>
                <w:sz w:val="20"/>
                <w:szCs w:val="20"/>
              </w:rPr>
              <w:t xml:space="preserve">Gestion Électronique des Documents</w:t>
            </w:r>
          </w:p>
        </w:tc>
      </w:tr>
      <w:tr>
        <w:tc>
          <w:tcPr>
            <w:tcW w:type="dxa" w:w="2200"/>
            <w:vAlign w:val="center"/>
          </w:tcPr>
          <w:p>
            <w:r>
              <w:rPr>
                <w:sz w:val="20"/>
                <w:szCs w:val="20"/>
              </w:rPr>
              <w:t xml:space="preserve">OCR</w:t>
            </w:r>
          </w:p>
        </w:tc>
        <w:tc>
          <w:tcPr>
            <w:tcW w:type="dxa" w:w="7150"/>
            <w:vAlign w:val="center"/>
          </w:tcPr>
          <w:p>
            <w:r>
              <w:rPr>
                <w:sz w:val="20"/>
                <w:szCs w:val="20"/>
              </w:rPr>
              <w:t xml:space="preserve">Reconnaissance Optique de Caractères (Optical Character Recognition) — permet de rendre un document scanné consultable en recherche texte</w:t>
            </w:r>
          </w:p>
        </w:tc>
      </w:tr>
      <w:tr>
        <w:tc>
          <w:tcPr>
            <w:tcW w:type="dxa" w:w="2200"/>
            <w:vAlign w:val="center"/>
          </w:tcPr>
          <w:p>
            <w:r>
              <w:rPr>
                <w:sz w:val="20"/>
                <w:szCs w:val="20"/>
              </w:rPr>
              <w:t xml:space="preserve">Kanban</w:t>
            </w:r>
          </w:p>
        </w:tc>
        <w:tc>
          <w:tcPr>
            <w:tcW w:type="dxa" w:w="7150"/>
            <w:vAlign w:val="center"/>
          </w:tcPr>
          <w:p>
            <w:r>
              <w:rPr>
                <w:sz w:val="20"/>
                <w:szCs w:val="20"/>
              </w:rPr>
              <w:t xml:space="preserve">Vue de gestion visuelle des tâches organisée en colonnes par statut</w:t>
            </w:r>
          </w:p>
        </w:tc>
      </w:tr>
      <w:tr>
        <w:tc>
          <w:tcPr>
            <w:tcW w:type="dxa" w:w="2200"/>
            <w:vAlign w:val="center"/>
          </w:tcPr>
          <w:p>
            <w:r>
              <w:rPr>
                <w:sz w:val="20"/>
                <w:szCs w:val="20"/>
              </w:rPr>
              <w:t xml:space="preserve">VPS</w:t>
            </w:r>
          </w:p>
        </w:tc>
        <w:tc>
          <w:tcPr>
            <w:tcW w:type="dxa" w:w="7150"/>
            <w:vAlign w:val="center"/>
          </w:tcPr>
          <w:p>
            <w:r>
              <w:rPr>
                <w:sz w:val="20"/>
                <w:szCs w:val="20"/>
              </w:rPr>
              <w:t xml:space="preserve">Serveur privé virtuel (Virtual Private Server) — hébergement cloud loué</w:t>
            </w:r>
          </w:p>
        </w:tc>
      </w:tr>
      <w:tr>
        <w:tc>
          <w:tcPr>
            <w:tcW w:type="dxa" w:w="2200"/>
            <w:vAlign w:val="center"/>
          </w:tcPr>
          <w:p>
            <w:r>
              <w:rPr>
                <w:sz w:val="20"/>
                <w:szCs w:val="20"/>
              </w:rPr>
              <w:t xml:space="preserve">RF</w:t>
            </w:r>
          </w:p>
        </w:tc>
        <w:tc>
          <w:tcPr>
            <w:tcW w:type="dxa" w:w="7150"/>
            <w:vAlign w:val="center"/>
          </w:tcPr>
          <w:p>
            <w:r>
              <w:rPr>
                <w:sz w:val="20"/>
                <w:szCs w:val="20"/>
              </w:rPr>
              <w:t xml:space="preserve">Exigence Fonctionnelle (identifiant de traçabilité, ex. RF-TAC-01)</w:t>
            </w:r>
          </w:p>
        </w:tc>
      </w:tr>
      <w:tr>
        <w:tc>
          <w:tcPr>
            <w:tcW w:type="dxa" w:w="2200"/>
            <w:vAlign w:val="center"/>
          </w:tcPr>
          <w:p>
            <w:r>
              <w:rPr>
                <w:sz w:val="20"/>
                <w:szCs w:val="20"/>
              </w:rPr>
              <w:t xml:space="preserve">PICE</w:t>
            </w:r>
          </w:p>
        </w:tc>
        <w:tc>
          <w:tcPr>
            <w:tcW w:type="dxa" w:w="7150"/>
            <w:vAlign w:val="center"/>
          </w:tcPr>
          <w:p>
            <w:r>
              <w:rPr>
                <w:sz w:val="20"/>
                <w:szCs w:val="20"/>
              </w:rPr>
              <w:t xml:space="preserve">Plateforme Intégrée de suivi de la Conjoncture Économique — plateforme distincte de collecte et diffusion des données économiques de la DNPEC</w:t>
            </w:r>
          </w:p>
        </w:tc>
      </w:tr>
    </w:tbl>
    <w:p>
      <w:pPr>
        <w:spacing w:before="600"/>
      </w:pPr>
      <w:r>
        <w:rPr>
          <w:i/>
          <w:iCs/>
          <w:color w:val="888888"/>
        </w:rPr>
        <w:t xml:space="preserve">— Fin du document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b/>
      <w:bCs/>
      <w:color w:val="1F3864"/>
      <w:sz w:val="32"/>
      <w:szCs w:val="32"/>
    </w:rPr>
  </w:style>
  <w:style w:type="paragraph" w:styleId="Heading2">
    <w:name w:val="Heading 2"/>
    <w:basedOn w:val="Normal"/>
    <w:next w:val="Normal"/>
    <w:qFormat/>
    <w:pPr>
      <w:spacing w:after="150" w:before="300"/>
      <w:outlineLvl w:val="1"/>
    </w:pPr>
    <w:rPr>
      <w:b/>
      <w:bCs/>
      <w:color w:val="2E5C8A"/>
      <w:sz w:val="26"/>
      <w:szCs w:val="26"/>
    </w:rPr>
  </w:style>
  <w:style w:type="paragraph" w:styleId="Heading3">
    <w:name w:val="Heading 3"/>
    <w:basedOn w:val="Normal"/>
    <w:next w:val="Normal"/>
    <w:qFormat/>
    <w:pPr>
      <w:spacing w:after="100" w:before="200"/>
      <w:outlineLvl w:val="2"/>
    </w:pPr>
    <w:rPr>
      <w:b/>
      <w:bCs/>
      <w:i/>
      <w:i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8bb80570327bcbce2e41e4a99e849e54e6dc4c.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2026-09-04T01:07:31.815Z</dcterms:created>
  <dcterms:modified xsi:type="dcterms:W3CDTF">2026-09-04T01:07:31.826Z</dcterms:modified>
</cp:coreProperties>
</file>

<file path=docProps/custom.xml><?xml version="1.0" encoding="utf-8"?>
<Properties xmlns="http://schemas.openxmlformats.org/officeDocument/2006/custom-properties" xmlns:vt="http://schemas.openxmlformats.org/officeDocument/2006/docPropsVTypes"/>
</file>