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666666"/>
          <w:sz w:val="24"/>
          <w:szCs w:val="24"/>
        </w:rPr>
        <w:t xml:space="preserve">RÉPUBLIQUE DE GUINÉE</w:t>
      </w:r>
    </w:p>
    <w:p>
      <w:pPr>
        <w:jc w:val="center"/>
      </w:pPr>
      <w:r>
        <w:rPr>
          <w:i/>
          <w:iCs/>
          <w:color w:val="888888"/>
          <w:sz w:val="20"/>
          <w:szCs w:val="20"/>
        </w:rPr>
        <w:t xml:space="preserve">Travail — Justice — Solidarité</w:t>
      </w:r>
    </w:p>
    <w:p>
      <w:pPr>
        <w:spacing w:before="200"/>
        <w:jc w:val="center"/>
      </w:pPr>
      <w:r>
        <w:rPr>
          <w:color w:val="666666"/>
          <w:sz w:val="22"/>
          <w:szCs w:val="22"/>
        </w:rPr>
        <w:t xml:space="preserve">Ministère de l'Économie, des Finances et du Budget</w:t>
      </w:r>
    </w:p>
    <w:p>
      <w:pPr>
        <w:jc w:val="center"/>
      </w:pPr>
      <w:r>
        <w:rPr>
          <w:b/>
          <w:bCs/>
          <w:color w:val="444444"/>
          <w:sz w:val="22"/>
          <w:szCs w:val="22"/>
        </w:rPr>
        <w:t xml:space="preserve">Direction Nationale des Prévisions Économiques et de la Conjoncture (DNPEC)</w:t>
      </w:r>
    </w:p>
    <w:p>
      <w:pPr>
        <w:spacing w:before="1000"/>
        <w:jc w:val="center"/>
      </w:pPr>
      <w:r>
        <w:rPr>
          <w:b/>
          <w:bCs/>
          <w:color w:val="1F3864"/>
          <w:sz w:val="56"/>
          <w:szCs w:val="56"/>
        </w:rPr>
        <w:t xml:space="preserve">CAHIER DES CHARGES</w:t>
      </w:r>
    </w:p>
    <w:p>
      <w:pPr>
        <w:spacing w:before="200"/>
        <w:jc w:val="center"/>
      </w:pPr>
      <w:r>
        <w:rPr>
          <w:b/>
          <w:bCs/>
          <w:color w:val="2E5C8A"/>
          <w:sz w:val="30"/>
          <w:szCs w:val="30"/>
        </w:rPr>
        <w:t xml:space="preserve">Système d'Information Interne de Gestion des Tâches,</w:t>
      </w:r>
    </w:p>
    <w:p>
      <w:pPr>
        <w:jc w:val="center"/>
      </w:pPr>
      <w:r>
        <w:rPr>
          <w:b/>
          <w:bCs/>
          <w:color w:val="2E5C8A"/>
          <w:sz w:val="30"/>
          <w:szCs w:val="30"/>
        </w:rPr>
        <w:t xml:space="preserve">de la Communication, des Ressources Humaines et de l'Archivage</w:t>
      </w:r>
    </w:p>
    <w:p>
      <w:pPr>
        <w:spacing w:before="700"/>
        <w:jc w:val="center"/>
      </w:pPr>
      <w:r>
        <w:rPr>
          <w:i/>
          <w:iCs/>
          <w:color w:val="888888"/>
          <w:sz w:val="20"/>
          <w:szCs w:val="20"/>
        </w:rPr>
        <w:t xml:space="preserve">Version 2.3 — Document consolidé, système en production</w:t>
      </w:r>
    </w:p>
    <w:p>
      <w:pPr>
        <w:jc w:val="center"/>
      </w:pPr>
      <w:r>
        <w:rPr>
          <w:color w:val="555555"/>
          <w:sz w:val="20"/>
          <w:szCs w:val="20"/>
        </w:rPr>
        <w:t xml:space="preserve">Maître d'Ouvrage : Cellule des Systèmes d'Informations et de la Digitalisation (CSID) — DNPEC</w:t>
      </w:r>
    </w:p>
    <w:p>
      <w:pPr>
        <w:jc w:val="center"/>
      </w:pPr>
      <w:r>
        <w:rPr>
          <w:color w:val="888888"/>
          <w:sz w:val="20"/>
          <w:szCs w:val="20"/>
        </w:rPr>
        <w:t xml:space="preserve">Septembre 2026</w:t>
      </w:r>
    </w:p>
    <w:p>
      <w:r>
        <w:br w:type="page"/>
      </w:r>
    </w:p>
    <w:p>
      <w:pPr>
        <w:pStyle w:val="Heading1"/>
        <w:spacing w:after="200" w:before="400"/>
      </w:pPr>
      <w:r>
        <w:t xml:space="preserve">Historique des versions du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50"/>
      </w:tblGrid>
      <w:tr>
        <w:trPr>
          <w:tblHeader/>
        </w:trPr>
        <w:tc>
          <w:tcPr>
            <w:tcW w:type="dxa" w:w="1200"/>
            <w:shd w:fill="1F3864" w:color="auto" w:val="clear"/>
            <w:vAlign w:val="center"/>
          </w:tcPr>
          <w:p>
            <w:r>
              <w:rPr>
                <w:b/>
                <w:bCs/>
                <w:color w:val="FFFFFF"/>
                <w:sz w:val="20"/>
                <w:szCs w:val="20"/>
              </w:rPr>
              <w:t xml:space="preserve">Version</w:t>
            </w:r>
          </w:p>
        </w:tc>
        <w:tc>
          <w:tcPr>
            <w:tcW w:type="dxa" w:w="1500"/>
            <w:shd w:fill="1F3864" w:color="auto" w:val="clear"/>
            <w:vAlign w:val="center"/>
          </w:tcPr>
          <w:p>
            <w:r>
              <w:rPr>
                <w:b/>
                <w:bCs/>
                <w:color w:val="FFFFFF"/>
                <w:sz w:val="20"/>
                <w:szCs w:val="20"/>
              </w:rPr>
              <w:t xml:space="preserve">Date</w:t>
            </w:r>
          </w:p>
        </w:tc>
        <w:tc>
          <w:tcPr>
            <w:tcW w:type="dxa" w:w="6650"/>
            <w:shd w:fill="1F3864" w:color="auto" w:val="clear"/>
            <w:vAlign w:val="center"/>
          </w:tcPr>
          <w:p>
            <w:r>
              <w:rPr>
                <w:b/>
                <w:bCs/>
                <w:color w:val="FFFFFF"/>
                <w:sz w:val="20"/>
                <w:szCs w:val="20"/>
              </w:rPr>
              <w:t xml:space="preserve">Modifications</w:t>
            </w:r>
          </w:p>
        </w:tc>
      </w:tr>
      <w:tr>
        <w:tc>
          <w:tcPr>
            <w:tcW w:type="dxa" w:w="1200"/>
            <w:vAlign w:val="center"/>
          </w:tcPr>
          <w:p>
            <w:r>
              <w:rPr>
                <w:sz w:val="20"/>
                <w:szCs w:val="20"/>
              </w:rPr>
              <w:t xml:space="preserve">1.0</w:t>
            </w:r>
          </w:p>
        </w:tc>
        <w:tc>
          <w:tcPr>
            <w:tcW w:type="dxa" w:w="1500"/>
            <w:vAlign w:val="center"/>
          </w:tcPr>
          <w:p>
            <w:r>
              <w:rPr>
                <w:sz w:val="20"/>
                <w:szCs w:val="20"/>
              </w:rPr>
              <w:t xml:space="preserve">04/09/2026</w:t>
            </w:r>
          </w:p>
        </w:tc>
        <w:tc>
          <w:tcPr>
            <w:tcW w:type="dxa" w:w="6650"/>
            <w:vAlign w:val="center"/>
          </w:tcPr>
          <w:p>
            <w:r>
              <w:rPr>
                <w:sz w:val="20"/>
                <w:szCs w:val="20"/>
              </w:rPr>
              <w:t xml:space="preserve">Version initiale — périmètre fonctionnel, organisation, exigences non fonctionnelles.</w:t>
            </w:r>
          </w:p>
        </w:tc>
      </w:tr>
      <w:tr>
        <w:tc>
          <w:tcPr>
            <w:tcW w:type="dxa" w:w="1200"/>
            <w:vAlign w:val="center"/>
          </w:tcPr>
          <w:p>
            <w:r>
              <w:rPr>
                <w:sz w:val="20"/>
                <w:szCs w:val="20"/>
              </w:rPr>
              <w:t xml:space="preserve">1.1</w:t>
            </w:r>
          </w:p>
        </w:tc>
        <w:tc>
          <w:tcPr>
            <w:tcW w:type="dxa" w:w="1500"/>
            <w:vAlign w:val="center"/>
          </w:tcPr>
          <w:p>
            <w:r>
              <w:rPr>
                <w:sz w:val="20"/>
                <w:szCs w:val="20"/>
              </w:rPr>
              <w:t xml:space="preserve">04/09/2026</w:t>
            </w:r>
          </w:p>
        </w:tc>
        <w:tc>
          <w:tcPr>
            <w:tcW w:type="dxa" w:w="6650"/>
            <w:vAlign w:val="center"/>
          </w:tcPr>
          <w:p>
            <w:r>
              <w:rPr>
                <w:sz w:val="20"/>
                <w:szCs w:val="20"/>
              </w:rPr>
              <w:t xml:space="preserve">Organigramme visuel, exigences numérotées et priorisées (MoSCoW), Hors périmètre, critères d'acceptation, risques, glossaire.</w:t>
            </w:r>
          </w:p>
        </w:tc>
      </w:tr>
      <w:tr>
        <w:tc>
          <w:tcPr>
            <w:tcW w:type="dxa" w:w="1200"/>
            <w:vAlign w:val="center"/>
          </w:tcPr>
          <w:p>
            <w:r>
              <w:rPr>
                <w:sz w:val="20"/>
                <w:szCs w:val="20"/>
              </w:rPr>
              <w:t xml:space="preserve">2.0</w:t>
            </w:r>
          </w:p>
        </w:tc>
        <w:tc>
          <w:tcPr>
            <w:tcW w:type="dxa" w:w="1500"/>
            <w:vAlign w:val="center"/>
          </w:tcPr>
          <w:p>
            <w:r>
              <w:rPr>
                <w:sz w:val="20"/>
                <w:szCs w:val="20"/>
              </w:rPr>
              <w:t xml:space="preserve">23/09/2026</w:t>
            </w:r>
          </w:p>
        </w:tc>
        <w:tc>
          <w:tcPr>
            <w:tcW w:type="dxa" w:w="6650"/>
            <w:vAlign w:val="center"/>
          </w:tcPr>
          <w:p>
            <w:r>
              <w:rPr>
                <w:sz w:val="20"/>
                <w:szCs w:val="20"/>
              </w:rPr>
              <w:t xml:space="preserve">Mise à jour majeure après mise en production réelle (Render, Brevo) : correction des rattachements organisationnels (Chargés d'Études, cellules, Assistants), assouplissement du 2FA et des règles d'inscription, nouveaux modules Annuaire/Réunions/Export/Sondages/Boîte à suggestions, nouveau principe transversal « besoin d'en connaître », nouveaux modules Dossier du personnel (rôle DRH), Décisions et actions de réunion, Suppléance/intérim. Voir Annexe B pour le détail chronologique complet des évolutions.</w:t>
            </w:r>
          </w:p>
        </w:tc>
      </w:tr>
      <w:tr>
        <w:tc>
          <w:tcPr>
            <w:tcW w:type="dxa" w:w="1200"/>
            <w:vAlign w:val="center"/>
          </w:tcPr>
          <w:p>
            <w:r>
              <w:rPr>
                <w:sz w:val="20"/>
                <w:szCs w:val="20"/>
              </w:rPr>
              <w:t xml:space="preserve">2.1</w:t>
            </w:r>
          </w:p>
        </w:tc>
        <w:tc>
          <w:tcPr>
            <w:tcW w:type="dxa" w:w="1500"/>
            <w:vAlign w:val="center"/>
          </w:tcPr>
          <w:p>
            <w:r>
              <w:rPr>
                <w:sz w:val="20"/>
                <w:szCs w:val="20"/>
              </w:rPr>
              <w:t xml:space="preserve">25/09/2026</w:t>
            </w:r>
          </w:p>
        </w:tc>
        <w:tc>
          <w:tcPr>
            <w:tcW w:type="dxa" w:w="6650"/>
            <w:vAlign w:val="center"/>
          </w:tcPr>
          <w:p>
            <w:r>
              <w:rPr>
                <w:sz w:val="20"/>
                <w:szCs w:val="20"/>
              </w:rPr>
              <w:t xml:space="preserve">Lots A à F : correctifs serveur, suppléance et intérim dans l'interface, module Courrier et actes (§4.11), changement de rôle d'un compte existant (§3.2), écrans des décisions de réunion (D2) et du dossier du personnel (D3), cloche de notifications, retour à la page visée après reconnexion, erreurs de chargement affichées ; suspension d'une unité décrite (§2.3). Voir Annexe B.</w:t>
            </w:r>
          </w:p>
        </w:tc>
      </w:tr>
      <w:tr>
        <w:tc>
          <w:tcPr>
            <w:tcW w:type="dxa" w:w="1200"/>
            <w:vAlign w:val="center"/>
          </w:tcPr>
          <w:p>
            <w:r>
              <w:rPr>
                <w:sz w:val="20"/>
                <w:szCs w:val="20"/>
              </w:rPr>
              <w:t xml:space="preserve">2.2</w:t>
            </w:r>
          </w:p>
        </w:tc>
        <w:tc>
          <w:tcPr>
            <w:tcW w:type="dxa" w:w="1500"/>
            <w:vAlign w:val="center"/>
          </w:tcPr>
          <w:p>
            <w:r>
              <w:rPr>
                <w:sz w:val="20"/>
                <w:szCs w:val="20"/>
              </w:rPr>
              <w:t xml:space="preserve">25/09/2026</w:t>
            </w:r>
          </w:p>
        </w:tc>
        <w:tc>
          <w:tcPr>
            <w:tcW w:type="dxa" w:w="6650"/>
            <w:vAlign w:val="center"/>
          </w:tcPr>
          <w:p>
            <w:r>
              <w:rPr>
                <w:sz w:val="20"/>
                <w:szCs w:val="20"/>
              </w:rPr>
              <w:t xml:space="preserve">Modules Rotation des stagiaires (D6, §4.12) avec le rôle Stagiaire (§3.1), et Logistique (D9, §4.13) : inventaire, demandes, fournitures, réservations avec priorité hiérarchique, salle des réunions. Décisions de la Direction en Annexe B.</w:t>
            </w:r>
          </w:p>
        </w:tc>
      </w:tr>
      <w:tr>
        <w:tc>
          <w:tcPr>
            <w:tcW w:type="dxa" w:w="1200"/>
            <w:vAlign w:val="center"/>
          </w:tcPr>
          <w:p>
            <w:r>
              <w:rPr>
                <w:sz w:val="20"/>
                <w:szCs w:val="20"/>
              </w:rPr>
              <w:t xml:space="preserve">2.3</w:t>
            </w:r>
          </w:p>
        </w:tc>
        <w:tc>
          <w:tcPr>
            <w:tcW w:type="dxa" w:w="1500"/>
            <w:vAlign w:val="center"/>
          </w:tcPr>
          <w:p>
            <w:r>
              <w:rPr>
                <w:sz w:val="20"/>
                <w:szCs w:val="20"/>
              </w:rPr>
              <w:t xml:space="preserve">25/09/2026</w:t>
            </w:r>
          </w:p>
        </w:tc>
        <w:tc>
          <w:tcPr>
            <w:tcW w:type="dxa" w:w="6650"/>
            <w:vAlign w:val="center"/>
          </w:tcPr>
          <w:p>
            <w:r>
              <w:rPr>
                <w:sz w:val="20"/>
                <w:szCs w:val="20"/>
              </w:rPr>
              <w:t xml:space="preserve">Lot G « Pérennisation » : suite de tests de bout en bout dans le dépôt, exécutée automatiquement sur chaque pull request ; double authentification gérable à l'écran et réinitialisable par l'administrateur ; aide en ligne par profil (§4.14) ; paramétrage initial par script ; failles de dépendances corrigées ; guide d'exploitation. Annexe B complétée.</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Contexte et objectifs du projet</w:t>
      </w:r>
    </w:p>
    <w:p>
      <w:pPr>
        <w:pStyle w:val="Heading2"/>
        <w:spacing w:after="150" w:before="300"/>
      </w:pPr>
      <w:r>
        <w:t xml:space="preserve">1.1 Contexte</w:t>
      </w:r>
    </w:p>
    <w:p>
      <w:pPr>
        <w:spacing w:after="120"/>
      </w:pPr>
      <w:r>
        <w:t xml:space="preserve">La Direction Nationale des Prévisions Économiques et de la Conjoncture (DNPEC) s'est dotée d'un système d'information interne pour structurer la gestion de ses activités : tâches, communication, congés, archives, personnel, réunions. Ce système est distinct de la plateforme PICE (collecte et diffusion des données économiques nationales) et fonctionne aujourd'hui en production, hébergé sur Render, avec envoi d'emails réel via Brevo.</w:t>
      </w:r>
    </w:p>
    <w:p>
      <w:pPr>
        <w:pStyle w:val="Heading2"/>
        <w:spacing w:after="150" w:before="300"/>
      </w:pPr>
      <w:r>
        <w:t xml:space="preserve">1.2 Objectifs</w:t>
      </w:r>
    </w:p>
    <w:p>
      <w:pPr>
        <w:pStyle w:val="ListParagraph"/>
        <w:numPr>
          <w:ilvl w:val="0"/>
          <w:numId w:val="1"/>
        </w:numPr>
        <w:spacing w:after="60"/>
      </w:pPr>
      <w:r>
        <w:t xml:space="preserve">Permettre aux dirigeants d'assigner des tâches et d'en suivre l'exécution en cascade hiérarchique.</w:t>
      </w:r>
    </w:p>
    <w:p>
      <w:pPr>
        <w:pStyle w:val="ListParagraph"/>
        <w:numPr>
          <w:ilvl w:val="0"/>
          <w:numId w:val="1"/>
        </w:numPr>
        <w:spacing w:after="60"/>
      </w:pPr>
      <w:r>
        <w:t xml:space="preserve">Fluidifier la communication interne (messagerie, annonces, réunions, sondages).</w:t>
      </w:r>
    </w:p>
    <w:p>
      <w:pPr>
        <w:pStyle w:val="ListParagraph"/>
        <w:numPr>
          <w:ilvl w:val="0"/>
          <w:numId w:val="1"/>
        </w:numPr>
        <w:spacing w:after="60"/>
      </w:pPr>
      <w:r>
        <w:t xml:space="preserve">Centraliser l'archivage des documents et la gestion du personnel.</w:t>
      </w:r>
    </w:p>
    <w:p>
      <w:pPr>
        <w:pStyle w:val="ListParagraph"/>
        <w:numPr>
          <w:ilvl w:val="0"/>
          <w:numId w:val="1"/>
        </w:numPr>
        <w:spacing w:after="60"/>
      </w:pPr>
      <w:r>
        <w:t xml:space="preserve">Garantir que la visibilité hiérarchique s'arrête où commence la vie privée des personnes (principe du « besoin d'en connaître »).</w:t>
      </w:r>
    </w:p>
    <w:p>
      <w:r>
        <w:br w:type="page"/>
      </w:r>
    </w:p>
    <w:p>
      <w:pPr>
        <w:pStyle w:val="Heading1"/>
        <w:spacing w:after="200" w:before="400"/>
      </w:pPr>
      <w:r>
        <w:t xml:space="preserve">2. Organisation et hiérarchie de référence</w:t>
      </w:r>
    </w:p>
    <w:p>
      <w:pPr>
        <w:spacing w:after="120"/>
      </w:pPr>
      <w:r>
        <w:t xml:space="preserve">Structure officielle de la DNPEC : DN/DNA au sommet (autorité et visibilité identiques) → Assistants de direction (rattachés au DN, à la DNA, ou à un Chef de Cellule — jamais à un Chef de Division) → 5 Divisions, chacune subdivisée en Sections, peuplées de Chargés d'Études → Cellules transversales SAF/RH/CSID (chef de cellule + Chargés d'Études propres) → CTSCM/CNC (structure interne encore à définir).</w:t>
      </w:r>
    </w:p>
    <w:p>
      <w:pPr>
        <w:pStyle w:val="ListParagraph"/>
        <w:numPr>
          <w:ilvl w:val="0"/>
          <w:numId w:val="1"/>
        </w:numPr>
        <w:spacing w:after="60"/>
      </w:pPr>
      <w:r>
        <w:t xml:space="preserve">Le personnel de base porte le titre « Chargé d'Études » dans les Divisions et dans SAF/RH/CSID — le terme « Agent » n'existe plus comme titre distinct, tous partagent le même niveau de permission.</w:t>
      </w:r>
    </w:p>
    <w:p>
      <w:pPr>
        <w:pStyle w:val="ListParagraph"/>
        <w:numPr>
          <w:ilvl w:val="0"/>
          <w:numId w:val="1"/>
        </w:numPr>
        <w:spacing w:after="60"/>
      </w:pPr>
      <w:r>
        <w:t xml:space="preserve">Un Chargé d'Études peut être rattaché à une Division seule, en attendant affectation à une Section.</w:t>
      </w:r>
    </w:p>
    <w:p>
      <w:pPr>
        <w:pStyle w:val="ListParagraph"/>
        <w:numPr>
          <w:ilvl w:val="0"/>
          <w:numId w:val="1"/>
        </w:numPr>
        <w:spacing w:after="60"/>
      </w:pPr>
      <w:r>
        <w:t xml:space="preserve">Une Cellule et une Division/Section ne peuvent jamais avoir deux chefs actifs simultanément — vérification bloquante à la nomination.</w:t>
      </w:r>
    </w:p>
    <w:p>
      <w:pPr>
        <w:pStyle w:val="ListParagraph"/>
        <w:numPr>
          <w:ilvl w:val="0"/>
          <w:numId w:val="1"/>
        </w:numPr>
        <w:spacing w:after="60"/>
      </w:pPr>
      <w:r>
        <w:t xml:space="preserve">Nouveau rôle DRH (Ressources Humaines) : fonction transversale comme Admin Système, sans autorité de cascade sur tâches/congés/documents, gère le module Dossier du personnel.</w:t>
      </w:r>
    </w:p>
    <w:p>
      <w:pPr>
        <w:pStyle w:val="Heading2"/>
        <w:spacing w:after="150" w:before="300"/>
      </w:pPr>
      <w:r>
        <w:t xml:space="preserve">2.1 Délégation en cascade</w:t>
      </w:r>
    </w:p>
    <w:p>
      <w:pPr>
        <w:spacing w:after="120"/>
      </w:pPr>
      <w:r>
        <w:t xml:space="preserve">Chaque responsable dispose d'autorité et de visibilité sur son périmètre direct et les niveaux qui lui sont subordonnés. Un Assistant hérite du périmètre de visibilité de son superviseur (jamais de son autorité d'action). Un mécanisme de suppléance/intérim permet à un chef d'emprunter temporairement, sur autorisation explicite, l'autorité d'action d'un titulaire absent — chaque action ainsi posée est journalisée « par intérim, au nom de ».</w:t>
      </w:r>
    </w:p>
    <w:p>
      <w:pPr>
        <w:pStyle w:val="Heading2"/>
        <w:spacing w:after="150" w:before="300"/>
      </w:pPr>
      <w:r>
        <w:t xml:space="preserve">2.2 Principe du « besoin d'en connaître »</w:t>
      </w:r>
    </w:p>
    <w:p>
      <w:pPr>
        <w:spacing w:after="120"/>
      </w:pPr>
      <w:r>
        <w:t xml:space="preserve">Certains contenus échappent à la visibilité hiérarchique du DN/DNA par principe de nécessité, pas de rang : le contenu du dossier personnel sensible d'un agent (coordonnées, diplômes, pièces, historique de carrière), le motif d'un congé maladie (le DN/DNA voit qu'une absence existe, jamais sa nature médicale, sauf s'il est exceptionnellement le seul validateur direct), et l'espace documentaire privé d'une division dont ils ne sont pas membres (ils voient les documents publiés, jamais les documents privés d'une division extérieure). Ce principe prévaut sur la cascade hiérarchique standard.</w:t>
      </w:r>
    </w:p>
    <w:p>
      <w:r>
        <w:br w:type="page"/>
      </w:r>
    </w:p>
    <w:p>
      <w:pPr>
        <w:pStyle w:val="Heading2"/>
        <w:spacing w:after="150" w:before="300"/>
      </w:pPr>
      <w:r>
        <w:t xml:space="preserve">2.3 Suspension d’une unité</w:t>
      </w:r>
    </w:p>
    <w:p>
      <w:pPr>
        <w:spacing w:after="120"/>
      </w:pPr>
      <w:r>
        <w:t xml:space="preserve">Une Division, une Section ou une Cellule peut être suspendue par l'administrateur système sans être supprimée. La suspension empêche uniquement la croissance de l'unité : aucun nouveau rattachement (création de compte, approbation d'une inscription, import Excel, changement de rôle), aucune nomination de chef, aucune diffusion de tâche vers une division suspendue. Elle n'affecte jamais les personnes déjà rattachées ni leur travail en cours. Une unité suspendue peut être réactivée à tout moment.</w:t>
      </w:r>
    </w:p>
    <w:p>
      <w:pPr>
        <w:pStyle w:val="Heading1"/>
        <w:spacing w:after="200" w:before="400"/>
      </w:pPr>
      <w:r>
        <w:t xml:space="preserve">3. Utilisateurs, rôles et droits d'accès</w:t>
      </w:r>
    </w:p>
    <w:p>
      <w:pPr>
        <w:pStyle w:val="Heading2"/>
        <w:spacing w:after="150" w:before="300"/>
      </w:pPr>
      <w:r>
        <w:t xml:space="preserve">3.1 Rôles du système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color="auto" w:val="clear"/>
            <w:vAlign w:val="center"/>
          </w:tcPr>
          <w:p>
            <w:r>
              <w:rPr>
                <w:b/>
                <w:bCs/>
                <w:color w:val="FFFFFF"/>
                <w:sz w:val="20"/>
                <w:szCs w:val="20"/>
              </w:rPr>
              <w:t xml:space="preserve">Rôle</w:t>
            </w:r>
          </w:p>
        </w:tc>
        <w:tc>
          <w:tcPr>
            <w:tcW w:type="dxa" w:w="4675"/>
            <w:shd w:fill="1F3864" w:color="auto" w:val="clear"/>
            <w:vAlign w:val="center"/>
          </w:tcPr>
          <w:p>
            <w:r>
              <w:rPr>
                <w:b/>
                <w:bCs/>
                <w:color w:val="FFFFFF"/>
                <w:sz w:val="20"/>
                <w:szCs w:val="20"/>
              </w:rPr>
              <w:t xml:space="preserve">Périmètre et droits</w:t>
            </w:r>
          </w:p>
        </w:tc>
      </w:tr>
      <w:tr>
        <w:tc>
          <w:tcPr>
            <w:tcW w:type="dxa" w:w="4675"/>
            <w:vAlign w:val="center"/>
          </w:tcPr>
          <w:p>
            <w:r>
              <w:rPr>
                <w:sz w:val="20"/>
                <w:szCs w:val="20"/>
              </w:rPr>
              <w:t xml:space="preserve">DN / DNA</w:t>
            </w:r>
          </w:p>
        </w:tc>
        <w:tc>
          <w:tcPr>
            <w:tcW w:type="dxa" w:w="4675"/>
            <w:vAlign w:val="center"/>
          </w:tcPr>
          <w:p>
            <w:r>
              <w:rPr>
                <w:sz w:val="20"/>
                <w:szCs w:val="20"/>
              </w:rPr>
              <w:t xml:space="preserve">Visibilité totale sur la DNPEC, hors contenus protégés par le « besoin d'en connaître ». Peut désigner un suppléant ou en être désigné un.</w:t>
            </w:r>
          </w:p>
        </w:tc>
      </w:tr>
      <w:tr>
        <w:tc>
          <w:tcPr>
            <w:tcW w:type="dxa" w:w="4675"/>
            <w:vAlign w:val="center"/>
          </w:tcPr>
          <w:p>
            <w:r>
              <w:rPr>
                <w:sz w:val="20"/>
                <w:szCs w:val="20"/>
              </w:rPr>
              <w:t xml:space="preserve">Chef de Division / Section / Cellule</w:t>
            </w:r>
          </w:p>
        </w:tc>
        <w:tc>
          <w:tcPr>
            <w:tcW w:type="dxa" w:w="4675"/>
            <w:vAlign w:val="center"/>
          </w:tcPr>
          <w:p>
            <w:r>
              <w:rPr>
                <w:sz w:val="20"/>
                <w:szCs w:val="20"/>
              </w:rPr>
              <w:t xml:space="preserve">Cascade sur son périmètre. Peut désigner un suppléant (chef de rang comparable uniquement) pendant une absence.</w:t>
            </w:r>
          </w:p>
        </w:tc>
      </w:tr>
      <w:tr>
        <w:tc>
          <w:tcPr>
            <w:tcW w:type="dxa" w:w="4675"/>
            <w:vAlign w:val="center"/>
          </w:tcPr>
          <w:p>
            <w:r>
              <w:rPr>
                <w:sz w:val="20"/>
                <w:szCs w:val="20"/>
              </w:rPr>
              <w:t xml:space="preserve">Assistant de direction</w:t>
            </w:r>
          </w:p>
        </w:tc>
        <w:tc>
          <w:tcPr>
            <w:tcW w:type="dxa" w:w="4675"/>
            <w:vAlign w:val="center"/>
          </w:tcPr>
          <w:p>
            <w:r>
              <w:rPr>
                <w:sz w:val="20"/>
                <w:szCs w:val="20"/>
              </w:rPr>
              <w:t xml:space="preserve">Rattaché à DN, DNA ou un Chef de Cellule. Hérite de la visibilité de son superviseur, jamais de son autorité d'action.</w:t>
            </w:r>
          </w:p>
        </w:tc>
      </w:tr>
      <w:tr>
        <w:tc>
          <w:tcPr>
            <w:tcW w:type="dxa" w:w="4675"/>
            <w:vAlign w:val="center"/>
          </w:tcPr>
          <w:p>
            <w:r>
              <w:rPr>
                <w:sz w:val="20"/>
                <w:szCs w:val="20"/>
              </w:rPr>
              <w:t xml:space="preserve">Chargé d'Études</w:t>
            </w:r>
          </w:p>
        </w:tc>
        <w:tc>
          <w:tcPr>
            <w:tcW w:type="dxa" w:w="4675"/>
            <w:vAlign w:val="center"/>
          </w:tcPr>
          <w:p>
            <w:r>
              <w:rPr>
                <w:sz w:val="20"/>
                <w:szCs w:val="20"/>
              </w:rPr>
              <w:t xml:space="preserve">Personnel de base des Divisions et des cellules SAF/RH/CSID. Visibilité sur ses tâches + celles de sa section en lecture seule.</w:t>
            </w:r>
          </w:p>
        </w:tc>
      </w:tr>
      <w:tr>
        <w:tc>
          <w:tcPr>
            <w:tcW w:type="dxa" w:w="4675"/>
            <w:vAlign w:val="center"/>
          </w:tcPr>
          <w:p>
            <w:r>
              <w:rPr>
                <w:sz w:val="20"/>
                <w:szCs w:val="20"/>
              </w:rPr>
              <w:t xml:space="preserve">Stagiaire</w:t>
            </w:r>
          </w:p>
        </w:tc>
        <w:tc>
          <w:tcPr>
            <w:tcW w:type="dxa" w:w="4675"/>
            <w:vAlign w:val="center"/>
          </w:tcPr>
          <w:p>
            <w:r>
              <w:rPr>
                <w:sz w:val="20"/>
                <w:szCs w:val="20"/>
              </w:rPr>
              <w:t xml:space="preserve">Compte créé par l'administrateur ou par l'import du DRH, rattachement facultatif. Voit ses propres tâches, la messagerie, les annonces, son dossier du personnel et son plan de stage — rien d'autre : ni les tâches de la section, ni la GED privée, ni le courrier, ni la logistique. Aucun droit par défaut (liste blanche côté serveur).</w:t>
            </w:r>
          </w:p>
        </w:tc>
      </w:tr>
      <w:tr>
        <w:tc>
          <w:tcPr>
            <w:tcW w:type="dxa" w:w="4675"/>
            <w:vAlign w:val="center"/>
          </w:tcPr>
          <w:p>
            <w:r>
              <w:rPr>
                <w:sz w:val="20"/>
                <w:szCs w:val="20"/>
              </w:rPr>
              <w:t xml:space="preserve">DRH</w:t>
            </w:r>
          </w:p>
        </w:tc>
        <w:tc>
          <w:tcPr>
            <w:tcW w:type="dxa" w:w="4675"/>
            <w:vAlign w:val="center"/>
          </w:tcPr>
          <w:p>
            <w:r>
              <w:rPr>
                <w:sz w:val="20"/>
                <w:szCs w:val="20"/>
              </w:rPr>
              <w:t xml:space="preserve">Gestion du Dossier du personnel (tous les agents), dont l’import Excel, et des stages (plan, capacités d’accueil, modèle d’attestation). Aucune autorité sur tâches/congés/documents.</w:t>
            </w:r>
          </w:p>
        </w:tc>
      </w:tr>
      <w:tr>
        <w:tc>
          <w:tcPr>
            <w:tcW w:type="dxa" w:w="4675"/>
            <w:vAlign w:val="center"/>
          </w:tcPr>
          <w:p>
            <w:r>
              <w:rPr>
                <w:sz w:val="20"/>
                <w:szCs w:val="20"/>
              </w:rPr>
              <w:t xml:space="preserve">Administrateur système (CSID)</w:t>
            </w:r>
          </w:p>
        </w:tc>
        <w:tc>
          <w:tcPr>
            <w:tcW w:type="dxa" w:w="4675"/>
            <w:vAlign w:val="center"/>
          </w:tcPr>
          <w:p>
            <w:r>
              <w:rPr>
                <w:sz w:val="20"/>
                <w:szCs w:val="20"/>
              </w:rPr>
              <w:t xml:space="preserve">Gestion des comptes (création, approbation, statut, changement de rôle), de l'organisation, du paramétrage du courrier et de la logistique (catégories, habilitations de gestionnaire). Aucun accès au contenu métier des tâches ; dans le module Courrier, uniquement son courrier personnel.</w:t>
            </w:r>
          </w:p>
        </w:tc>
      </w:tr>
    </w:tbl>
    <w:p>
      <w:pPr>
        <w:pStyle w:val="Heading2"/>
        <w:spacing w:after="150" w:before="300"/>
      </w:pPr>
      <w:r>
        <w:t xml:space="preserve">3.2 Comptes utilisateurs</w:t>
      </w:r>
    </w:p>
    <w:p>
      <w:pPr>
        <w:pStyle w:val="ListParagraph"/>
        <w:numPr>
          <w:ilvl w:val="0"/>
          <w:numId w:val="1"/>
        </w:numPr>
        <w:spacing w:after="60"/>
      </w:pPr>
      <w:r>
        <w:t xml:space="preserve">Trois modalités de création : manuelle par l'admin, auto-inscription (n'importe quelle adresse email valide, le domaine professionnel n'est plus une contrainte technique), import Excel en masse par le DRH — qui ne crée que des comptes de Chargé d'Études ou de Stagiaire, avec les mêmes contrôles que la création manuelle ; tout autre rôle s'attribue ensuite par changement de rôle.</w:t>
      </w:r>
    </w:p>
    <w:p>
      <w:pPr>
        <w:pStyle w:val="ListParagraph"/>
        <w:numPr>
          <w:ilvl w:val="0"/>
          <w:numId w:val="1"/>
        </w:numPr>
        <w:spacing w:after="60"/>
      </w:pPr>
      <w:r>
        <w:t xml:space="preserve">L'inscription demande désormais aussi le poste actuel déclaré (Chargé d'Études, Chef de Section, Chef de Division, Chef de Cellule, Assistant, DN, DNA), purement informatif pour aider l'administrateur à approuver — jamais attribué automatiquement. Les champs de rattachement affichés s'adaptent dynamiquement au poste choisi.</w:t>
      </w:r>
    </w:p>
    <w:p>
      <w:pPr>
        <w:pStyle w:val="ListParagraph"/>
        <w:numPr>
          <w:ilvl w:val="0"/>
          <w:numId w:val="1"/>
        </w:numPr>
        <w:spacing w:after="60"/>
      </w:pPr>
      <w:r>
        <w:t xml:space="preserve">Une inscription rejetée libère immédiatement l'adresse email pour une nouvelle demande.</w:t>
      </w:r>
    </w:p>
    <w:p>
      <w:pPr>
        <w:pStyle w:val="ListParagraph"/>
        <w:numPr>
          <w:ilvl w:val="0"/>
          <w:numId w:val="1"/>
        </w:numPr>
        <w:spacing w:after="60"/>
      </w:pPr>
      <w:r>
        <w:t xml:space="preserve">Mot de passe : 8 caractères minimum (abaissé depuis la version initiale de 12).</w:t>
      </w:r>
    </w:p>
    <w:p>
      <w:pPr>
        <w:pStyle w:val="ListParagraph"/>
        <w:numPr>
          <w:ilvl w:val="0"/>
          <w:numId w:val="1"/>
        </w:numPr>
        <w:spacing w:after="60"/>
      </w:pPr>
      <w:r>
        <w:t xml:space="preserve">Suppression de compte par l'administrateur : logique uniquement (statut SUPPRIME) — tâches, messages, commentaires et entrées d'audit liés au compte restent intacts et consultables par ceux qui y avaient déjà accès.</w:t>
      </w:r>
    </w:p>
    <w:p>
      <w:pPr>
        <w:pStyle w:val="ListParagraph"/>
        <w:numPr>
          <w:ilvl w:val="0"/>
          <w:numId w:val="1"/>
        </w:numPr>
        <w:spacing w:after="60"/>
      </w:pPr>
      <w:r>
        <w:t xml:space="preserve">Réinitialisation de mot de passe par l'administrateur : au choix, envoi d'un email de réinitialisation à la personne, ou définition directe d'un mot de passe temporaire communiqué manuellement — les deux révoquent les sessions actives du compte.</w:t>
      </w:r>
    </w:p>
    <w:p>
      <w:pPr>
        <w:spacing w:after="60"/>
      </w:pPr>
      <w:r>
        <w:rPr>
          <w:b/>
          <w:bCs/>
        </w:rPr>
        <w:t xml:space="preserve">Changement de rôle d’un compte existant : </w:t>
      </w:r>
    </w:p>
    <w:p>
      <w:pPr>
        <w:pStyle w:val="ListParagraph"/>
        <w:numPr>
          <w:ilvl w:val="0"/>
          <w:numId w:val="1"/>
        </w:numPr>
        <w:spacing w:after="60"/>
      </w:pPr>
      <w:r>
        <w:t xml:space="preserve">Réservé à l'administrateur système, jamais sur son propre compte ; motif obligatoire (conservé dans le journal d'audit, absent des notifications) ; effet immédiat.</w:t>
      </w:r>
    </w:p>
    <w:p>
      <w:pPr>
        <w:pStyle w:val="ListParagraph"/>
        <w:numPr>
          <w:ilvl w:val="0"/>
          <w:numId w:val="1"/>
        </w:numPr>
        <w:spacing w:after="60"/>
      </w:pPr>
      <w:r>
        <w:t xml:space="preserve">En deux temps : un aperçu calculé par le serveur (mêmes contrôles et mêmes effets que l'action), puis la confirmation.</w:t>
      </w:r>
    </w:p>
    <w:p>
      <w:pPr>
        <w:pStyle w:val="ListParagraph"/>
        <w:numPr>
          <w:ilvl w:val="0"/>
          <w:numId w:val="1"/>
        </w:numPr>
        <w:spacing w:after="60"/>
      </w:pPr>
      <w:r>
        <w:t xml:space="preserve">Rattachement exigé par le nouveau rôle, contrôlé par le serveur. Un seul DN actif et une seule DNA active ; une unité qui a déjà un chef est refusée — jamais de rétrogradation automatique de l'autre chef.</w:t>
      </w:r>
    </w:p>
    <w:p>
      <w:pPr>
        <w:pStyle w:val="ListParagraph"/>
        <w:numPr>
          <w:ilvl w:val="0"/>
          <w:numId w:val="1"/>
        </w:numPr>
        <w:spacing w:after="60"/>
      </w:pPr>
      <w:r>
        <w:t xml:space="preserve">Un superviseur qui perd son rôle de superviseur alors que des assistants lui sont rattachés est refusé, avec la liste des personnes à réaffecter. Le dernier administrateur système actif est protégé.</w:t>
      </w:r>
    </w:p>
    <w:p>
      <w:pPr>
        <w:pStyle w:val="ListParagraph"/>
        <w:numPr>
          <w:ilvl w:val="0"/>
          <w:numId w:val="1"/>
        </w:numPr>
        <w:spacing w:after="60"/>
      </w:pPr>
      <w:r>
        <w:t xml:space="preserve">Nommer ou retirer un Chef de Cellule passe par le même mécanisme : un DN, une DNA ou un Chef de Division ne peut pas être nommé chef de cellule ; le retrait exige un motif et un rôle d'arrivée (Chargé d'Études par défaut).</w:t>
      </w:r>
    </w:p>
    <w:p>
      <w:pPr>
        <w:pStyle w:val="ListParagraph"/>
        <w:numPr>
          <w:ilvl w:val="0"/>
          <w:numId w:val="1"/>
        </w:numPr>
        <w:spacing w:after="60"/>
      </w:pPr>
      <w:r>
        <w:t xml:space="preserve">Effets : les suppléances devenues non conformes sont révoquées (les autres conservées), les accès délégués au courrier ouverts ou reçus sont révoqués, les circuits de visa en cours sont signalés aux rédacteurs, les habilitations courrier sont conservées et listées dans l'aperçu, toutes les sessions de la personne sont fermées.</w:t>
      </w:r>
    </w:p>
    <w:p>
      <w:pPr>
        <w:pStyle w:val="ListParagraph"/>
        <w:numPr>
          <w:ilvl w:val="0"/>
          <w:numId w:val="1"/>
        </w:numPr>
        <w:spacing w:after="60"/>
      </w:pPr>
      <w:r>
        <w:t xml:space="preserve">Traçabilité : historique de carrière (changement de fonction, affectation), audit avant/après ; la personne et tous les DRH actifs sont notifiés.</w:t>
      </w:r>
    </w:p>
    <w:p>
      <w:pPr>
        <w:pStyle w:val="Heading2"/>
        <w:spacing w:after="150" w:before="300"/>
      </w:pPr>
      <w:r>
        <w:t xml:space="preserve">3.3 Sécurité</w:t>
      </w:r>
    </w:p>
    <w:p>
      <w:pPr>
        <w:pStyle w:val="ListParagraph"/>
        <w:numPr>
          <w:ilvl w:val="0"/>
          <w:numId w:val="1"/>
        </w:numPr>
        <w:spacing w:after="60"/>
      </w:pPr>
      <w:r>
        <w:t xml:space="preserve">Authentification par mot de passe complexe. Le 2FA (authentification à deux facteurs) est désormais facultatif pour tous les rôles, y compris DN/DNA/Chefs — plus aucun rôle n'y est contraint, mais chacun peut l'activer et la désactiver lui-même à tout moment, depuis l'écran « Sécurité du compte » (cadenas en bas du menu) : QR code ou clé à saisir dans l'application d'authentification, activation confirmée par un premier code, désactivation qui exige un code valide.</w:t>
      </w:r>
    </w:p>
    <w:p>
      <w:pPr>
        <w:pStyle w:val="ListParagraph"/>
        <w:numPr>
          <w:ilvl w:val="0"/>
          <w:numId w:val="1"/>
        </w:numPr>
        <w:spacing w:after="60"/>
      </w:pPr>
      <w:r>
        <w:t xml:space="preserve">Déconnexion à distance de toutes les sessions disponible sur demande.</w:t>
      </w:r>
    </w:p>
    <w:p>
      <w:pPr>
        <w:pStyle w:val="ListParagraph"/>
        <w:numPr>
          <w:ilvl w:val="0"/>
          <w:numId w:val="1"/>
        </w:numPr>
        <w:spacing w:after="60"/>
      </w:pPr>
      <w:r>
        <w:t xml:space="preserve">Téléphone perdu : l'administrateur système réinitialise la double authentification d'un compte (jamais du sien) depuis Utilisateurs ; les sessions de la personne sont fermées et l'opération est tracée au journal d'audit.</w:t>
      </w:r>
    </w:p>
    <w:p>
      <w:pPr>
        <w:pStyle w:val="ListParagraph"/>
        <w:numPr>
          <w:ilvl w:val="0"/>
          <w:numId w:val="1"/>
        </w:numPr>
        <w:spacing w:after="60"/>
      </w:pPr>
      <w:r>
        <w:t xml:space="preserve">Journal d'audit : chaque action sensible trace l'auteur réel et, le cas échéant, la personne au nom de qui l'action a été posée (suppléance).</w:t>
      </w:r>
    </w:p>
    <w:p>
      <w:r>
        <w:br w:type="page"/>
      </w:r>
    </w:p>
    <w:p>
      <w:pPr>
        <w:pStyle w:val="Heading1"/>
        <w:spacing w:after="200" w:before="400"/>
      </w:pPr>
      <w:r>
        <w:t xml:space="preserve">4. Périmètre fonctionnel détaillé</w:t>
      </w:r>
    </w:p>
    <w:p>
      <w:pPr>
        <w:pStyle w:val="Heading2"/>
        <w:spacing w:after="150" w:before="300"/>
      </w:pPr>
      <w:r>
        <w:t xml:space="preserve">4.1 Module — Gestion des tâches</w:t>
      </w:r>
    </w:p>
    <w:p>
      <w:pPr>
        <w:spacing w:after="120"/>
      </w:pPr>
      <w:r>
        <w:rPr>
          <w:i/>
          <w:iCs/>
          <w:color w:val="444444"/>
        </w:rPr>
        <w:t xml:space="preserve">Cœur du système : assignation, suivi, validation, diffusion en masse.</w:t>
      </w:r>
    </w:p>
    <w:p>
      <w:pPr>
        <w:spacing w:after="60"/>
      </w:pPr>
      <w:r>
        <w:rPr>
          <w:b/>
          <w:bCs/>
        </w:rPr>
        <w:t xml:space="preserve">Fonctionnalités : </w:t>
      </w:r>
    </w:p>
    <w:p>
      <w:pPr>
        <w:pStyle w:val="ListParagraph"/>
        <w:numPr>
          <w:ilvl w:val="0"/>
          <w:numId w:val="1"/>
        </w:numPr>
        <w:spacing w:after="60"/>
      </w:pPr>
      <w:r>
        <w:t xml:space="preserve">Création/assignation en cascade, co-responsabilité multi-utilisateurs.</w:t>
      </w:r>
    </w:p>
    <w:p>
      <w:pPr>
        <w:pStyle w:val="ListParagraph"/>
        <w:numPr>
          <w:ilvl w:val="0"/>
          <w:numId w:val="1"/>
        </w:numPr>
        <w:spacing w:after="60"/>
      </w:pPr>
      <w:r>
        <w:t xml:space="preserve">Workflow À faire → En cours → Soumise → Validée/Rejetée → Terminée, avec commentaire de rejet toujours visible.</w:t>
      </w:r>
    </w:p>
    <w:p>
      <w:pPr>
        <w:pStyle w:val="ListParagraph"/>
        <w:numPr>
          <w:ilvl w:val="0"/>
          <w:numId w:val="1"/>
        </w:numPr>
        <w:spacing w:after="60"/>
      </w:pPr>
      <w:r>
        <w:t xml:space="preserve">Sous-tâches avec bascule rapide (fait/pas fait), progression automatique.</w:t>
      </w:r>
    </w:p>
    <w:p>
      <w:pPr>
        <w:pStyle w:val="ListParagraph"/>
        <w:numPr>
          <w:ilvl w:val="0"/>
          <w:numId w:val="1"/>
        </w:numPr>
        <w:spacing w:after="60"/>
      </w:pPr>
      <w:r>
        <w:t xml:space="preserve">Pourcentage d'avancement manuel pour les tâches sans sous-tâches, remplacé automatiquement dès qu'une sous-tâche existe.</w:t>
      </w:r>
    </w:p>
    <w:p>
      <w:pPr>
        <w:pStyle w:val="ListParagraph"/>
        <w:numPr>
          <w:ilvl w:val="0"/>
          <w:numId w:val="1"/>
        </w:numPr>
        <w:spacing w:after="60"/>
      </w:pPr>
      <w:r>
        <w:t xml:space="preserve">Priorité, confidentialité à 3 paliers, pièces jointes réelles (upload multi-fichiers fonctionnel), documents de référence à la création.</w:t>
      </w:r>
    </w:p>
    <w:p>
      <w:pPr>
        <w:pStyle w:val="ListParagraph"/>
        <w:numPr>
          <w:ilvl w:val="0"/>
          <w:numId w:val="1"/>
        </w:numPr>
        <w:spacing w:after="60"/>
      </w:pPr>
      <w:r>
        <w:t xml:space="preserve">Option « Document obligatoire » bloquant la soumission sans pièce jointe.</w:t>
      </w:r>
    </w:p>
    <w:p>
      <w:pPr>
        <w:pStyle w:val="ListParagraph"/>
        <w:numPr>
          <w:ilvl w:val="0"/>
          <w:numId w:val="1"/>
        </w:numPr>
        <w:spacing w:after="60"/>
      </w:pPr>
      <w:r>
        <w:t xml:space="preserve">Diffusion à toute une division : mode collectif (une tâche partagée) ou individuel (une tâche par personne), au choix du créateur.</w:t>
      </w:r>
    </w:p>
    <w:p>
      <w:pPr>
        <w:pStyle w:val="ListParagraph"/>
        <w:numPr>
          <w:ilvl w:val="0"/>
          <w:numId w:val="1"/>
        </w:numPr>
        <w:spacing w:after="60"/>
      </w:pPr>
      <w:r>
        <w:t xml:space="preserve">Fil de commentaires avec mentions, tâches récurrentes, regroupement en Projets.</w:t>
      </w:r>
    </w:p>
    <w:p>
      <w:pPr>
        <w:pStyle w:val="ListParagraph"/>
        <w:numPr>
          <w:ilvl w:val="0"/>
          <w:numId w:val="1"/>
        </w:numPr>
        <w:spacing w:after="60"/>
      </w:pPr>
      <w:r>
        <w:t xml:space="preserve">Export Excel (liste de tâches) et PDF (tableau de bord) — filtré structurellement par la même visibilité que l'écran, jamais plus.</w:t>
      </w:r>
    </w:p>
    <w:p>
      <w:pPr>
        <w:pStyle w:val="Heading2"/>
        <w:spacing w:after="150" w:before="300"/>
      </w:pPr>
      <w:r>
        <w:t xml:space="preserve">4.2 Module — Communication</w:t>
      </w:r>
    </w:p>
    <w:p>
      <w:pPr>
        <w:spacing w:after="120"/>
      </w:pPr>
      <w:r>
        <w:rPr>
          <w:i/>
          <w:iCs/>
          <w:color w:val="444444"/>
        </w:rPr>
        <w:t xml:space="preserve">Messagerie directe et annonces, sans restriction hiérarchique pour démarrer une conversation.</w:t>
      </w:r>
    </w:p>
    <w:p>
      <w:pPr>
        <w:spacing w:after="60"/>
      </w:pPr>
      <w:r>
        <w:rPr>
          <w:b/>
          <w:bCs/>
        </w:rPr>
        <w:t xml:space="preserve">Fonctionnalités : </w:t>
      </w:r>
    </w:p>
    <w:p>
      <w:pPr>
        <w:pStyle w:val="ListParagraph"/>
        <w:numPr>
          <w:ilvl w:val="0"/>
          <w:numId w:val="1"/>
        </w:numPr>
        <w:spacing w:after="60"/>
      </w:pPr>
      <w:r>
        <w:t xml:space="preserve">Recherche de n'importe quel compte actif pour démarrer une conversation (indépendant de la cascade).</w:t>
      </w:r>
    </w:p>
    <w:p>
      <w:pPr>
        <w:pStyle w:val="ListParagraph"/>
        <w:numPr>
          <w:ilvl w:val="0"/>
          <w:numId w:val="1"/>
        </w:numPr>
        <w:spacing w:after="60"/>
      </w:pPr>
      <w:r>
        <w:t xml:space="preserve">Annonces ciblées DNPEC/Division/Section/Cellule/Groupe personnalisé, avec suivi de lecture réservé à l'auteur et à la Direction.</w:t>
      </w:r>
    </w:p>
    <w:p>
      <w:pPr>
        <w:pStyle w:val="ListParagraph"/>
        <w:numPr>
          <w:ilvl w:val="0"/>
          <w:numId w:val="1"/>
        </w:numPr>
        <w:spacing w:after="60"/>
      </w:pPr>
      <w:r>
        <w:t xml:space="preserve">Conservation indéfinie et technique de tous les échanges (aucune suppression possible).</w:t>
      </w:r>
    </w:p>
    <w:p>
      <w:pPr>
        <w:pStyle w:val="Heading2"/>
        <w:spacing w:after="150" w:before="300"/>
      </w:pPr>
      <w:r>
        <w:t xml:space="preserve">4.3 Module — Archives et documents (GED)</w:t>
      </w:r>
    </w:p>
    <w:p>
      <w:pPr>
        <w:spacing w:after="120"/>
      </w:pPr>
      <w:r>
        <w:rPr>
          <w:i/>
          <w:iCs/>
          <w:color w:val="444444"/>
        </w:rPr>
        <w:t xml:space="preserve">Espace privé par division et espace publié pour toute la DNPEC.</w:t>
      </w:r>
    </w:p>
    <w:p>
      <w:pPr>
        <w:spacing w:after="60"/>
      </w:pPr>
      <w:r>
        <w:rPr>
          <w:b/>
          <w:bCs/>
        </w:rPr>
        <w:t xml:space="preserve">Fonctionnalités : </w:t>
      </w:r>
    </w:p>
    <w:p>
      <w:pPr>
        <w:pStyle w:val="ListParagraph"/>
        <w:numPr>
          <w:ilvl w:val="0"/>
          <w:numId w:val="1"/>
        </w:numPr>
        <w:spacing w:after="60"/>
      </w:pPr>
      <w:r>
        <w:t xml:space="preserve">Le DN/DNA ne lit les documents privés que de sa propre division — les documents privés des autres divisions restent hors de sa portée (principe du besoin d'en connaître).</w:t>
      </w:r>
    </w:p>
    <w:p>
      <w:pPr>
        <w:pStyle w:val="ListParagraph"/>
        <w:numPr>
          <w:ilvl w:val="0"/>
          <w:numId w:val="1"/>
        </w:numPr>
        <w:spacing w:after="60"/>
      </w:pPr>
      <w:r>
        <w:t xml:space="preserve">Gestion de versions avec marquage « Final » obligatoire avant publication.</w:t>
      </w:r>
    </w:p>
    <w:p>
      <w:pPr>
        <w:pStyle w:val="ListParagraph"/>
        <w:numPr>
          <w:ilvl w:val="0"/>
          <w:numId w:val="1"/>
        </w:numPr>
        <w:spacing w:after="60"/>
      </w:pPr>
      <w:r>
        <w:t xml:space="preserve">Classement par catégories + dossiers libres, recherche par filtres.</w:t>
      </w:r>
    </w:p>
    <w:p>
      <w:pPr>
        <w:pStyle w:val="Heading2"/>
        <w:spacing w:after="150" w:before="300"/>
      </w:pPr>
      <w:r>
        <w:t xml:space="preserve">4.4 Module — Congés et absences</w:t>
      </w:r>
    </w:p>
    <w:p>
      <w:pPr>
        <w:spacing w:after="120"/>
      </w:pPr>
      <w:r>
        <w:rPr>
          <w:i/>
          <w:iCs/>
          <w:color w:val="444444"/>
        </w:rPr>
        <w:t xml:space="preserve">Demande, validation en cascade, solde automatique.</w:t>
      </w:r>
    </w:p>
    <w:p>
      <w:pPr>
        <w:spacing w:after="60"/>
      </w:pPr>
      <w:r>
        <w:rPr>
          <w:b/>
          <w:bCs/>
        </w:rPr>
        <w:t xml:space="preserve">Fonctionnalités : </w:t>
      </w:r>
    </w:p>
    <w:p>
      <w:pPr>
        <w:pStyle w:val="ListParagraph"/>
        <w:numPr>
          <w:ilvl w:val="0"/>
          <w:numId w:val="1"/>
        </w:numPr>
        <w:spacing w:after="60"/>
      </w:pPr>
      <w:r>
        <w:t xml:space="preserve">Types de congés extensibles (annuel, maladie, mission...).</w:t>
      </w:r>
    </w:p>
    <w:p>
      <w:pPr>
        <w:pStyle w:val="ListParagraph"/>
        <w:numPr>
          <w:ilvl w:val="0"/>
          <w:numId w:val="1"/>
        </w:numPr>
        <w:spacing w:after="60"/>
      </w:pPr>
      <w:r>
        <w:t xml:space="preserve">Pour un congé maladie : le DN/DNA voit l'existence et la durée de l'absence, jamais le type ni le motif détaillé — sauf s'il est exceptionnellement l'unique validateur direct de cette demande précise.</w:t>
      </w:r>
    </w:p>
    <w:p>
      <w:pPr>
        <w:pStyle w:val="ListParagraph"/>
        <w:numPr>
          <w:ilvl w:val="0"/>
          <w:numId w:val="1"/>
        </w:numPr>
        <w:spacing w:after="60"/>
      </w:pPr>
      <w:r>
        <w:t xml:space="preserve">Notifications de soumission/validation/rejet, masquées de la même façon pour un congé maladie.</w:t>
      </w:r>
    </w:p>
    <w:p>
      <w:pPr>
        <w:pStyle w:val="Heading2"/>
        <w:spacing w:after="150" w:before="300"/>
      </w:pPr>
      <w:r>
        <w:t xml:space="preserve">4.5 Module — Annuaire du personnel</w:t>
      </w:r>
    </w:p>
    <w:p>
      <w:pPr>
        <w:spacing w:after="120"/>
      </w:pPr>
      <w:r>
        <w:rPr>
          <w:i/>
          <w:iCs/>
          <w:color w:val="444444"/>
        </w:rPr>
        <w:t xml:space="preserve">Liste complète du personnel actif, hors cascade.</w:t>
      </w:r>
    </w:p>
    <w:p>
      <w:pPr>
        <w:spacing w:after="60"/>
      </w:pPr>
      <w:r>
        <w:rPr>
          <w:b/>
          <w:bCs/>
        </w:rPr>
        <w:t xml:space="preserve">Fonctionnalités : </w:t>
      </w:r>
    </w:p>
    <w:p>
      <w:pPr>
        <w:pStyle w:val="ListParagraph"/>
        <w:numPr>
          <w:ilvl w:val="0"/>
          <w:numId w:val="1"/>
        </w:numPr>
        <w:spacing w:after="60"/>
      </w:pPr>
      <w:r>
        <w:t xml:space="preserve">Recherche et filtres par unité, fiche par personne avec accès direct à la messagerie et à l'assignation de tâche.</w:t>
      </w:r>
    </w:p>
    <w:p>
      <w:pPr>
        <w:pStyle w:val="ListParagraph"/>
        <w:numPr>
          <w:ilvl w:val="0"/>
          <w:numId w:val="1"/>
        </w:numPr>
        <w:spacing w:after="60"/>
      </w:pPr>
      <w:r>
        <w:t xml:space="preserve">L'assignation depuis l'annuaire reste soumise aux mêmes règles d'autorité que partout ailleurs — l'annuaire élargit la visibilité, jamais les droits d'action.</w:t>
      </w:r>
    </w:p>
    <w:p>
      <w:pPr>
        <w:pStyle w:val="Heading2"/>
        <w:spacing w:after="150" w:before="300"/>
      </w:pPr>
      <w:r>
        <w:t xml:space="preserve">4.6 Module — Réunions</w:t>
      </w:r>
    </w:p>
    <w:p>
      <w:pPr>
        <w:spacing w:after="120"/>
      </w:pPr>
      <w:r>
        <w:rPr>
          <w:i/>
          <w:iCs/>
          <w:color w:val="444444"/>
        </w:rPr>
        <w:t xml:space="preserve">Calendrier partagé avec compte-rendu et décisions actionnables.</w:t>
      </w:r>
    </w:p>
    <w:p>
      <w:pPr>
        <w:spacing w:after="60"/>
      </w:pPr>
      <w:r>
        <w:rPr>
          <w:b/>
          <w:bCs/>
        </w:rPr>
        <w:t xml:space="preserve">Fonctionnalités : </w:t>
      </w:r>
    </w:p>
    <w:p>
      <w:pPr>
        <w:pStyle w:val="ListParagraph"/>
        <w:numPr>
          <w:ilvl w:val="0"/>
          <w:numId w:val="1"/>
        </w:numPr>
        <w:spacing w:after="60"/>
      </w:pPr>
      <w:r>
        <w:t xml:space="preserve">Participants avec réponse (confirmé/en attente/décliné), visibilité étendue à la hiérarchie des participants, ou à tout utilisateur si la réunion est déclarée ouverte.</w:t>
      </w:r>
    </w:p>
    <w:p>
      <w:pPr>
        <w:pStyle w:val="ListParagraph"/>
        <w:numPr>
          <w:ilvl w:val="0"/>
          <w:numId w:val="1"/>
        </w:numPr>
        <w:spacing w:after="60"/>
      </w:pPr>
      <w:r>
        <w:t xml:space="preserve">Compte-rendu narratif libre + relevé de décisions structuré.</w:t>
      </w:r>
    </w:p>
    <w:p>
      <w:pPr>
        <w:pStyle w:val="ListParagraph"/>
        <w:numPr>
          <w:ilvl w:val="0"/>
          <w:numId w:val="1"/>
        </w:numPr>
        <w:spacing w:after="60"/>
      </w:pPr>
      <w:r>
        <w:t xml:space="preserve">Chaque décision peut être convertie en tâche liée (responsable + échéance), close automatiquement quand cette tâche est terminée, ou manuellement.</w:t>
      </w:r>
    </w:p>
    <w:p>
      <w:pPr>
        <w:pStyle w:val="ListParagraph"/>
        <w:numPr>
          <w:ilvl w:val="0"/>
          <w:numId w:val="1"/>
        </w:numPr>
        <w:spacing w:after="60"/>
      </w:pPr>
      <w:r>
        <w:t xml:space="preserve">Gestion (créer/modifier/convertir/clôturer) réservée à l'organisateur (ou à son suppléant en intérim) ; la hiérarchie et les participants qui voient une réunion peuvent seulement consulter et relancer. Le responsable d'une action se choisit parmi les personnes que le serveur accepte (soi-même ou son périmètre).</w:t>
      </w:r>
    </w:p>
    <w:p>
      <w:pPr>
        <w:pStyle w:val="ListParagraph"/>
        <w:numPr>
          <w:ilvl w:val="0"/>
          <w:numId w:val="1"/>
        </w:numPr>
        <w:spacing w:after="60"/>
      </w:pPr>
      <w:r>
        <w:t xml:space="preserve">Rappel automatique avant l'heure de la réunion.</w:t>
      </w:r>
    </w:p>
    <w:p>
      <w:pPr>
        <w:pStyle w:val="Heading2"/>
        <w:spacing w:after="150" w:before="300"/>
      </w:pPr>
      <w:r>
        <w:t xml:space="preserve">4.7 Module — Sondages</w:t>
      </w:r>
    </w:p>
    <w:p>
      <w:pPr>
        <w:spacing w:after="120"/>
      </w:pPr>
      <w:r>
        <w:rPr>
          <w:i/>
          <w:iCs/>
          <w:color w:val="444444"/>
        </w:rPr>
        <w:t xml:space="preserve">Décisions rapides, ciblage identique aux annonces.</w:t>
      </w:r>
    </w:p>
    <w:p>
      <w:pPr>
        <w:spacing w:after="60"/>
      </w:pPr>
      <w:r>
        <w:rPr>
          <w:b/>
          <w:bCs/>
        </w:rPr>
        <w:t xml:space="preserve">Fonctionnalités : </w:t>
      </w:r>
    </w:p>
    <w:p>
      <w:pPr>
        <w:pStyle w:val="ListParagraph"/>
        <w:numPr>
          <w:ilvl w:val="0"/>
          <w:numId w:val="1"/>
        </w:numPr>
        <w:spacing w:after="60"/>
      </w:pPr>
      <w:r>
        <w:t xml:space="preserve">Choix unique ou multiple, vote modifiable tant que le sondage est ouvert.</w:t>
      </w:r>
    </w:p>
    <w:p>
      <w:pPr>
        <w:pStyle w:val="ListParagraph"/>
        <w:numPr>
          <w:ilvl w:val="0"/>
          <w:numId w:val="1"/>
        </w:numPr>
        <w:spacing w:after="60"/>
      </w:pPr>
      <w:r>
        <w:t xml:space="preserve">Résultats nominatifs pour l'auteur et la Direction, agrégés pour les autres — rafraîchissement automatique à l'affichage.</w:t>
      </w:r>
    </w:p>
    <w:p>
      <w:pPr>
        <w:pStyle w:val="Heading2"/>
        <w:spacing w:after="150" w:before="300"/>
      </w:pPr>
      <w:r>
        <w:t xml:space="preserve">4.8 Module — Boîte à suggestions</w:t>
      </w:r>
    </w:p>
    <w:p>
      <w:pPr>
        <w:spacing w:after="120"/>
      </w:pPr>
      <w:r>
        <w:rPr>
          <w:i/>
          <w:iCs/>
          <w:color w:val="444444"/>
        </w:rPr>
        <w:t xml:space="preserve">Canal ascendant vers le DN/DNA, avec option d'anonymat réel.</w:t>
      </w:r>
    </w:p>
    <w:p>
      <w:pPr>
        <w:spacing w:after="60"/>
      </w:pPr>
      <w:r>
        <w:rPr>
          <w:b/>
          <w:bCs/>
        </w:rPr>
        <w:t xml:space="preserve">Fonctionnalités : </w:t>
      </w:r>
    </w:p>
    <w:p>
      <w:pPr>
        <w:pStyle w:val="ListParagraph"/>
        <w:numPr>
          <w:ilvl w:val="0"/>
          <w:numId w:val="1"/>
        </w:numPr>
        <w:spacing w:after="60"/>
      </w:pPr>
      <w:r>
        <w:t xml:space="preserve">Statut de suivi Reçue/En étude/Retenue/Non retenue, réponse visible par l'auteur (sauf soumission anonyme).</w:t>
      </w:r>
    </w:p>
    <w:p>
      <w:pPr>
        <w:pStyle w:val="ListParagraph"/>
        <w:numPr>
          <w:ilvl w:val="0"/>
          <w:numId w:val="1"/>
        </w:numPr>
        <w:spacing w:after="60"/>
      </w:pPr>
      <w:r>
        <w:t xml:space="preserve">L'anonymat, une fois choisi, est réel en base (aucun identifiant d'auteur stocké) — jamais seulement masqué à l'affichage.</w:t>
      </w:r>
    </w:p>
    <w:p>
      <w:pPr>
        <w:pStyle w:val="Heading2"/>
        <w:spacing w:after="150" w:before="300"/>
      </w:pPr>
      <w:r>
        <w:t xml:space="preserve">4.9 Module — Dossier du personnel (DRH)</w:t>
      </w:r>
    </w:p>
    <w:p>
      <w:pPr>
        <w:spacing w:after="120"/>
      </w:pPr>
      <w:r>
        <w:rPr>
          <w:i/>
          <w:iCs/>
          <w:color w:val="444444"/>
        </w:rPr>
        <w:t xml:space="preserve">Dossier employé complet, séparé physiquement en deux niveaux de sensibilité.</w:t>
      </w:r>
    </w:p>
    <w:p>
      <w:pPr>
        <w:spacing w:after="60"/>
      </w:pPr>
      <w:r>
        <w:rPr>
          <w:b/>
          <w:bCs/>
        </w:rPr>
        <w:t xml:space="preserve">Fonctionnalités : </w:t>
      </w:r>
    </w:p>
    <w:p>
      <w:pPr>
        <w:pStyle w:val="ListParagraph"/>
        <w:numPr>
          <w:ilvl w:val="0"/>
          <w:numId w:val="1"/>
        </w:numPr>
        <w:spacing w:after="60"/>
      </w:pPr>
      <w:r>
        <w:t xml:space="preserve">Niveau 1 (statut d'emploi, grade, échelon, ancienneté, fiche de poste) : lecture pour le chef direct sur son périmètre et DN/DNA sur toute la DNPEC ; écriture DRH et auto-déclaration par l'agent.</w:t>
      </w:r>
    </w:p>
    <w:p>
      <w:pPr>
        <w:pStyle w:val="ListParagraph"/>
        <w:numPr>
          <w:ilvl w:val="0"/>
          <w:numId w:val="1"/>
        </w:numPr>
        <w:spacing w:after="60"/>
      </w:pPr>
      <w:r>
        <w:t xml:space="preserve">Niveau 2 (diplômes, coordonnées personnelles, contact d'urgence, pièces administratives, historique de carrière) : accès strictement réservé à la personne elle-même et au DRH — jamais un chef, jamais DN/DNA.</w:t>
      </w:r>
    </w:p>
    <w:p>
      <w:pPr>
        <w:pStyle w:val="ListParagraph"/>
        <w:numPr>
          <w:ilvl w:val="0"/>
          <w:numId w:val="1"/>
        </w:numPr>
        <w:spacing w:after="60"/>
      </w:pPr>
      <w:r>
        <w:t xml:space="preserve">Chaque champ porte un statut « à vérifier » jusqu'à confirmation explicite par la personne concernée, quelle que soit la source de saisie.</w:t>
      </w:r>
    </w:p>
    <w:p>
      <w:pPr>
        <w:pStyle w:val="ListParagraph"/>
        <w:numPr>
          <w:ilvl w:val="0"/>
          <w:numId w:val="1"/>
        </w:numPr>
        <w:spacing w:after="60"/>
      </w:pPr>
      <w:r>
        <w:t xml:space="preserve">Trois voies de remplissage : import Excel en masse par le DRH (création d'un compte de Chargé d'Études ou de Stagiaire si l'email est inconnu), saisie par le DRH, auto-déclaration.</w:t>
      </w:r>
    </w:p>
    <w:p>
      <w:pPr>
        <w:pStyle w:val="ListParagraph"/>
        <w:numPr>
          <w:ilvl w:val="0"/>
          <w:numId w:val="1"/>
        </w:numPr>
        <w:spacing w:after="60"/>
      </w:pPr>
      <w:r>
        <w:t xml:space="preserve">Historique de carrière généré automatiquement à chaque changement d'affectation ou de grade, jamais saisi à la main.</w:t>
      </w:r>
    </w:p>
    <w:p>
      <w:pPr>
        <w:pStyle w:val="ListParagraph"/>
        <w:numPr>
          <w:ilvl w:val="0"/>
          <w:numId w:val="1"/>
        </w:numPr>
        <w:spacing w:after="60"/>
      </w:pPr>
      <w:r>
        <w:t xml:space="preserve">Écrans : liste des dossiers consultables (selon la cascade pour le niveau 1), dossier par personne avec le statut de chaque champ, « Confirmer mes informations », « Signaler une erreur » (le DRH est notifié), fiche de poste téléchargeable par les lecteurs du niveau 1, historique de carrière en lecture seule. Le niveau 2 n'est jamais transmis au navigateur d'un chef ni du DN/DNA.</w:t>
      </w:r>
    </w:p>
    <w:p>
      <w:pPr>
        <w:pStyle w:val="Heading2"/>
        <w:spacing w:after="150" w:before="300"/>
      </w:pPr>
      <w:r>
        <w:t xml:space="preserve">4.10 Mécanisme — Suppléance et intérim</w:t>
      </w:r>
    </w:p>
    <w:p>
      <w:pPr>
        <w:spacing w:after="120"/>
      </w:pPr>
      <w:r>
        <w:rPr>
          <w:i/>
          <w:iCs/>
          <w:color w:val="444444"/>
        </w:rPr>
        <w:t xml:space="preserve">Continuité de service pendant l'absence d'un responsable.</w:t>
      </w:r>
    </w:p>
    <w:p>
      <w:pPr>
        <w:spacing w:after="60"/>
      </w:pPr>
      <w:r>
        <w:rPr>
          <w:b/>
          <w:bCs/>
        </w:rPr>
        <w:t xml:space="preserve">Fonctionnalités : </w:t>
      </w:r>
    </w:p>
    <w:p>
      <w:pPr>
        <w:pStyle w:val="ListParagraph"/>
        <w:numPr>
          <w:ilvl w:val="0"/>
          <w:numId w:val="1"/>
        </w:numPr>
        <w:spacing w:after="60"/>
      </w:pPr>
      <w:r>
        <w:t xml:space="preserve">Un titulaire ou son supérieur direct peut désigner un suppléant, pour une période datée, parmi les rôles exerçant déjà une autorité (Chef de Section/Division/Cellule, DN, DNA) — jamais un Chargé d'Études ou un Assistant.</w:t>
      </w:r>
    </w:p>
    <w:p>
      <w:pPr>
        <w:pStyle w:val="ListParagraph"/>
        <w:numPr>
          <w:ilvl w:val="0"/>
          <w:numId w:val="1"/>
        </w:numPr>
        <w:spacing w:after="60"/>
      </w:pPr>
      <w:r>
        <w:t xml:space="preserve">Une seule suppléance active à la fois par titulaire ; le titulaire garde l'intégralité de ses droits en parallèle, la suppléance est strictement additive.</w:t>
      </w:r>
    </w:p>
    <w:p>
      <w:pPr>
        <w:pStyle w:val="ListParagraph"/>
        <w:numPr>
          <w:ilvl w:val="0"/>
          <w:numId w:val="1"/>
        </w:numPr>
        <w:spacing w:after="60"/>
      </w:pPr>
      <w:r>
        <w:t xml:space="preserve">Le suppléant agit explicitement « en intérim » (jamais de façon ambiante) et chaque action est journalisée avec la mention de la personne au nom de qui elle a été posée.</w:t>
      </w:r>
    </w:p>
    <w:p>
      <w:pPr>
        <w:pStyle w:val="ListParagraph"/>
        <w:numPr>
          <w:ilvl w:val="0"/>
          <w:numId w:val="1"/>
        </w:numPr>
        <w:spacing w:after="60"/>
      </w:pPr>
      <w:r>
        <w:t xml:space="preserve">Impossible pour un suppléant d'utiliser l'identité empruntée pour agir sur le titulaire lui-même.</w:t>
      </w:r>
    </w:p>
    <w:p>
      <w:r>
        <w:br w:type="page"/>
      </w:r>
    </w:p>
    <w:p>
      <w:pPr>
        <w:pStyle w:val="Heading2"/>
        <w:spacing w:after="150" w:before="300"/>
      </w:pPr>
      <w:r>
        <w:t xml:space="preserve">4.11 Module — Courrier et actes</w:t>
      </w:r>
    </w:p>
    <w:p>
      <w:pPr>
        <w:spacing w:after="120"/>
      </w:pPr>
      <w:r>
        <w:rPr>
          <w:i/>
          <w:iCs/>
          <w:color w:val="444444"/>
        </w:rPr>
        <w:t xml:space="preserve">Registres du courrier arrivée, des départs et des actes, de l'enregistrement à l'expédition.</w:t>
      </w:r>
    </w:p>
    <w:p>
      <w:pPr>
        <w:spacing w:after="60"/>
      </w:pPr>
      <w:r>
        <w:rPr>
          <w:b/>
          <w:bCs/>
        </w:rPr>
        <w:t xml:space="preserve">Fonctionnalités : </w:t>
      </w:r>
    </w:p>
    <w:p>
      <w:pPr>
        <w:pStyle w:val="ListParagraph"/>
        <w:numPr>
          <w:ilvl w:val="0"/>
          <w:numId w:val="1"/>
        </w:numPr>
        <w:spacing w:after="60"/>
      </w:pPr>
      <w:r>
        <w:t xml:space="preserve">Registres de portée Direction (numérotation DNPEC, imputés par DN/DNA) ou Unité (numérotation par Division ou Cellule, imputés par son chef ou DN/DNA), paramétrés par l'administrateur (format du numéro, reprise des numéros papier).</w:t>
      </w:r>
    </w:p>
    <w:p>
      <w:pPr>
        <w:pStyle w:val="ListParagraph"/>
        <w:numPr>
          <w:ilvl w:val="0"/>
          <w:numId w:val="1"/>
        </w:numPr>
        <w:spacing w:after="60"/>
      </w:pPr>
      <w:r>
        <w:t xml:space="preserve">Enregistrement par un secrétariat habilité sur un registre et une unité (habilitation courrier, distincte du rôle) ; numéro attribué par le système, séquentiel, sans trou ni doublon même en accès concurrent (compteur par registre, unité et année) ; scans joints. Intégrité du registre garantie en base : ni suppression ni renumérotation d'une entrée numérotée ; une annulation motivée consomme le numéro.</w:t>
      </w:r>
    </w:p>
    <w:p>
      <w:pPr>
        <w:pStyle w:val="ListParagraph"/>
        <w:numPr>
          <w:ilvl w:val="0"/>
          <w:numId w:val="1"/>
        </w:numPr>
        <w:spacing w:after="60"/>
      </w:pPr>
      <w:r>
        <w:t xml:space="preserve">Contrôle des dates : une réception dans le futur, ou un courrier daté après sa réception, est refusé sauf dérogation motivée (motif conservé et audité).</w:t>
      </w:r>
    </w:p>
    <w:p>
      <w:pPr>
        <w:pStyle w:val="ListParagraph"/>
        <w:numPr>
          <w:ilvl w:val="0"/>
          <w:numId w:val="1"/>
        </w:numPr>
        <w:spacing w:after="60"/>
      </w:pPr>
      <w:r>
        <w:t xml:space="preserve">Imputation (attribution, information, avis ; instructions ; échéance), sous-imputation dans le périmètre de l'imputé, traitement avec compte rendu, conversion en tâche liée, classement, correction tracée avant/après. Notification « nouveau courrier à imputer » ; rappels automatiques avant échéance (J-2) et en retard (J+1).</w:t>
      </w:r>
    </w:p>
    <w:p>
      <w:pPr>
        <w:pStyle w:val="ListParagraph"/>
        <w:numPr>
          <w:ilvl w:val="0"/>
          <w:numId w:val="1"/>
        </w:numPr>
        <w:spacing w:after="60"/>
      </w:pPr>
      <w:r>
        <w:t xml:space="preserve">Départs et actes : rédaction (annexes, réponse à un courrier arrivée, agent concerné avec prise de connaissance facultative) ; circuit de visa automatique (Chef de Section puis Chef de Division ou de Cellule, niveaux sans objet sautés) ; renvoi motivé ; signature par DN/DNA (Direction) ou par le chef de l'unité ou DN/DNA (Unité), jamais par le rédacteur ni le bénéficiaire ; numéro attribué à la signature ; expédition par le secrétariat habilité.</w:t>
      </w:r>
    </w:p>
    <w:p>
      <w:pPr>
        <w:pStyle w:val="ListParagraph"/>
        <w:numPr>
          <w:ilvl w:val="0"/>
          <w:numId w:val="1"/>
        </w:numPr>
        <w:spacing w:after="60"/>
      </w:pPr>
      <w:r>
        <w:t xml:space="preserve">Confidentialité (§2.2) : Ordinaire ; Confidentiel (le secrétariat ne voit que l'enregistrement) ; Pli personnel (visible de son seul destinataire, requalifiable par lui seul). Un confidentiel n'est jamais ouvert par un rôle emprunté en intérim ni par la vue héritée d'un assistant, sauf accès délégué ouvert courrier par courrier — valable tant que la personne qui l'a ouvert garde elle-même le droit d'accès.</w:t>
      </w:r>
    </w:p>
    <w:p>
      <w:pPr>
        <w:pStyle w:val="ListParagraph"/>
        <w:numPr>
          <w:ilvl w:val="0"/>
          <w:numId w:val="1"/>
        </w:numPr>
        <w:spacing w:after="60"/>
      </w:pPr>
      <w:r>
        <w:t xml:space="preserve">Suppléance (§4.10) : visa, signature et imputation possibles en intérim, tracés « au nom de ».</w:t>
      </w:r>
    </w:p>
    <w:p>
      <w:pPr>
        <w:pStyle w:val="ListParagraph"/>
        <w:numPr>
          <w:ilvl w:val="0"/>
          <w:numId w:val="1"/>
        </w:numPr>
        <w:spacing w:after="60"/>
      </w:pPr>
      <w:r>
        <w:t xml:space="preserve">Administrateur système : uniquement son courrier personnel (ses plis, ses actes, ceux dont il est bénéficiaire) ; jamais imputé, sous-imputé ni délégataire.</w:t>
      </w:r>
    </w:p>
    <w:p>
      <w:pPr>
        <w:pStyle w:val="ListParagraph"/>
        <w:numPr>
          <w:ilvl w:val="0"/>
          <w:numId w:val="1"/>
        </w:numPr>
        <w:spacing w:after="60"/>
      </w:pPr>
      <w:r>
        <w:t xml:space="preserve">Écrans : page Courrier (À faire, Arrivées, Départs et actes, compteurs, export Excel audité), fiches d'une arrivée et d'un acte, administration du courrier, carte sur le tableau de bord ; années : l'année en cours et tout ce qui est encore en cours.</w:t>
      </w:r>
    </w:p>
    <w:p>
      <w:pPr>
        <w:pStyle w:val="Heading2"/>
        <w:spacing w:after="150" w:before="300"/>
      </w:pPr>
      <w:r>
        <w:t xml:space="preserve">4.12 Module — Rotation des stagiaires</w:t>
      </w:r>
    </w:p>
    <w:p>
      <w:pPr>
        <w:spacing w:after="120"/>
      </w:pPr>
      <w:r>
        <w:rPr>
          <w:i/>
          <w:iCs/>
          <w:color w:val="444444"/>
        </w:rPr>
        <w:t xml:space="preserve">Plan de stage par unités successives, tutorat, évaluations et attestation de fin de stage.</w:t>
      </w:r>
    </w:p>
    <w:p>
      <w:pPr>
        <w:spacing w:after="60"/>
      </w:pPr>
      <w:r>
        <w:rPr>
          <w:b/>
          <w:bCs/>
        </w:rPr>
        <w:t xml:space="preserve">Fonctionnalités : </w:t>
      </w:r>
    </w:p>
    <w:p>
      <w:pPr>
        <w:pStyle w:val="ListParagraph"/>
        <w:numPr>
          <w:ilvl w:val="0"/>
          <w:numId w:val="1"/>
        </w:numPr>
        <w:spacing w:after="60"/>
      </w:pPr>
      <w:r>
        <w:t xml:space="preserve">Plan construit par le DRH : le stage (établissement, diplôme préparé, encadrant académique, dates) et ses périodes successives par unité (Division, Section ou Cellule), sans chevauchement, dans les dates du stage.</w:t>
      </w:r>
    </w:p>
    <w:p>
      <w:pPr>
        <w:pStyle w:val="ListParagraph"/>
        <w:numPr>
          <w:ilvl w:val="0"/>
          <w:numId w:val="1"/>
        </w:numPr>
        <w:spacing w:after="60"/>
      </w:pPr>
      <w:r>
        <w:t xml:space="preserve">Chaque période est acceptée ou refusée (motif) par le responsable de l'unité d'accueil, qui désigne le tuteur parmi les membres actifs de l'unité — liste fournie par le serveur, identique à ce qu'il accepte.</w:t>
      </w:r>
    </w:p>
    <w:p>
      <w:pPr>
        <w:pStyle w:val="ListParagraph"/>
        <w:numPr>
          <w:ilvl w:val="0"/>
          <w:numId w:val="1"/>
        </w:numPr>
        <w:spacing w:after="60"/>
      </w:pPr>
      <w:r>
        <w:t xml:space="preserve">Capacité d'accueil : nombre maximal de stagiaires simultanés par unité, fixé par le DRH ; une période en section compte aussi pour sa division. Un dépassement est refusé à la création ou au déplacement d'une période, y compris en accès concurrent.</w:t>
      </w:r>
    </w:p>
    <w:p>
      <w:pPr>
        <w:pStyle w:val="ListParagraph"/>
        <w:numPr>
          <w:ilvl w:val="0"/>
          <w:numId w:val="1"/>
        </w:numPr>
        <w:spacing w:after="60"/>
      </w:pPr>
      <w:r>
        <w:t xml:space="preserve">Changement d'unité automatique à la date prévue (traitement quotidien), enregistré dans l'historique de carrière ; rappel trois jours avant ; alerte au DRH si une période n'est pas acceptée à sa date, si l'unité est suspendue ou si le compte n'est plus actif.</w:t>
      </w:r>
    </w:p>
    <w:p>
      <w:pPr>
        <w:pStyle w:val="ListParagraph"/>
        <w:numPr>
          <w:ilvl w:val="0"/>
          <w:numId w:val="1"/>
        </w:numPr>
        <w:spacing w:after="60"/>
      </w:pPr>
      <w:r>
        <w:t xml:space="preserve">Évaluation de chaque période, au format choisi par le DRH et modifiable par le tuteur tant qu'elle n'est pas commencée : grille de quatre critères (assiduité, qualité du travail, autonomie, intégration) avec appréciation, texte libre, ou aucune évaluation. Rédigée par le tuteur, visée — ou renvoyée avec un motif — par le responsable de l'unité ; visible du stagiaire une fois visée.</w:t>
      </w:r>
    </w:p>
    <w:p>
      <w:pPr>
        <w:pStyle w:val="ListParagraph"/>
        <w:numPr>
          <w:ilvl w:val="0"/>
          <w:numId w:val="1"/>
        </w:numPr>
        <w:spacing w:after="60"/>
      </w:pPr>
      <w:r>
        <w:t xml:space="preserve">Attestation : tant que la version finale n'existe pas, une version provisoire PDF marquée « Provisoire — non signée », sans numéro. La version finale est un acte du module Courrier (§4.11), dans un registre d'actes de la Direction : numérotée, signée par DN/DNA ; le stagiaire en est bénéficiaire et en prend connaissance depuis sa page de stage.</w:t>
      </w:r>
    </w:p>
    <w:p>
      <w:pPr>
        <w:pStyle w:val="ListParagraph"/>
        <w:numPr>
          <w:ilvl w:val="0"/>
          <w:numId w:val="1"/>
        </w:numPr>
        <w:spacing w:after="60"/>
      </w:pPr>
      <w:r>
        <w:t xml:space="preserve">Modèle d'attestation importable par le DRH : Word (champs entre doubles accolades) ou PDF à champs ; les champs disponibles sont affichés à l'import et remplis automatiquement ; le nom du stagiaire est toujours pris du compte à jour. Sans modèle, une mise en page standard est utilisée.</w:t>
      </w:r>
    </w:p>
    <w:p>
      <w:pPr>
        <w:pStyle w:val="ListParagraph"/>
        <w:numPr>
          <w:ilvl w:val="0"/>
          <w:numId w:val="1"/>
        </w:numPr>
        <w:spacing w:after="60"/>
      </w:pPr>
      <w:r>
        <w:t xml:space="preserve">Besoin d'en connaître : les données personnelles du stagiaire restent au niveau 2 du dossier du personnel (§4.9) ; un chef ne voit que le plan et les évaluations des périodes de son unité.</w:t>
      </w:r>
    </w:p>
    <w:p>
      <w:pPr>
        <w:pStyle w:val="ListParagraph"/>
        <w:numPr>
          <w:ilvl w:val="0"/>
          <w:numId w:val="1"/>
        </w:numPr>
        <w:spacing w:after="60"/>
      </w:pPr>
      <w:r>
        <w:t xml:space="preserve">Écrans : Stagiaires (DRH, DN/DNA, chefs) ou « Mon stage » (stagiaire), fiche du stage, « Planning, capacités et modèle d'attestation » (DRH), carte du tableau de bord.</w:t>
      </w:r>
    </w:p>
    <w:p>
      <w:pPr>
        <w:pStyle w:val="Heading2"/>
        <w:spacing w:after="150" w:before="300"/>
      </w:pPr>
      <w:r>
        <w:t xml:space="preserve">4.13 Module — Logistique</w:t>
      </w:r>
    </w:p>
    <w:p>
      <w:pPr>
        <w:spacing w:after="120"/>
      </w:pPr>
      <w:r>
        <w:rPr>
          <w:i/>
          <w:iCs/>
          <w:color w:val="444444"/>
        </w:rPr>
        <w:t xml:space="preserve">Inventaire des biens, demandes logistiques, fournitures et réservation des salles et du matériel de présentation, sans comptabilité.</w:t>
      </w:r>
    </w:p>
    <w:p>
      <w:pPr>
        <w:spacing w:after="60"/>
      </w:pPr>
      <w:r>
        <w:rPr>
          <w:b/>
          <w:bCs/>
        </w:rPr>
        <w:t xml:space="preserve">Fonctionnalités : </w:t>
      </w:r>
    </w:p>
    <w:p>
      <w:pPr>
        <w:pStyle w:val="ListParagraph"/>
        <w:numPr>
          <w:ilvl w:val="0"/>
          <w:numId w:val="1"/>
        </w:numPr>
        <w:spacing w:after="60"/>
      </w:pPr>
      <w:r>
        <w:t xml:space="preserve">Gestionnaire logistique : habilitation donnée et retirée par l'administrateur système à n'importe quel compte actif (sauf stagiaire) — pas un rôle. Elle est personnelle et ne se transmet pas en intérim.</w:t>
      </w:r>
    </w:p>
    <w:p>
      <w:pPr>
        <w:pStyle w:val="ListParagraph"/>
        <w:numPr>
          <w:ilvl w:val="0"/>
          <w:numId w:val="1"/>
        </w:numPr>
        <w:spacing w:after="60"/>
      </w:pPr>
      <w:r>
        <w:t xml:space="preserve">Catégories, paramétrées par l'administrateur : biens inventoriés ou fournitures, chacune avec le réglage « validation du chef requise ».</w:t>
      </w:r>
    </w:p>
    <w:p>
      <w:pPr>
        <w:pStyle w:val="ListParagraph"/>
        <w:numPr>
          <w:ilvl w:val="0"/>
          <w:numId w:val="1"/>
        </w:numPr>
        <w:spacing w:after="60"/>
      </w:pPr>
      <w:r>
        <w:t xml:space="preserve">Demandes (fournitures, matériel, intervention sur un bien) : si la catégorie l'exige, le chef direct du demandeur valide (DN/DNA à défaut), puis un gestionnaire traite ; sinon, la demande va directement aux gestionnaires. Le réglage est figé à la soumission. Refus motivé à chaque étape, annulation par le demandeur avant la prise en charge. Aucune auto-validation : ni un chef sur sa propre demande, ni un gestionnaire sur la sienne. Une intervention figure dans l'historique du bien.</w:t>
      </w:r>
    </w:p>
    <w:p>
      <w:pPr>
        <w:pStyle w:val="ListParagraph"/>
        <w:numPr>
          <w:ilvl w:val="0"/>
          <w:numId w:val="1"/>
        </w:numPr>
        <w:spacing w:after="60"/>
      </w:pPr>
      <w:r>
        <w:t xml:space="preserve">Inventaire sans aucun montant : numéro CODE-ANNÉE-RANG attribué par le système, sans trou ni doublon ; un bien n'est jamais supprimé ni renuméroté (garanti en base) — il est réformé, définitivement ; son historique (entrée, affectations, retours, états, modifications, interventions) n'est jamais effacé. Affectation à une personne ou à une unité active, une seule à la fois. Si le détenteur quitte la DNPEC, le bien reste affecté et les gestionnaires sont alertés.</w:t>
      </w:r>
    </w:p>
    <w:p>
      <w:pPr>
        <w:pStyle w:val="ListParagraph"/>
        <w:numPr>
          <w:ilvl w:val="0"/>
          <w:numId w:val="1"/>
        </w:numPr>
        <w:spacing w:after="60"/>
      </w:pPr>
      <w:r>
        <w:t xml:space="preserve">Fournitures : « suivi de stock » oui/non par article. Oui : entrées et sorties tenues par les gestionnaires, sortie automatique au traitement d'une demande, stock jamais négatif (refus), alerte aux gestionnaires sous le seuil. Non : traitement au cas par cas.</w:t>
      </w:r>
    </w:p>
    <w:p>
      <w:pPr>
        <w:pStyle w:val="ListParagraph"/>
        <w:numPr>
          <w:ilvl w:val="0"/>
          <w:numId w:val="1"/>
        </w:numPr>
        <w:spacing w:after="60"/>
      </w:pPr>
      <w:r>
        <w:t xml:space="preserve">Réservations des salles et du matériel de présentation : par ressource, confirmation immédiate si le créneau est libre ou validation d'un gestionnaire ; jamais deux réservations actives sur le même créneau (garanti en base). Une réunion peut réserver sa salle à sa création ; annuler la réunion libère la salle.</w:t>
      </w:r>
    </w:p>
    <w:p>
      <w:pPr>
        <w:pStyle w:val="ListParagraph"/>
        <w:numPr>
          <w:ilvl w:val="0"/>
          <w:numId w:val="1"/>
        </w:numPr>
        <w:spacing w:after="60"/>
      </w:pPr>
      <w:r>
        <w:t xml:space="preserve">Priorité hiérarchique : toute personne ayant autorité hiérarchique sur le titulaire d'une réservation (cascade ; DN et DNA sur tous les autres) peut prendre le créneau. La réservation déplacée passe « annulée pour priorité », son titulaire est notifié avec le nom du prioritaire, tout est audité. Jamais entre pairs ni vers le haut ; le DN et la DNA sont pairs : aucun des deux ne prend le créneau de l'autre. La salle d'une réunion déplacée est perdue, la réunion est conservée.</w:t>
      </w:r>
    </w:p>
    <w:p>
      <w:pPr>
        <w:pStyle w:val="ListParagraph"/>
        <w:numPr>
          <w:ilvl w:val="0"/>
          <w:numId w:val="1"/>
        </w:numPr>
        <w:spacing w:after="60"/>
      </w:pPr>
      <w:r>
        <w:t xml:space="preserve">Besoin d'en connaître : inventaire complet pour les gestionnaires et DN/DNA ; ailleurs, ses biens et ceux de son unité, et pour un chef ceux de son périmètre. L'objet d'une réservation n'est visible que de son titulaire, de sa hiérarchie et des gestionnaires.</w:t>
      </w:r>
    </w:p>
    <w:p>
      <w:pPr>
        <w:pStyle w:val="ListParagraph"/>
        <w:numPr>
          <w:ilvl w:val="0"/>
          <w:numId w:val="1"/>
        </w:numPr>
        <w:spacing w:after="60"/>
      </w:pPr>
      <w:r>
        <w:t xml:space="preserve">Écrans : Logistique (demandes, réservations, inventaire ou « Mes biens », fournitures pour les gestionnaires), Administration → Logistique, choix de la salle à la création d'une réunion, carte du tableau de bord ; exports Excel audités.</w:t>
      </w:r>
    </w:p>
    <w:p>
      <w:pPr>
        <w:pStyle w:val="Heading2"/>
        <w:spacing w:after="150" w:before="300"/>
      </w:pPr>
      <w:r>
        <w:t xml:space="preserve">4.14 Aide en ligne</w:t>
      </w:r>
    </w:p>
    <w:p>
      <w:pPr>
        <w:spacing w:after="120"/>
      </w:pPr>
      <w:r>
        <w:rPr>
          <w:i/>
          <w:iCs/>
          <w:color w:val="444444"/>
        </w:rPr>
        <w:t xml:space="preserve">Guides d'utilisation en français simple, intégrés à l'application et exportés en PDF.</w:t>
      </w:r>
    </w:p>
    <w:p>
      <w:pPr>
        <w:spacing w:after="60"/>
      </w:pPr>
      <w:r>
        <w:rPr>
          <w:b/>
          <w:bCs/>
        </w:rPr>
        <w:t xml:space="preserve">Fonctionnalités : </w:t>
      </w:r>
    </w:p>
    <w:p>
      <w:pPr>
        <w:pStyle w:val="ListParagraph"/>
        <w:numPr>
          <w:ilvl w:val="0"/>
          <w:numId w:val="1"/>
        </w:numPr>
        <w:spacing w:after="60"/>
      </w:pPr>
      <w:r>
        <w:t xml:space="preserve">Page « Aide » accessible à tous depuis le menu, stagiaires compris.</w:t>
      </w:r>
    </w:p>
    <w:p>
      <w:pPr>
        <w:pStyle w:val="ListParagraph"/>
        <w:numPr>
          <w:ilvl w:val="0"/>
          <w:numId w:val="1"/>
        </w:numPr>
        <w:spacing w:after="60"/>
      </w:pPr>
      <w:r>
        <w:t xml:space="preserve">Un guide par profil : Chargé d'Études, Chef de Section, Chef de Division ou de Cellule, DN/DNA, Assistant de direction, secrétariat courrier, DRH, gestionnaire logistique, Stagiaire, Administrateur système, plus des « Premiers pas » communs.</w:t>
      </w:r>
    </w:p>
    <w:p>
      <w:pPr>
        <w:pStyle w:val="ListParagraph"/>
        <w:numPr>
          <w:ilvl w:val="0"/>
          <w:numId w:val="1"/>
        </w:numPr>
        <w:spacing w:after="60"/>
      </w:pPr>
      <w:r>
        <w:t xml:space="preserve">Chacun ne voit que les guides de son profil : son rôle propre (jamais celui emprunté en intérim) et ses habilitations personnelles (secrétariat courrier, gestionnaire logistique), déterminés par le serveur.</w:t>
      </w:r>
    </w:p>
    <w:p>
      <w:pPr>
        <w:pStyle w:val="ListParagraph"/>
        <w:numPr>
          <w:ilvl w:val="0"/>
          <w:numId w:val="1"/>
        </w:numPr>
        <w:spacing w:after="60"/>
      </w:pPr>
      <w:r>
        <w:t xml:space="preserve">Étapes illustrées de captures d'écran de l'application ; le même contenu est fourni en PDF imprimable (docs/Guide_utilisateur_SI_DNPEC.pdf).</w:t>
      </w:r>
    </w:p>
    <w:p>
      <w:pPr>
        <w:pStyle w:val="Heading1"/>
        <w:spacing w:after="200" w:before="400"/>
      </w:pPr>
      <w:r>
        <w:t xml:space="preserve">5. Hors périmètre</w:t>
      </w:r>
    </w:p>
    <w:p>
      <w:pPr>
        <w:pStyle w:val="ListParagraph"/>
        <w:numPr>
          <w:ilvl w:val="0"/>
          <w:numId w:val="1"/>
        </w:numPr>
        <w:spacing w:after="60"/>
      </w:pPr>
      <w:r>
        <w:t xml:space="preserve">Rémunération et paie du personnel (module D5) — nécessite une expertise comptable/légale externe et, pour les agents fonctionnaires, une coordination avec la chaîne de solde du Ministère. Décision de lancement à prendre séparément par la Direction.</w:t>
      </w:r>
    </w:p>
    <w:p>
      <w:pPr>
        <w:pStyle w:val="ListParagraph"/>
        <w:numPr>
          <w:ilvl w:val="0"/>
          <w:numId w:val="1"/>
        </w:numPr>
        <w:spacing w:after="60"/>
      </w:pPr>
      <w:r>
        <w:t xml:space="preserve">Test d'intrusion (pentest) et toute certification de sécurité indépendante — nécessite un prestataire spécialisé externe.</w:t>
      </w:r>
    </w:p>
    <w:p>
      <w:pPr>
        <w:pStyle w:val="ListParagraph"/>
        <w:numPr>
          <w:ilvl w:val="0"/>
          <w:numId w:val="1"/>
        </w:numPr>
        <w:spacing w:after="60"/>
      </w:pPr>
      <w:r>
        <w:t xml:space="preserve">Canal de notification WhatsApp — démarche administrative séparée (compte WhatsApp Business, validation Meta), non technique.</w:t>
      </w:r>
    </w:p>
    <w:p>
      <w:pPr>
        <w:pStyle w:val="ListParagraph"/>
        <w:numPr>
          <w:ilvl w:val="0"/>
          <w:numId w:val="1"/>
        </w:numPr>
        <w:spacing w:after="60"/>
      </w:pPr>
      <w:r>
        <w:t xml:space="preserve">Les modules Courrier et actes (D7, §4.11), Rotation des stagiaires (D6, §4.12) et Logistique (D9, §4.13) sont construits. Restent hors périmètre de la logistique : achats, bons de commande, fournisseurs, budget, valeur et amortissement des biens, véhicules.</w:t>
      </w:r>
    </w:p>
    <w:p>
      <w:pPr>
        <w:pStyle w:val="ListParagraph"/>
        <w:numPr>
          <w:ilvl w:val="0"/>
          <w:numId w:val="1"/>
        </w:numPr>
        <w:spacing w:after="60"/>
      </w:pPr>
      <w:r>
        <w:t xml:space="preserve">Aucune intégration technique avec la plateforme PICE.</w:t>
      </w:r>
    </w:p>
    <w:p>
      <w:r>
        <w:br w:type="page"/>
      </w:r>
    </w:p>
    <w:p>
      <w:pPr>
        <w:pStyle w:val="Heading1"/>
        <w:spacing w:after="200" w:before="400"/>
      </w:pPr>
      <w:r>
        <w:t xml:space="preserve">6. Exigences non fonctionnelles</w:t>
      </w:r>
    </w:p>
    <w:p>
      <w:pPr>
        <w:pStyle w:val="Heading2"/>
        <w:spacing w:after="150" w:before="300"/>
      </w:pPr>
      <w:r>
        <w:t xml:space="preserve">6.1 Infrastructure réelle en production</w:t>
      </w:r>
    </w:p>
    <w:p>
      <w:pPr>
        <w:pStyle w:val="ListParagraph"/>
        <w:numPr>
          <w:ilvl w:val="0"/>
          <w:numId w:val="1"/>
        </w:numPr>
        <w:spacing w:after="60"/>
      </w:pPr>
      <w:r>
        <w:t xml:space="preserve">API (NestJS), frontend (Next.js) et base de données (PostgreSQL) hébergés en continu sur Render, dans des services distincts.</w:t>
      </w:r>
    </w:p>
    <w:p>
      <w:pPr>
        <w:pStyle w:val="ListParagraph"/>
        <w:numPr>
          <w:ilvl w:val="0"/>
          <w:numId w:val="1"/>
        </w:numPr>
        <w:spacing w:after="60"/>
      </w:pPr>
      <w:r>
        <w:t xml:space="preserve">Migrations de base de données appliquées via un workflow GitHub Actions à déclenchement manuel, jamais automatique — garde-fou volontaire sur une base de production.</w:t>
      </w:r>
    </w:p>
    <w:p>
      <w:pPr>
        <w:pStyle w:val="ListParagraph"/>
        <w:numPr>
          <w:ilvl w:val="0"/>
          <w:numId w:val="1"/>
        </w:numPr>
        <w:spacing w:after="60"/>
      </w:pPr>
      <w:r>
        <w:t xml:space="preserve">Paramétrage initial de la production par un script en création seule (workflow manuel « Paramétrage initial ») : registres, catégories, capacités d'accueil, modèle d'attestation, ressources et articles de départ, sans aucun compte ; tout reste modifiable à l'écran et un élément supprimé n'est jamais recréé.</w:t>
      </w:r>
    </w:p>
    <w:p>
      <w:pPr>
        <w:pStyle w:val="ListParagraph"/>
        <w:numPr>
          <w:ilvl w:val="0"/>
          <w:numId w:val="1"/>
        </w:numPr>
        <w:spacing w:after="60"/>
      </w:pPr>
      <w:r>
        <w:t xml:space="preserve">Intégration continue : sur chaque pull request, la suite complète de tests de bout en bout (API et écrans sous navigateur, ordinateur et mobile, cas refusés 403/409 compris) tourne sur une base jetable ; elle ne touche jamais la production. Règle de mise à jour : pull request, tests verts, migration, fusion.</w:t>
      </w:r>
    </w:p>
    <w:p>
      <w:pPr>
        <w:pStyle w:val="ListParagraph"/>
        <w:numPr>
          <w:ilvl w:val="0"/>
          <w:numId w:val="1"/>
        </w:numPr>
        <w:spacing w:after="60"/>
      </w:pPr>
      <w:r>
        <w:t xml:space="preserve">Guide d'exploitation (docs/Exploitation.md) : sauvegardes, mise à jour, pannes, rotation des secrets, ajout d'un administrateur.</w:t>
      </w:r>
    </w:p>
    <w:p>
      <w:pPr>
        <w:pStyle w:val="ListParagraph"/>
        <w:numPr>
          <w:ilvl w:val="0"/>
          <w:numId w:val="1"/>
        </w:numPr>
        <w:spacing w:after="60"/>
      </w:pPr>
      <w:r>
        <w:t xml:space="preserve">Emails transactionnels réels via Brevo (SMTP), avec gabarit HTML commun (en-tête DNPEC, bouton d'action contextuel, repli texte brut).</w:t>
      </w:r>
    </w:p>
    <w:p>
      <w:pPr>
        <w:pStyle w:val="ListParagraph"/>
        <w:numPr>
          <w:ilvl w:val="0"/>
          <w:numId w:val="1"/>
        </w:numPr>
        <w:spacing w:after="60"/>
      </w:pPr>
      <w:r>
        <w:t xml:space="preserve">Stockage des documents sur disque persistant Render — fonctionnel, bascule vers un stockage objet (S3/MinIO) possible sans réécriture large si le volume l'exige un jour.</w:t>
      </w:r>
    </w:p>
    <w:p>
      <w:pPr>
        <w:pStyle w:val="Heading2"/>
        <w:spacing w:after="150" w:before="300"/>
      </w:pPr>
      <w:r>
        <w:t xml:space="preserve">6.2 Sécurité</w:t>
      </w:r>
    </w:p>
    <w:p>
      <w:pPr>
        <w:pStyle w:val="ListParagraph"/>
        <w:numPr>
          <w:ilvl w:val="0"/>
          <w:numId w:val="1"/>
        </w:numPr>
        <w:spacing w:after="60"/>
      </w:pPr>
      <w:r>
        <w:t xml:space="preserve">2FA disponible en option pour tout rôle, jamais obligatoire (voir §3.3).</w:t>
      </w:r>
    </w:p>
    <w:p>
      <w:pPr>
        <w:pStyle w:val="ListParagraph"/>
        <w:numPr>
          <w:ilvl w:val="0"/>
          <w:numId w:val="1"/>
        </w:numPr>
        <w:spacing w:after="60"/>
      </w:pPr>
      <w:r>
        <w:t xml:space="preserve">Principe du « besoin d'en connaître » appliqué de façon transversale (voir §2.2), vérifié et corrigé sur les congés maladie, le dossier personnel et l'espace documentaire privé.</w:t>
      </w:r>
    </w:p>
    <w:p>
      <w:pPr>
        <w:pStyle w:val="ListParagraph"/>
        <w:numPr>
          <w:ilvl w:val="0"/>
          <w:numId w:val="1"/>
        </w:numPr>
        <w:spacing w:after="60"/>
      </w:pPr>
      <w:r>
        <w:t xml:space="preserve">Suivi des vulnérabilités de dépendances (audit trimestriel, docs/Securite_dependances.md) ; au 25/09/2026, aucune faille connue : PostCSS et uuid corrigés par surcharge de version, Next.js à jour dans sa version 15.</w:t>
      </w:r>
    </w:p>
    <w:p>
      <w:pPr>
        <w:pStyle w:val="Heading2"/>
        <w:spacing w:after="150" w:before="300"/>
      </w:pPr>
      <w:r>
        <w:t xml:space="preserve">6.3 Identité visuelle</w:t>
      </w:r>
    </w:p>
    <w:p>
      <w:pPr>
        <w:pStyle w:val="ListParagraph"/>
        <w:numPr>
          <w:ilvl w:val="0"/>
          <w:numId w:val="1"/>
        </w:numPr>
        <w:spacing w:after="60"/>
      </w:pPr>
      <w:r>
        <w:t xml:space="preserve">Logo officiel DNPEC intégré (favicon, écrans de connexion/inscription, sidebar). Bande tricolore (rouge/or/vert) affichée sur les pages internes et la page d'accueil publique, retirée des pages d'authentification pour un rendu plus épuré.</w:t>
      </w:r>
    </w:p>
    <w:p>
      <w:pPr>
        <w:pStyle w:val="ListParagraph"/>
        <w:numPr>
          <w:ilvl w:val="0"/>
          <w:numId w:val="1"/>
        </w:numPr>
        <w:spacing w:after="60"/>
      </w:pPr>
      <w:r>
        <w:t xml:space="preserve">Application responsive : navigation en tiroir sur mobile, tableaux basculant en cartes empilées sous les seuils étroits.</w:t>
      </w:r>
    </w:p>
    <w:p>
      <w:r>
        <w:br w:type="page"/>
      </w:r>
    </w:p>
    <w:p>
      <w:pPr>
        <w:pStyle w:val="Heading1"/>
        <w:spacing w:after="200" w:before="400"/>
      </w:pPr>
      <w:r>
        <w:t xml:space="preserve">7. Points restant à valider</w:t>
      </w:r>
    </w:p>
    <w:p>
      <w:pPr>
        <w:pStyle w:val="ListParagraph"/>
        <w:numPr>
          <w:ilvl w:val="0"/>
          <w:numId w:val="1"/>
        </w:numPr>
        <w:spacing w:after="60"/>
      </w:pPr>
      <w:r>
        <w:t xml:space="preserve">Qui occupera le rôle DRH — à désigner par la Direction.</w:t>
      </w:r>
    </w:p>
    <w:p>
      <w:pPr>
        <w:pStyle w:val="ListParagraph"/>
        <w:numPr>
          <w:ilvl w:val="0"/>
          <w:numId w:val="1"/>
        </w:numPr>
        <w:spacing w:after="60"/>
      </w:pPr>
      <w:r>
        <w:t xml:space="preserve">Lancement ou non d'une consultation externe formelle pour le module Rémunération/Paie (D5) — décision stratégique de la Direction, hors du cadre de développement interne actuel.</w:t>
      </w:r>
    </w:p>
    <w:p>
      <w:pPr>
        <w:pStyle w:val="ListParagraph"/>
        <w:numPr>
          <w:ilvl w:val="0"/>
          <w:numId w:val="1"/>
        </w:numPr>
        <w:spacing w:after="60"/>
      </w:pPr>
      <w:r>
        <w:t xml:space="preserve">Après le paramétrage initial par script : désigner les habilitations courrier et les gestionnaires logistiques (administrateur), saisir l'inventaire réel et renommer salles et matériel (gestionnaires), ajuster les capacités d'accueil (DRH).</w:t>
      </w:r>
    </w:p>
    <w:p>
      <w:pPr>
        <w:pStyle w:val="ListParagraph"/>
        <w:numPr>
          <w:ilvl w:val="0"/>
          <w:numId w:val="1"/>
        </w:numPr>
        <w:spacing w:after="60"/>
      </w:pPr>
      <w:r>
        <w:t xml:space="preserve">Structure interne des cellules CTSCM et CNC — toujours non définie.</w:t>
      </w:r>
    </w:p>
    <w:p>
      <w:pPr>
        <w:pStyle w:val="ListParagraph"/>
        <w:numPr>
          <w:ilvl w:val="0"/>
          <w:numId w:val="1"/>
        </w:numPr>
        <w:spacing w:after="60"/>
      </w:pPr>
      <w:r>
        <w:t xml:space="preserve">Effectif exact, budget, délai cible, hébergement définitif (Render peut devenir la solution pérenne, non tranché formellement).</w:t>
      </w:r>
    </w:p>
    <w:p>
      <w:r>
        <w:br w:type="page"/>
      </w:r>
    </w:p>
    <w:p>
      <w:pPr>
        <w:pStyle w:val="Heading1"/>
        <w:spacing w:after="200" w:before="400"/>
      </w:pPr>
      <w:r>
        <w:t xml:space="preserve">Annexe A —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vAlign w:val="center"/>
          </w:tcPr>
          <w:p>
            <w:r>
              <w:rPr>
                <w:b/>
                <w:bCs/>
                <w:color w:val="FFFFFF"/>
                <w:sz w:val="20"/>
                <w:szCs w:val="20"/>
              </w:rPr>
              <w:t xml:space="preserve">Terme</w:t>
            </w:r>
          </w:p>
        </w:tc>
        <w:tc>
          <w:tcPr>
            <w:tcW w:type="dxa" w:w="6750"/>
            <w:shd w:fill="1F3864" w:color="auto" w:val="clear"/>
            <w:vAlign w:val="center"/>
          </w:tcPr>
          <w:p>
            <w:r>
              <w:rPr>
                <w:b/>
                <w:bCs/>
                <w:color w:val="FFFFFF"/>
                <w:sz w:val="20"/>
                <w:szCs w:val="20"/>
              </w:rPr>
              <w:t xml:space="preserve">Définition</w:t>
            </w:r>
          </w:p>
        </w:tc>
      </w:tr>
      <w:tr>
        <w:tc>
          <w:tcPr>
            <w:tcW w:type="dxa" w:w="2600"/>
            <w:vAlign w:val="center"/>
          </w:tcPr>
          <w:p>
            <w:r>
              <w:rPr>
                <w:sz w:val="20"/>
                <w:szCs w:val="20"/>
              </w:rPr>
              <w:t xml:space="preserve">DRH</w:t>
            </w:r>
          </w:p>
        </w:tc>
        <w:tc>
          <w:tcPr>
            <w:tcW w:type="dxa" w:w="6750"/>
            <w:vAlign w:val="center"/>
          </w:tcPr>
          <w:p>
            <w:r>
              <w:rPr>
                <w:sz w:val="20"/>
                <w:szCs w:val="20"/>
              </w:rPr>
              <w:t xml:space="preserve">Ressources Humaines — rôle transversal gérant le Dossier du personnel</w:t>
            </w:r>
          </w:p>
        </w:tc>
      </w:tr>
      <w:tr>
        <w:tc>
          <w:tcPr>
            <w:tcW w:type="dxa" w:w="2600"/>
            <w:vAlign w:val="center"/>
          </w:tcPr>
          <w:p>
            <w:r>
              <w:rPr>
                <w:sz w:val="20"/>
                <w:szCs w:val="20"/>
              </w:rPr>
              <w:t xml:space="preserve">Suppléance / Intérim</w:t>
            </w:r>
          </w:p>
        </w:tc>
        <w:tc>
          <w:tcPr>
            <w:tcW w:type="dxa" w:w="6750"/>
            <w:vAlign w:val="center"/>
          </w:tcPr>
          <w:p>
            <w:r>
              <w:rPr>
                <w:sz w:val="20"/>
                <w:szCs w:val="20"/>
              </w:rPr>
              <w:t xml:space="preserve">Emprunt temporaire et explicite de l'autorité d'action d'un titulaire absent par un chef habilité</w:t>
            </w:r>
          </w:p>
        </w:tc>
      </w:tr>
      <w:tr>
        <w:tc>
          <w:tcPr>
            <w:tcW w:type="dxa" w:w="2600"/>
            <w:vAlign w:val="center"/>
          </w:tcPr>
          <w:p>
            <w:r>
              <w:rPr>
                <w:sz w:val="20"/>
                <w:szCs w:val="20"/>
              </w:rPr>
              <w:t xml:space="preserve">Besoin d'en connaître</w:t>
            </w:r>
          </w:p>
        </w:tc>
        <w:tc>
          <w:tcPr>
            <w:tcW w:type="dxa" w:w="6750"/>
            <w:vAlign w:val="center"/>
          </w:tcPr>
          <w:p>
            <w:r>
              <w:rPr>
                <w:sz w:val="20"/>
                <w:szCs w:val="20"/>
              </w:rPr>
              <w:t xml:space="preserve">Principe limitant la visibilité hiérarchique aux informations nécessaires à l'action, indépendamment du rang</w:t>
            </w:r>
          </w:p>
        </w:tc>
      </w:tr>
      <w:tr>
        <w:tc>
          <w:tcPr>
            <w:tcW w:type="dxa" w:w="2600"/>
            <w:vAlign w:val="center"/>
          </w:tcPr>
          <w:p>
            <w:r>
              <w:rPr>
                <w:sz w:val="20"/>
                <w:szCs w:val="20"/>
              </w:rPr>
              <w:t xml:space="preserve">Niveau 1 / Niveau 2 (dossier personnel)</w:t>
            </w:r>
          </w:p>
        </w:tc>
        <w:tc>
          <w:tcPr>
            <w:tcW w:type="dxa" w:w="6750"/>
            <w:vAlign w:val="center"/>
          </w:tcPr>
          <w:p>
            <w:r>
              <w:rPr>
                <w:sz w:val="20"/>
                <w:szCs w:val="20"/>
              </w:rPr>
              <w:t xml:space="preserve">Séparation entre informations de base (visibles en cascade) et informations sensibles (personne + DRH uniquement)</w:t>
            </w:r>
          </w:p>
        </w:tc>
      </w:tr>
      <w:tr>
        <w:tc>
          <w:tcPr>
            <w:tcW w:type="dxa" w:w="2600"/>
            <w:vAlign w:val="center"/>
          </w:tcPr>
          <w:p>
            <w:r>
              <w:rPr>
                <w:sz w:val="20"/>
                <w:szCs w:val="20"/>
              </w:rPr>
              <w:t xml:space="preserve">MoSCoW</w:t>
            </w:r>
          </w:p>
        </w:tc>
        <w:tc>
          <w:tcPr>
            <w:tcW w:type="dxa" w:w="6750"/>
            <w:vAlign w:val="center"/>
          </w:tcPr>
          <w:p>
            <w:r>
              <w:rPr>
                <w:sz w:val="20"/>
                <w:szCs w:val="20"/>
              </w:rPr>
              <w:t xml:space="preserve">Méthode de priorisation Must/Should/Could/Won't have</w:t>
            </w:r>
          </w:p>
        </w:tc>
      </w:tr>
      <w:tr>
        <w:tc>
          <w:tcPr>
            <w:tcW w:type="dxa" w:w="2600"/>
            <w:vAlign w:val="center"/>
          </w:tcPr>
          <w:p>
            <w:r>
              <w:rPr>
                <w:sz w:val="20"/>
                <w:szCs w:val="20"/>
              </w:rPr>
              <w:t xml:space="preserve">2FA</w:t>
            </w:r>
          </w:p>
        </w:tc>
        <w:tc>
          <w:tcPr>
            <w:tcW w:type="dxa" w:w="6750"/>
            <w:vAlign w:val="center"/>
          </w:tcPr>
          <w:p>
            <w:r>
              <w:rPr>
                <w:sz w:val="20"/>
                <w:szCs w:val="20"/>
              </w:rPr>
              <w:t xml:space="preserve">Authentification à deux facteurs, facultative pour tous les rôles</w:t>
            </w:r>
          </w:p>
        </w:tc>
      </w:tr>
      <w:tr>
        <w:tc>
          <w:tcPr>
            <w:tcW w:type="dxa" w:w="2600"/>
            <w:vAlign w:val="center"/>
          </w:tcPr>
          <w:p>
            <w:r>
              <w:rPr>
                <w:sz w:val="20"/>
                <w:szCs w:val="20"/>
              </w:rPr>
              <w:t xml:space="preserve">Stagiaire</w:t>
            </w:r>
          </w:p>
        </w:tc>
        <w:tc>
          <w:tcPr>
            <w:tcW w:type="dxa" w:w="6750"/>
            <w:vAlign w:val="center"/>
          </w:tcPr>
          <w:p>
            <w:r>
              <w:rPr>
                <w:sz w:val="20"/>
                <w:szCs w:val="20"/>
              </w:rPr>
              <w:t xml:space="preserve">Rôle sans droit par défaut : ses tâches, la messagerie, les annonces, son dossier et son plan de stage</w:t>
            </w:r>
          </w:p>
        </w:tc>
      </w:tr>
      <w:tr>
        <w:tc>
          <w:tcPr>
            <w:tcW w:type="dxa" w:w="2600"/>
            <w:vAlign w:val="center"/>
          </w:tcPr>
          <w:p>
            <w:r>
              <w:rPr>
                <w:sz w:val="20"/>
                <w:szCs w:val="20"/>
              </w:rPr>
              <w:t xml:space="preserve">Plan de rotation</w:t>
            </w:r>
          </w:p>
        </w:tc>
        <w:tc>
          <w:tcPr>
            <w:tcW w:type="dxa" w:w="6750"/>
            <w:vAlign w:val="center"/>
          </w:tcPr>
          <w:p>
            <w:r>
              <w:rPr>
                <w:sz w:val="20"/>
                <w:szCs w:val="20"/>
              </w:rPr>
              <w:t xml:space="preserve">Suite des périodes d'un stage, chacune dans une unité, avec son tuteur et son format d'évaluation</w:t>
            </w:r>
          </w:p>
        </w:tc>
      </w:tr>
      <w:tr>
        <w:tc>
          <w:tcPr>
            <w:tcW w:type="dxa" w:w="2600"/>
            <w:vAlign w:val="center"/>
          </w:tcPr>
          <w:p>
            <w:r>
              <w:rPr>
                <w:sz w:val="20"/>
                <w:szCs w:val="20"/>
              </w:rPr>
              <w:t xml:space="preserve">Capacité d'accueil</w:t>
            </w:r>
          </w:p>
        </w:tc>
        <w:tc>
          <w:tcPr>
            <w:tcW w:type="dxa" w:w="6750"/>
            <w:vAlign w:val="center"/>
          </w:tcPr>
          <w:p>
            <w:r>
              <w:rPr>
                <w:sz w:val="20"/>
                <w:szCs w:val="20"/>
              </w:rPr>
              <w:t xml:space="preserve">Nombre maximal de stagiaires simultanés dans une unité</w:t>
            </w:r>
          </w:p>
        </w:tc>
      </w:tr>
      <w:tr>
        <w:tc>
          <w:tcPr>
            <w:tcW w:type="dxa" w:w="2600"/>
            <w:vAlign w:val="center"/>
          </w:tcPr>
          <w:p>
            <w:r>
              <w:rPr>
                <w:sz w:val="20"/>
                <w:szCs w:val="20"/>
              </w:rPr>
              <w:t xml:space="preserve">Gestionnaire logistique</w:t>
            </w:r>
          </w:p>
        </w:tc>
        <w:tc>
          <w:tcPr>
            <w:tcW w:type="dxa" w:w="6750"/>
            <w:vAlign w:val="center"/>
          </w:tcPr>
          <w:p>
            <w:r>
              <w:rPr>
                <w:sz w:val="20"/>
                <w:szCs w:val="20"/>
              </w:rPr>
              <w:t xml:space="preserve">Habilitation (pas un rôle) permettant de tenir l'inventaire, les fournitures et les ressources, et de traiter les demandes</w:t>
            </w:r>
          </w:p>
        </w:tc>
      </w:tr>
      <w:tr>
        <w:tc>
          <w:tcPr>
            <w:tcW w:type="dxa" w:w="2600"/>
            <w:vAlign w:val="center"/>
          </w:tcPr>
          <w:p>
            <w:r>
              <w:rPr>
                <w:sz w:val="20"/>
                <w:szCs w:val="20"/>
              </w:rPr>
              <w:t xml:space="preserve">Numéro d'inventaire</w:t>
            </w:r>
          </w:p>
        </w:tc>
        <w:tc>
          <w:tcPr>
            <w:tcW w:type="dxa" w:w="6750"/>
            <w:vAlign w:val="center"/>
          </w:tcPr>
          <w:p>
            <w:r>
              <w:rPr>
                <w:sz w:val="20"/>
                <w:szCs w:val="20"/>
              </w:rPr>
              <w:t xml:space="preserve">Identifiant d'un bien, CODE-ANNÉE-RANG, attribué sans trou et jamais réattribué</w:t>
            </w:r>
          </w:p>
        </w:tc>
      </w:tr>
      <w:tr>
        <w:tc>
          <w:tcPr>
            <w:tcW w:type="dxa" w:w="2600"/>
            <w:vAlign w:val="center"/>
          </w:tcPr>
          <w:p>
            <w:r>
              <w:rPr>
                <w:sz w:val="20"/>
                <w:szCs w:val="20"/>
              </w:rPr>
              <w:t xml:space="preserve">Priorité hiérarchique</w:t>
            </w:r>
          </w:p>
        </w:tc>
        <w:tc>
          <w:tcPr>
            <w:tcW w:type="dxa" w:w="6750"/>
            <w:vAlign w:val="center"/>
          </w:tcPr>
          <w:p>
            <w:r>
              <w:rPr>
                <w:sz w:val="20"/>
                <w:szCs w:val="20"/>
              </w:rPr>
              <w:t xml:space="preserve">Droit de prendre le créneau réservé par une personne sur laquelle on a autorité hiérarchique</w:t>
            </w:r>
          </w:p>
        </w:tc>
      </w:tr>
      <w:tr>
        <w:tc>
          <w:tcPr>
            <w:tcW w:type="dxa" w:w="2600"/>
            <w:vAlign w:val="center"/>
          </w:tcPr>
          <w:p>
            <w:r>
              <w:rPr>
                <w:sz w:val="20"/>
                <w:szCs w:val="20"/>
              </w:rPr>
              <w:t xml:space="preserve">Registre (courrier)</w:t>
            </w:r>
          </w:p>
        </w:tc>
        <w:tc>
          <w:tcPr>
            <w:tcW w:type="dxa" w:w="6750"/>
            <w:vAlign w:val="center"/>
          </w:tcPr>
          <w:p>
            <w:r>
              <w:rPr>
                <w:sz w:val="20"/>
                <w:szCs w:val="20"/>
              </w:rPr>
              <w:t xml:space="preserve">Suite numérotée des arrivées, des départs ou des actes, de portée Direction ou Unité</w:t>
            </w:r>
          </w:p>
        </w:tc>
      </w:tr>
      <w:tr>
        <w:tc>
          <w:tcPr>
            <w:tcW w:type="dxa" w:w="2600"/>
            <w:vAlign w:val="center"/>
          </w:tcPr>
          <w:p>
            <w:r>
              <w:rPr>
                <w:sz w:val="20"/>
                <w:szCs w:val="20"/>
              </w:rPr>
              <w:t xml:space="preserve">Habilitation courrier</w:t>
            </w:r>
          </w:p>
        </w:tc>
        <w:tc>
          <w:tcPr>
            <w:tcW w:type="dxa" w:w="6750"/>
            <w:vAlign w:val="center"/>
          </w:tcPr>
          <w:p>
            <w:r>
              <w:rPr>
                <w:sz w:val="20"/>
                <w:szCs w:val="20"/>
              </w:rPr>
              <w:t xml:space="preserve">Droit d'enregistrer ou d'expédier sur un registre et une unité, donné à une personne indépendamment de son rôle</w:t>
            </w:r>
          </w:p>
        </w:tc>
      </w:tr>
      <w:tr>
        <w:tc>
          <w:tcPr>
            <w:tcW w:type="dxa" w:w="2600"/>
            <w:vAlign w:val="center"/>
          </w:tcPr>
          <w:p>
            <w:r>
              <w:rPr>
                <w:sz w:val="20"/>
                <w:szCs w:val="20"/>
              </w:rPr>
              <w:t xml:space="preserve">Imputation</w:t>
            </w:r>
          </w:p>
        </w:tc>
        <w:tc>
          <w:tcPr>
            <w:tcW w:type="dxa" w:w="6750"/>
            <w:vAlign w:val="center"/>
          </w:tcPr>
          <w:p>
            <w:r>
              <w:rPr>
                <w:sz w:val="20"/>
                <w:szCs w:val="20"/>
              </w:rPr>
              <w:t xml:space="preserve">Attribution d'un courrier arrivée à une personne pour attribution, information ou avis, avec échéance</w:t>
            </w:r>
          </w:p>
        </w:tc>
      </w:tr>
      <w:tr>
        <w:tc>
          <w:tcPr>
            <w:tcW w:type="dxa" w:w="2600"/>
            <w:vAlign w:val="center"/>
          </w:tcPr>
          <w:p>
            <w:r>
              <w:rPr>
                <w:sz w:val="20"/>
                <w:szCs w:val="20"/>
              </w:rPr>
              <w:t xml:space="preserve">Circuit de visa</w:t>
            </w:r>
          </w:p>
        </w:tc>
        <w:tc>
          <w:tcPr>
            <w:tcW w:type="dxa" w:w="6750"/>
            <w:vAlign w:val="center"/>
          </w:tcPr>
          <w:p>
            <w:r>
              <w:rPr>
                <w:sz w:val="20"/>
                <w:szCs w:val="20"/>
              </w:rPr>
              <w:t xml:space="preserve">Suite des visas (Chef de Section puis Chef de Division ou de Cellule) qu'un acte parcourt avant signature</w:t>
            </w:r>
          </w:p>
        </w:tc>
      </w:tr>
      <w:tr>
        <w:tc>
          <w:tcPr>
            <w:tcW w:type="dxa" w:w="2600"/>
            <w:vAlign w:val="center"/>
          </w:tcPr>
          <w:p>
            <w:r>
              <w:rPr>
                <w:sz w:val="20"/>
                <w:szCs w:val="20"/>
              </w:rPr>
              <w:t xml:space="preserve">Pli personnel</w:t>
            </w:r>
          </w:p>
        </w:tc>
        <w:tc>
          <w:tcPr>
            <w:tcW w:type="dxa" w:w="6750"/>
            <w:vAlign w:val="center"/>
          </w:tcPr>
          <w:p>
            <w:r>
              <w:rPr>
                <w:sz w:val="20"/>
                <w:szCs w:val="20"/>
              </w:rPr>
              <w:t xml:space="preserve">Courrier fermé, visible de son seul destinataire ; les autres n'en voient que l'existence</w:t>
            </w:r>
          </w:p>
        </w:tc>
      </w:tr>
      <w:tr>
        <w:tc>
          <w:tcPr>
            <w:tcW w:type="dxa" w:w="2600"/>
            <w:vAlign w:val="center"/>
          </w:tcPr>
          <w:p>
            <w:r>
              <w:rPr>
                <w:sz w:val="20"/>
                <w:szCs w:val="20"/>
              </w:rPr>
              <w:t xml:space="preserve">Accès délégué</w:t>
            </w:r>
          </w:p>
        </w:tc>
        <w:tc>
          <w:tcPr>
            <w:tcW w:type="dxa" w:w="6750"/>
            <w:vAlign w:val="center"/>
          </w:tcPr>
          <w:p>
            <w:r>
              <w:rPr>
                <w:sz w:val="20"/>
                <w:szCs w:val="20"/>
              </w:rPr>
              <w:t xml:space="preserve">Ouverture d'un courrier confidentiel à une personne précise, courrier par courrier</w:t>
            </w:r>
          </w:p>
        </w:tc>
      </w:tr>
    </w:tbl>
    <w:p>
      <w:r>
        <w:br w:type="page"/>
      </w:r>
    </w:p>
    <w:p>
      <w:pPr>
        <w:pStyle w:val="Heading1"/>
        <w:spacing w:after="200" w:before="400"/>
      </w:pPr>
      <w:r>
        <w:t xml:space="preserve">Annexe B — Journal chronologique des évolutions (depuis la version 1.1)</w:t>
      </w:r>
    </w:p>
    <w:p>
      <w:pPr>
        <w:spacing w:after="120"/>
      </w:pPr>
      <w:r>
        <w:t xml:space="preserve">Liste exhaustive des décisions prises et fonctionnalités livrées après la mise en production initiale, pour garder une trace complète de ce qui a été demandé et pourquoi.</w:t>
      </w:r>
    </w:p>
    <w:p>
      <w:pPr>
        <w:pStyle w:val="ListParagraph"/>
        <w:numPr>
          <w:ilvl w:val="0"/>
          <w:numId w:val="1"/>
        </w:numPr>
        <w:spacing w:after="60"/>
      </w:pPr>
      <w:r>
        <w:t xml:space="preserve">Mise en production réelle : base PostgreSQL, API et frontend déployés sur Render ; migrations pilotées par workflow manuel GitHub Actions ; emails réels via Brevo.</w:t>
      </w:r>
    </w:p>
    <w:p>
      <w:pPr>
        <w:pStyle w:val="ListParagraph"/>
        <w:numPr>
          <w:ilvl w:val="0"/>
          <w:numId w:val="1"/>
        </w:numPr>
        <w:spacing w:after="60"/>
      </w:pPr>
      <w:r>
        <w:t xml:space="preserve">Premier compte Admin Système créé par script de seed sécurisé (secrets GitHub, jamais en clair).</w:t>
      </w:r>
    </w:p>
    <w:p>
      <w:pPr>
        <w:pStyle w:val="ListParagraph"/>
        <w:numPr>
          <w:ilvl w:val="0"/>
          <w:numId w:val="1"/>
        </w:numPr>
        <w:spacing w:after="60"/>
      </w:pPr>
      <w:r>
        <w:t xml:space="preserve">Correction : email non exigé au domaine professionnel, ni à l'inscription ni à la création manuelle — seul le format standard est vérifié.</w:t>
      </w:r>
    </w:p>
    <w:p>
      <w:pPr>
        <w:pStyle w:val="ListParagraph"/>
        <w:numPr>
          <w:ilvl w:val="0"/>
          <w:numId w:val="1"/>
        </w:numPr>
        <w:spacing w:after="60"/>
      </w:pPr>
      <w:r>
        <w:t xml:space="preserve">Résolution de noms ouverte à tout utilisateur authentifié (GET /users/resolve, GET /users/search, GET /users/directory) pour l'Annuaire et la messagerie, sans exposer de champ sensible.</w:t>
      </w:r>
    </w:p>
    <w:p>
      <w:pPr>
        <w:pStyle w:val="ListParagraph"/>
        <w:numPr>
          <w:ilvl w:val="0"/>
          <w:numId w:val="1"/>
        </w:numPr>
        <w:spacing w:after="60"/>
      </w:pPr>
      <w:r>
        <w:t xml:space="preserve">Modules Annuaire, Réunions, Export/Reporting, Sondages, Boîte à suggestions construits et livrés en totalité.</w:t>
      </w:r>
    </w:p>
    <w:p>
      <w:pPr>
        <w:pStyle w:val="ListParagraph"/>
        <w:numPr>
          <w:ilvl w:val="0"/>
          <w:numId w:val="1"/>
        </w:numPr>
        <w:spacing w:after="60"/>
      </w:pPr>
      <w:r>
        <w:t xml:space="preserve">Diffusion de tâches à toute une division (mode collectif ou individuel), option Document obligatoire, pièces jointes de tâches rendues réellement fonctionnelles (le mécanisme initial n'était qu'un stub), pourcentage d'avancement manuel.</w:t>
      </w:r>
    </w:p>
    <w:p>
      <w:pPr>
        <w:pStyle w:val="ListParagraph"/>
        <w:numPr>
          <w:ilvl w:val="0"/>
          <w:numId w:val="1"/>
        </w:numPr>
        <w:spacing w:after="60"/>
      </w:pPr>
      <w:r>
        <w:t xml:space="preserve">Écran d'administration Organisation (créer/modifier/supprimer Divisions, Sections, Cellules) avec blocage explicite de suppression si des dépendances existent.</w:t>
      </w:r>
    </w:p>
    <w:p>
      <w:pPr>
        <w:pStyle w:val="ListParagraph"/>
        <w:numPr>
          <w:ilvl w:val="0"/>
          <w:numId w:val="1"/>
        </w:numPr>
        <w:spacing w:after="60"/>
      </w:pPr>
      <w:r>
        <w:t xml:space="preserve">Nouveau rôle Chef de Cellule avec unicité garantie par transaction (Cellule.chefId) ; Division/Section n'ont pas de chefId équivalent, l'unicité y est vérifiée applicativement à la nomination pour empêcher deux chefs actifs simultanés.</w:t>
      </w:r>
    </w:p>
    <w:p>
      <w:pPr>
        <w:pStyle w:val="ListParagraph"/>
        <w:numPr>
          <w:ilvl w:val="0"/>
          <w:numId w:val="1"/>
        </w:numPr>
        <w:spacing w:after="60"/>
      </w:pPr>
      <w:r>
        <w:t xml:space="preserve">Rôle Assistant de direction généralisé : rattachable au DN, à la DNA, ou à un Chef de Cellule (plus seulement DN/DNA), avec héritage de la visibilité (jamais de l'autorité) du superviseur.</w:t>
      </w:r>
    </w:p>
    <w:p>
      <w:pPr>
        <w:pStyle w:val="ListParagraph"/>
        <w:numPr>
          <w:ilvl w:val="0"/>
          <w:numId w:val="1"/>
        </w:numPr>
        <w:spacing w:after="60"/>
      </w:pPr>
      <w:r>
        <w:t xml:space="preserve">Audit corrigé pour couvrir les notifications de congés (trou identifié où les notifications prévues n'étaient jamais déclenchées).</w:t>
      </w:r>
    </w:p>
    <w:p>
      <w:pPr>
        <w:pStyle w:val="ListParagraph"/>
        <w:numPr>
          <w:ilvl w:val="0"/>
          <w:numId w:val="1"/>
        </w:numPr>
        <w:spacing w:after="60"/>
      </w:pPr>
      <w:r>
        <w:t xml:space="preserve">Correction de sécurité : la validation de ses propres tâches/congés par soi-même est explicitement bloquée (l'ancienne règle d'autorité hiérarchique laissait une faille d'auto-approbation).</w:t>
      </w:r>
    </w:p>
    <w:p>
      <w:pPr>
        <w:pStyle w:val="ListParagraph"/>
        <w:numPr>
          <w:ilvl w:val="0"/>
          <w:numId w:val="1"/>
        </w:numPr>
        <w:spacing w:after="60"/>
      </w:pPr>
      <w:r>
        <w:t xml:space="preserve">Audit et correction du principe « besoin d'en connaître » sur trois axes : espace documentaire privé de division (DN/DNA restreints à leur propre division pour le contenu privé), congé maladie (type et motif masqués sauf validateur réel désigné), soldes de congés (masqués pour un tiers).</w:t>
      </w:r>
    </w:p>
    <w:p>
      <w:pPr>
        <w:pStyle w:val="ListParagraph"/>
        <w:numPr>
          <w:ilvl w:val="0"/>
          <w:numId w:val="1"/>
        </w:numPr>
        <w:spacing w:after="60"/>
      </w:pPr>
      <w:r>
        <w:t xml:space="preserve">2FA rendu facultatif pour tous les rôles (n'est plus jamais obligatoire), tout en restant disponible en option universelle.</w:t>
      </w:r>
    </w:p>
    <w:p>
      <w:pPr>
        <w:pStyle w:val="ListParagraph"/>
        <w:numPr>
          <w:ilvl w:val="0"/>
          <w:numId w:val="1"/>
        </w:numPr>
        <w:spacing w:after="60"/>
      </w:pPr>
      <w:r>
        <w:t xml:space="preserve">Gestion de compte enrichie : suppression logique par l'admin (jamais de suppression physique), réinitialisation de mot de passe par l'admin (email ou mot de passe temporaire), mot de passe minimum abaissé à 8 caractères.</w:t>
      </w:r>
    </w:p>
    <w:p>
      <w:pPr>
        <w:pStyle w:val="ListParagraph"/>
        <w:numPr>
          <w:ilvl w:val="0"/>
          <w:numId w:val="1"/>
        </w:numPr>
        <w:spacing w:after="60"/>
      </w:pPr>
      <w:r>
        <w:t xml:space="preserve">Formulaire d'inscription enrichi : déclaration du poste actuel (filtrant dynamiquement les champs de rattachement affichés), refonte en parcours guidé à 4 étapes, correction du blocage empêchant une nouvelle inscription après le rejet d'une précédente demande sur la même adresse.</w:t>
      </w:r>
    </w:p>
    <w:p>
      <w:pPr>
        <w:pStyle w:val="ListParagraph"/>
        <w:numPr>
          <w:ilvl w:val="0"/>
          <w:numId w:val="1"/>
        </w:numPr>
        <w:spacing w:after="60"/>
      </w:pPr>
      <w:r>
        <w:t xml:space="preserve">Messages d'erreur de connexion différenciés selon l'état réel du compte (en attente d'approbation / suspendu).</w:t>
      </w:r>
    </w:p>
    <w:p>
      <w:pPr>
        <w:pStyle w:val="ListParagraph"/>
        <w:numPr>
          <w:ilvl w:val="0"/>
          <w:numId w:val="1"/>
        </w:numPr>
        <w:spacing w:after="60"/>
      </w:pPr>
      <w:r>
        <w:t xml:space="preserve">Identité visuelle : intégration du vrai logo officiel DNPEC (favicon et toutes les pages), refonte de l'écran de connexion (carte flottante, structure clarifiée), retrait de la bande tricolore sur les pages d'authentification uniquement, correctifs de responsivité mobile sur l'ensemble des écrans principaux.</w:t>
      </w:r>
    </w:p>
    <w:p>
      <w:pPr>
        <w:pStyle w:val="ListParagraph"/>
        <w:numPr>
          <w:ilvl w:val="0"/>
          <w:numId w:val="1"/>
        </w:numPr>
        <w:spacing w:after="60"/>
      </w:pPr>
      <w:r>
        <w:t xml:space="preserve">Nouveau module Dossier du personnel (D3) avec rôle DRH, séparation physique des données sensibles, import Excel, et confirmation obligatoire par la personne concernée.</w:t>
      </w:r>
    </w:p>
    <w:p>
      <w:pPr>
        <w:pStyle w:val="ListParagraph"/>
        <w:numPr>
          <w:ilvl w:val="0"/>
          <w:numId w:val="1"/>
        </w:numPr>
        <w:spacing w:after="60"/>
      </w:pPr>
      <w:r>
        <w:t xml:space="preserve">Nouveau module Décisions et actions de réunion (D2) : relevé de décisions, conversion en tâche liée, clôture automatique ou manuelle.</w:t>
      </w:r>
    </w:p>
    <w:p>
      <w:pPr>
        <w:pStyle w:val="ListParagraph"/>
        <w:numPr>
          <w:ilvl w:val="0"/>
          <w:numId w:val="1"/>
        </w:numPr>
        <w:spacing w:after="60"/>
      </w:pPr>
      <w:r>
        <w:t xml:space="preserve">Nouveau mécanisme de Suppléance et intérim (§4.10), avec emprunt d'autorité explicite par requête et traçabilité complète des actions posées au nom d'un titulaire — côté serveur uniquement à ce stade, sans écran.</w:t>
      </w:r>
    </w:p>
    <w:p>
      <w:pPr>
        <w:pStyle w:val="ListParagraph"/>
        <w:numPr>
          <w:ilvl w:val="0"/>
          <w:numId w:val="1"/>
        </w:numPr>
        <w:spacing w:after="60"/>
      </w:pPr>
      <w:r>
        <w:t xml:space="preserve">Audit des dépendances logicielles : correctif appliqué sur Multer (vulnérabilités haute sévérité liées à l'upload de fichiers) ; vulnérabilités PostCSS (Next.js) et uuid (exceljs) documentées et acceptées en l'absence de correctif sûr disponible.</w:t>
      </w:r>
    </w:p>
    <w:p>
      <w:pPr>
        <w:spacing w:after="60"/>
      </w:pPr>
      <w:r>
        <w:rPr>
          <w:b/>
          <w:bCs/>
        </w:rPr>
        <w:t xml:space="preserve">Version 2.1 — Lot A (correctifs serveur) : </w:t>
      </w:r>
    </w:p>
    <w:p>
      <w:pPr>
        <w:pStyle w:val="ListParagraph"/>
        <w:numPr>
          <w:ilvl w:val="0"/>
          <w:numId w:val="1"/>
        </w:numPr>
        <w:spacing w:after="60"/>
      </w:pPr>
      <w:r>
        <w:t xml:space="preserve">Audit possible dans une transaction (annulé avec elle) ; violation d'unicité traduite en refus explicite (409) au lieu d'une erreur technique.</w:t>
      </w:r>
    </w:p>
    <w:p>
      <w:pPr>
        <w:pStyle w:val="ListParagraph"/>
        <w:numPr>
          <w:ilvl w:val="0"/>
          <w:numId w:val="1"/>
        </w:numPr>
        <w:spacing w:after="60"/>
      </w:pPr>
      <w:r>
        <w:t xml:space="preserve">Validation d'une tâche : par son créateur, ou par un chef ayant autorité sur tous les assignés — jamais par un assigné, y compris en intérim.</w:t>
      </w:r>
    </w:p>
    <w:p>
      <w:pPr>
        <w:pStyle w:val="ListParagraph"/>
        <w:numPr>
          <w:ilvl w:val="0"/>
          <w:numId w:val="1"/>
        </w:numPr>
        <w:spacing w:after="60"/>
      </w:pPr>
      <w:r>
        <w:t xml:space="preserve">Suppléance « de rang comparable » contrôlée à la désignation et à chaque utilisation ; une suppléance existante non conforme est bloquée à l'usage sans modification des données.</w:t>
      </w:r>
    </w:p>
    <w:p>
      <w:pPr>
        <w:pStyle w:val="ListParagraph"/>
        <w:numPr>
          <w:ilvl w:val="0"/>
          <w:numId w:val="1"/>
        </w:numPr>
        <w:spacing w:after="60"/>
      </w:pPr>
      <w:r>
        <w:t xml:space="preserve">Tâche issue d'une décision rattachée à l'unité de son responsable ; double conversion refusée. Unicité des chefs de Division/Section aussi au changement de rattachement et à la réactivation.</w:t>
      </w:r>
    </w:p>
    <w:p>
      <w:pPr>
        <w:pStyle w:val="ListParagraph"/>
        <w:numPr>
          <w:ilvl w:val="0"/>
          <w:numId w:val="1"/>
        </w:numPr>
        <w:spacing w:after="60"/>
      </w:pPr>
      <w:r>
        <w:t xml:space="preserve">Un échec d'envoi d'email n'annule plus l'action ; aucun fichier orphelin en cas d'échec d'écriture ; audit des types de congés.</w:t>
      </w:r>
    </w:p>
    <w:p>
      <w:pPr>
        <w:spacing w:after="60"/>
      </w:pPr>
      <w:r>
        <w:rPr>
          <w:b/>
          <w:bCs/>
        </w:rPr>
        <w:t xml:space="preserve">Lot B (suppléance dans l’interface) : </w:t>
      </w:r>
    </w:p>
    <w:p>
      <w:pPr>
        <w:pStyle w:val="ListParagraph"/>
        <w:numPr>
          <w:ilvl w:val="0"/>
          <w:numId w:val="1"/>
        </w:numPr>
        <w:spacing w:after="60"/>
      </w:pPr>
      <w:r>
        <w:t xml:space="preserve">Jusqu'ici la suppléance (§4.10) n'avait aucun écran : page Suppléances (désigner, suivre, révoquer ; statut « non conforme — à redésigner »), sélecteur « Agir en intérim pour… » avec bandeau permanent et sortie automatique si la suppléance est révoquée, expire ou n'est plus conforme.</w:t>
      </w:r>
    </w:p>
    <w:p>
      <w:pPr>
        <w:pStyle w:val="ListParagraph"/>
        <w:numPr>
          <w:ilvl w:val="0"/>
          <w:numId w:val="1"/>
        </w:numPr>
        <w:spacing w:after="60"/>
      </w:pPr>
      <w:r>
        <w:t xml:space="preserve">« Mes tâches » et lien direct /tasks/:id ; liens des emails de notification réparés (tâche, suppléance, message, annonce, congé).</w:t>
      </w:r>
    </w:p>
    <w:p>
      <w:pPr>
        <w:pStyle w:val="ListParagraph"/>
        <w:numPr>
          <w:ilvl w:val="0"/>
          <w:numId w:val="1"/>
        </w:numPr>
        <w:spacing w:after="60"/>
      </w:pPr>
      <w:r>
        <w:t xml:space="preserve">Rôle DRH attribuable par l'administrateur à la création et à l'approbation, jamais déclarable à l'auto-inscription.</w:t>
      </w:r>
    </w:p>
    <w:p>
      <w:pPr>
        <w:spacing w:after="60"/>
      </w:pPr>
      <w:r>
        <w:rPr>
          <w:b/>
          <w:bCs/>
        </w:rPr>
        <w:t xml:space="preserve">Lot C (module Courrier et actes, D7 — §4.11) : </w:t>
      </w:r>
    </w:p>
    <w:p>
      <w:pPr>
        <w:pStyle w:val="ListParagraph"/>
        <w:numPr>
          <w:ilvl w:val="0"/>
          <w:numId w:val="1"/>
        </w:numPr>
        <w:spacing w:after="60"/>
      </w:pPr>
      <w:r>
        <w:t xml:space="preserve">Registres, numérotation sans trou garantie en base, arrivées, imputations et sous-imputations, accès délégués, départs et actes avec circuit de visa, signature et expédition, rappels d'échéance, export Excel ; écrans Courrier et Administration → Courrier, carte du tableau de bord.</w:t>
      </w:r>
    </w:p>
    <w:p>
      <w:pPr>
        <w:pStyle w:val="ListParagraph"/>
        <w:numPr>
          <w:ilvl w:val="0"/>
          <w:numId w:val="1"/>
        </w:numPr>
        <w:spacing w:after="60"/>
      </w:pPr>
      <w:r>
        <w:t xml:space="preserve">Décisions de la Direction : l'administrateur système n'est jamais imputé, sous-imputé ni délégataire, mais peut recevoir un pli personnel, être bénéficiaire et rédiger ses propres actes ; contrôle des dates avec dérogation motivée.</w:t>
      </w:r>
    </w:p>
    <w:p>
      <w:pPr>
        <w:pStyle w:val="ListParagraph"/>
        <w:numPr>
          <w:ilvl w:val="0"/>
          <w:numId w:val="1"/>
        </w:numPr>
        <w:spacing w:after="60"/>
      </w:pPr>
      <w:r>
        <w:t xml:space="preserve">Le script de données de référence ne modifie plus jamais une cellule existante (il ne crée que les cellules officielles manquantes).</w:t>
      </w:r>
    </w:p>
    <w:p>
      <w:pPr>
        <w:spacing w:after="60"/>
      </w:pPr>
      <w:r>
        <w:rPr>
          <w:b/>
          <w:bCs/>
        </w:rPr>
        <w:t xml:space="preserve">Lot E (changement de rôle — §3.2) : </w:t>
      </w:r>
    </w:p>
    <w:p>
      <w:pPr>
        <w:pStyle w:val="ListParagraph"/>
        <w:numPr>
          <w:ilvl w:val="0"/>
          <w:numId w:val="1"/>
        </w:numPr>
        <w:spacing w:after="60"/>
      </w:pPr>
      <w:r>
        <w:t xml:space="preserve">Changement de rôle d'un compte existant par l'administrateur système (aperçu puis confirmation, motif obligatoire) ; nomination et retrait d'un Chef de Cellule par le même mécanisme ; décisions de la Direction détaillées au §3.2 (unicité DN/DNA et chefs, suppléances non conformes révoquées, assistants à réaffecter, habilitations conservées, sessions fermées, DRH notifiés).</w:t>
      </w:r>
    </w:p>
    <w:p>
      <w:pPr>
        <w:pStyle w:val="ListParagraph"/>
        <w:numPr>
          <w:ilvl w:val="0"/>
          <w:numId w:val="1"/>
        </w:numPr>
        <w:spacing w:after="60"/>
      </w:pPr>
      <w:r>
        <w:t xml:space="preserve">Correction générale : un accès délégué au courrier n'est valable que tant que la personne qui l'a ouvert garde elle-même le droit d'accès, vérifié à chaque lecture.</w:t>
      </w:r>
    </w:p>
    <w:p>
      <w:pPr>
        <w:spacing w:after="60"/>
      </w:pPr>
      <w:r>
        <w:rPr>
          <w:b/>
          <w:bCs/>
        </w:rPr>
        <w:t xml:space="preserve">Lot D (écrans D2 et D3) : </w:t>
      </w:r>
    </w:p>
    <w:p>
      <w:pPr>
        <w:pStyle w:val="ListParagraph"/>
        <w:numPr>
          <w:ilvl w:val="0"/>
          <w:numId w:val="1"/>
        </w:numPr>
        <w:spacing w:after="60"/>
      </w:pPr>
      <w:r>
        <w:t xml:space="preserve">Jusqu'ici les décisions de réunion (D2) et le dossier du personnel (D3) n'existaient que côté serveur, sans écran, et le lien /personnel/:id des emails menait à une page inexistante.</w:t>
      </w:r>
    </w:p>
    <w:p>
      <w:pPr>
        <w:pStyle w:val="ListParagraph"/>
        <w:numPr>
          <w:ilvl w:val="0"/>
          <w:numId w:val="1"/>
        </w:numPr>
        <w:spacing w:after="60"/>
      </w:pPr>
      <w:r>
        <w:t xml:space="preserve">D2 : relevé de décisions dans le détail d'une réunion (ajout, modification, conversion en tâche, clôture, relance, lien vers la tâche).</w:t>
      </w:r>
    </w:p>
    <w:p>
      <w:pPr>
        <w:pStyle w:val="ListParagraph"/>
        <w:numPr>
          <w:ilvl w:val="0"/>
          <w:numId w:val="1"/>
        </w:numPr>
        <w:spacing w:after="60"/>
      </w:pPr>
      <w:r>
        <w:t xml:space="preserve">D3 : pages Dossier du personnel et dossier par personne (§4.9) ; niveau 2 jamais transmis à un chef ni au DN/DNA, vérifié jusque dans les réponses reçues par leur navigateur.</w:t>
      </w:r>
    </w:p>
    <w:p>
      <w:pPr>
        <w:pStyle w:val="ListParagraph"/>
        <w:numPr>
          <w:ilvl w:val="0"/>
          <w:numId w:val="1"/>
        </w:numPr>
        <w:spacing w:after="60"/>
      </w:pPr>
      <w:r>
        <w:t xml:space="preserve">L'import Excel ne crée plus que des comptes de Chargé d'Études, avec les contrôles de la création manuelle (auparavant, n'importe quel rôle sans contrôle d'unicité ni de rattachement). Correction : modifier le contact d'urgence le repasse bien « à vérifier ».</w:t>
      </w:r>
    </w:p>
    <w:p>
      <w:pPr>
        <w:spacing w:after="60"/>
      </w:pPr>
      <w:r>
        <w:rPr>
          <w:b/>
          <w:bCs/>
        </w:rPr>
        <w:t xml:space="preserve">Lot F (finitions) : </w:t>
      </w:r>
    </w:p>
    <w:p>
      <w:pPr>
        <w:pStyle w:val="ListParagraph"/>
        <w:numPr>
          <w:ilvl w:val="0"/>
          <w:numId w:val="1"/>
        </w:numPr>
        <w:spacing w:after="60"/>
      </w:pPr>
      <w:r>
        <w:t xml:space="preserve">Cloche de notifications in-app (non lues, liste, marquage, ouverture de l'élément lié) ; le compteur ne double plus (copie email exclue).</w:t>
      </w:r>
    </w:p>
    <w:p>
      <w:pPr>
        <w:pStyle w:val="ListParagraph"/>
        <w:numPr>
          <w:ilvl w:val="0"/>
          <w:numId w:val="1"/>
        </w:numPr>
        <w:spacing w:after="60"/>
      </w:pPr>
      <w:r>
        <w:t xml:space="preserve">Retour à la page visée après (re)connexion depuis un lien d'email ; erreurs de chargement affichées avec « Réessayer » au lieu d'un chargement sans fin.</w:t>
      </w:r>
    </w:p>
    <w:p>
      <w:pPr>
        <w:pStyle w:val="ListParagraph"/>
        <w:numPr>
          <w:ilvl w:val="0"/>
          <w:numId w:val="1"/>
        </w:numPr>
        <w:spacing w:after="60"/>
      </w:pPr>
      <w:r>
        <w:t xml:space="preserve">Cahier des charges v2.1 et renvois de section du code alignés sur cette numérotation.</w:t>
      </w:r>
    </w:p>
    <w:p>
      <w:pPr>
        <w:spacing w:after="60"/>
      </w:pPr>
      <w:r>
        <w:rPr>
          <w:b/>
          <w:bCs/>
        </w:rPr>
        <w:t xml:space="preserve">Version 2.2 — D6 (rotation des stagiaires — §4.12) : </w:t>
      </w:r>
    </w:p>
    <w:p>
      <w:pPr>
        <w:pStyle w:val="ListParagraph"/>
        <w:numPr>
          <w:ilvl w:val="0"/>
          <w:numId w:val="1"/>
        </w:numPr>
        <w:spacing w:after="60"/>
      </w:pPr>
      <w:r>
        <w:t xml:space="preserve">Nouveau rôle Stagiaire intégré partout où les rôles sont énumérés ; aucun droit par défaut : chaque route du serveur lui est fermée sauf liste blanche (ses tâches, messagerie, annonces, dossier, stage), vérifié sur l'ensemble des routes.</w:t>
      </w:r>
    </w:p>
    <w:p>
      <w:pPr>
        <w:pStyle w:val="ListParagraph"/>
        <w:numPr>
          <w:ilvl w:val="0"/>
          <w:numId w:val="1"/>
        </w:numPr>
        <w:spacing w:after="60"/>
      </w:pPr>
      <w:r>
        <w:t xml:space="preserve">Décisions de la Direction : plan construit par le DRH, accepté ou refusé par chaque responsable d'unité qui désigne le tuteur ; changement d'unité automatique à la date prévue, inscrit dans l'historique de carrière ; format d'évaluation choisi par le DRH pour chaque période (grille de quatre critères et appréciation, texte libre, ou aucune), modifiable par le tuteur tant qu'elle n'est pas commencée ; rédaction par le tuteur, visa du chef, visible du stagiaire une fois visée.</w:t>
      </w:r>
    </w:p>
    <w:p>
      <w:pPr>
        <w:pStyle w:val="ListParagraph"/>
        <w:numPr>
          <w:ilvl w:val="0"/>
          <w:numId w:val="1"/>
        </w:numPr>
        <w:spacing w:after="60"/>
      </w:pPr>
      <w:r>
        <w:t xml:space="preserve">Décisions de la Direction (attestation) : version finale = acte du Courrier (registre d'attestations, numéroté, signé par DN/DNA, stagiaire bénéficiaire avec prise de connaissance) ; version provisoire non signée et sans numéro ; modèle Word ou PDF à champs importable, champs affichés à l'import, nom toujours tiré du compte à jour.</w:t>
      </w:r>
    </w:p>
    <w:p>
      <w:pPr>
        <w:pStyle w:val="ListParagraph"/>
        <w:numPr>
          <w:ilvl w:val="0"/>
          <w:numId w:val="1"/>
        </w:numPr>
        <w:spacing w:after="60"/>
      </w:pPr>
      <w:r>
        <w:t xml:space="preserve">Décision de la Direction : capacité maximale de stagiaires simultanés par unité, fixée par le DRH, bloquante à la création ou au déplacement d'une période. Données personnelles au niveau 2 du dossier du personnel.</w:t>
      </w:r>
    </w:p>
    <w:p>
      <w:pPr>
        <w:pStyle w:val="ListParagraph"/>
        <w:numPr>
          <w:ilvl w:val="0"/>
          <w:numId w:val="1"/>
        </w:numPr>
        <w:spacing w:after="60"/>
      </w:pPr>
      <w:r>
        <w:t xml:space="preserve">Choix techniques : la prise de connaissance de l'attestation se fait depuis la page du stage (le stagiaire n'a pas accès au Courrier) ; seuls les registres d'actes de la Direction actifs sont proposés pour l'attestation.</w:t>
      </w:r>
    </w:p>
    <w:p>
      <w:pPr>
        <w:spacing w:after="60"/>
      </w:pPr>
      <w:r>
        <w:rPr>
          <w:b/>
          <w:bCs/>
        </w:rPr>
        <w:t xml:space="preserve">D9 (logistique — §4.13) : </w:t>
      </w:r>
    </w:p>
    <w:p>
      <w:pPr>
        <w:pStyle w:val="ListParagraph"/>
        <w:numPr>
          <w:ilvl w:val="0"/>
          <w:numId w:val="1"/>
        </w:numPr>
        <w:spacing w:after="60"/>
      </w:pPr>
      <w:r>
        <w:t xml:space="preserve">Décisions de la Direction : gestionnaire logistique = habilitation attribuable par l'administrateur à n'importe quelle personne, sans nouveau rôle ; réglage « validation du chef requise » par catégorie ; pas d'auto-validation ; inventaire sans montant, numéro sans trou, historique jamais supprimé ; suivi de stock par article (stock jamais négatif, alerte sous le seuil) ; réservation des salles et du matériel de présentation, mode par ressource, liée aux réunions, avec priorité hiérarchique auditée et notifiée, jamais entre pairs ni vers le haut ; le DN et la DNA sont traités comme des pairs (aucun ne prend le créneau de l'autre) et gardent tous deux la priorité sur le reste de la DNPEC (décision de la Direction après la première livraison, qui laissait le DN prendre le créneau de la DNA).</w:t>
      </w:r>
    </w:p>
    <w:p>
      <w:pPr>
        <w:pStyle w:val="ListParagraph"/>
        <w:numPr>
          <w:ilvl w:val="0"/>
          <w:numId w:val="1"/>
        </w:numPr>
        <w:spacing w:after="60"/>
      </w:pPr>
      <w:r>
        <w:t xml:space="preserve">Choix techniques : un stagiaire ne peut pas être gestionnaire (validé par la Direction) ; l'habilitation ne se transmet pas en intérim ; la demande va au chef le plus proche (DN/DNA seulement à défaut) ; une réservation prise en priorité est confirmée d'emblée, même sur une ressource à validation (validé par la Direction) ; un créneau en attente de validation est tenu ; un créneau dure au plus 7 jours ; une salle réservée pour une réunion se libère en annulant la réunion.</w:t>
      </w:r>
    </w:p>
    <w:p>
      <w:pPr>
        <w:spacing w:after="60"/>
      </w:pPr>
      <w:r>
        <w:rPr>
          <w:b/>
          <w:bCs/>
        </w:rPr>
        <w:t xml:space="preserve">Version 2.3 — Lot G (pérennisation) : </w:t>
      </w:r>
    </w:p>
    <w:p>
      <w:pPr>
        <w:pStyle w:val="ListParagraph"/>
        <w:numPr>
          <w:ilvl w:val="0"/>
          <w:numId w:val="1"/>
        </w:numPr>
        <w:spacing w:after="60"/>
      </w:pPr>
      <w:r>
        <w:t xml:space="preserve">Paramétrage initial de la production par script, en création seule, sans compte de test : l'acteur est « Système » ; les réglages des stages (capacités, modèle d'attestation) deviennent modifiables par le DRH et par l'administrateur système, qui n'accède jamais au contenu des stages.</w:t>
      </w:r>
    </w:p>
    <w:p>
      <w:pPr>
        <w:pStyle w:val="ListParagraph"/>
        <w:numPr>
          <w:ilvl w:val="0"/>
          <w:numId w:val="1"/>
        </w:numPr>
        <w:spacing w:after="60"/>
      </w:pPr>
      <w:r>
        <w:t xml:space="preserve">Suite de tests de bout en bout versionnée dans le dépôt (plus de 1 500 contrôles : API, navigateur sur ordinateur et mobile, cas refusés) et exécutée automatiquement sur chaque pull request, sur une base jetable ; elle refuse de tourner sur une base autre que locale.</w:t>
      </w:r>
    </w:p>
    <w:p>
      <w:pPr>
        <w:pStyle w:val="ListParagraph"/>
        <w:numPr>
          <w:ilvl w:val="0"/>
          <w:numId w:val="1"/>
        </w:numPr>
        <w:spacing w:after="60"/>
      </w:pPr>
      <w:r>
        <w:t xml:space="preserve">Double authentification : écran « Sécurité du compte » pour l'activer et la désactiver soi-même ; reconfiguration refusée quand elle est active ; désactivation soumise à un code valide ; réinitialisation par l'administrateur (jamais sur soi-même), sessions fermées, auditée. Correction : après une connexion avec code, l'utilisateur arrive sur la page qu'il visait.</w:t>
      </w:r>
    </w:p>
    <w:p>
      <w:pPr>
        <w:pStyle w:val="ListParagraph"/>
        <w:numPr>
          <w:ilvl w:val="0"/>
          <w:numId w:val="1"/>
        </w:numPr>
        <w:spacing w:after="60"/>
      </w:pPr>
      <w:r>
        <w:t xml:space="preserve">Aide en ligne par profil (§4.14), profils déterminés par le serveur à partir du rôle propre et des habilitations personnelles ; guide PDF équivalent.</w:t>
      </w:r>
    </w:p>
    <w:p>
      <w:pPr>
        <w:pStyle w:val="ListParagraph"/>
        <w:numPr>
          <w:ilvl w:val="0"/>
          <w:numId w:val="1"/>
        </w:numPr>
        <w:spacing w:after="60"/>
      </w:pPr>
      <w:r>
        <w:t xml:space="preserve">Failles de dépendances : PostCSS (via Next.js) et uuid (via exceljs) corrigées par surcharge de version ; Next.js mis à jour dans sa version 15 ; aucune faille connue restante.</w:t>
      </w:r>
    </w:p>
    <w:p>
      <w:pPr>
        <w:pStyle w:val="ListParagraph"/>
        <w:numPr>
          <w:ilvl w:val="0"/>
          <w:numId w:val="1"/>
        </w:numPr>
        <w:spacing w:after="60"/>
      </w:pPr>
      <w:r>
        <w:t xml:space="preserve">Guide d'exploitation en langage simple : sauvegardes, procédure de mise à jour, pannes, rotation des secrets, ajout d'un administrateur.</w:t>
      </w:r>
    </w:p>
    <w:p>
      <w:pPr>
        <w:spacing w:before="600"/>
      </w:pPr>
      <w:r>
        <w:rPr>
          <w:i/>
          <w:iCs/>
          <w:color w:val="888888"/>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2026-09-23T10:37:10.799Z</dcterms:created>
  <dcterms:modified xsi:type="dcterms:W3CDTF">2026-09-23T10:37:10.809Z</dcterms:modified>
</cp:coreProperties>
</file>

<file path=docProps/custom.xml><?xml version="1.0" encoding="utf-8"?>
<Properties xmlns="http://schemas.openxmlformats.org/officeDocument/2006/custom-properties" xmlns:vt="http://schemas.openxmlformats.org/officeDocument/2006/docPropsVTypes"/>
</file>