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2.7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r>
        <w:tc>
          <w:tcPr>
            <w:tcW w:type="dxa" w:w="1200"/>
            <w:vAlign w:val="center"/>
          </w:tcPr>
          <w:p>
            <w:r>
              <w:rPr>
                <w:sz w:val="20"/>
                <w:szCs w:val="20"/>
              </w:rPr>
              <w:t xml:space="preserve">2.3</w:t>
            </w:r>
          </w:p>
        </w:tc>
        <w:tc>
          <w:tcPr>
            <w:tcW w:type="dxa" w:w="1500"/>
            <w:vAlign w:val="center"/>
          </w:tcPr>
          <w:p>
            <w:r>
              <w:rPr>
                <w:sz w:val="20"/>
                <w:szCs w:val="20"/>
              </w:rPr>
              <w:t xml:space="preserve">25/09/2026</w:t>
            </w:r>
          </w:p>
        </w:tc>
        <w:tc>
          <w:tcPr>
            <w:tcW w:type="dxa" w:w="6650"/>
            <w:vAlign w:val="center"/>
          </w:tcPr>
          <w:p>
            <w:r>
              <w:rPr>
                <w:sz w:val="20"/>
                <w:szCs w:val="20"/>
              </w:rPr>
              <w:t xml:space="preserve">Lot G « Pérennisation » : suite de tests de bout en bout dans le dépôt, exécutée automatiquement sur chaque pull request ; double authentification gérable à l'écran et réinitialisable par l'administrateur ; aide en ligne par profil (§4.14) ; paramétrage initial par script ; failles de dépendances corrigées ; guide d'exploitation. Annexe B complétée.</w:t>
            </w:r>
          </w:p>
        </w:tc>
      </w:tr>
      <w:tr>
        <w:tc>
          <w:tcPr>
            <w:tcW w:type="dxa" w:w="1200"/>
            <w:vAlign w:val="center"/>
          </w:tcPr>
          <w:p>
            <w:r>
              <w:rPr>
                <w:sz w:val="20"/>
                <w:szCs w:val="20"/>
              </w:rPr>
              <w:t xml:space="preserve">2.4</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N1 (§4.15) : organigramme modifiable (unités, fermeture datée, historique), agent distinct du compte (matricule, cycle de vie, fins de stage et de contrat), rôles fonctionnels distincts de la position, refus d'accès journalisés, conventions d'API v1. Annexe B complétée.</w:t>
            </w:r>
          </w:p>
        </w:tc>
      </w:tr>
      <w:tr>
        <w:tc>
          <w:tcPr>
            <w:tcW w:type="dxa" w:w="1200"/>
            <w:vAlign w:val="center"/>
          </w:tcPr>
          <w:p>
            <w:r>
              <w:rPr>
                <w:sz w:val="20"/>
                <w:szCs w:val="20"/>
              </w:rPr>
              <w:t xml:space="preserve">2.5</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N2 (§4.16) : réauthentification avant un élément protégé, journal d'audit inaltérable et vérifiable, journal des connexions conservé 12 mois, écran « Paramétrage et supervision », aucun compte sans agent garanti par la base. Annexe B complétée.</w:t>
            </w:r>
          </w:p>
        </w:tc>
      </w:tr>
      <w:tr>
        <w:tc>
          <w:tcPr>
            <w:tcW w:type="dxa" w:w="1200"/>
            <w:vAlign w:val="center"/>
          </w:tcPr>
          <w:p>
            <w:r>
              <w:rPr>
                <w:sz w:val="20"/>
                <w:szCs w:val="20"/>
              </w:rPr>
              <w:t xml:space="preserve">2.6</w:t>
            </w:r>
          </w:p>
        </w:tc>
        <w:tc>
          <w:tcPr>
            <w:tcW w:type="dxa" w:w="1500"/>
            <w:vAlign w:val="center"/>
          </w:tcPr>
          <w:p>
            <w:r>
              <w:rPr>
                <w:sz w:val="20"/>
                <w:szCs w:val="20"/>
              </w:rPr>
              <w:t xml:space="preserve">30/09/2026</w:t>
            </w:r>
          </w:p>
        </w:tc>
        <w:tc>
          <w:tcPr>
            <w:tcW w:type="dxa" w:w="6650"/>
            <w:vAlign w:val="center"/>
          </w:tcPr>
          <w:p>
            <w:r>
              <w:rPr>
                <w:sz w:val="20"/>
                <w:szCs w:val="20"/>
              </w:rPr>
              <w:t xml:space="preserve">Socle NIMBA, lot N3 (§4.17) : congés à avis du chef puis décision du DRH (avis tacite après 48 heures ouvrées), type et motif médical vus du chef qui donne l'avis et du DRH (certificat au DRH seul), jours fériés exclus des délais et du décompte, avancement des tâches calculé, encadreur principal et rapport de stage, messages directs conservés 3 ans. §2.2, §4.4 et §4.12 mis à jour ; Annexe B complétée.</w:t>
            </w:r>
          </w:p>
        </w:tc>
      </w:tr>
      <w:tr>
        <w:tc>
          <w:tcPr>
            <w:tcW w:type="dxa" w:w="1200"/>
            <w:vAlign w:val="center"/>
          </w:tcPr>
          <w:p>
            <w:r>
              <w:rPr>
                <w:sz w:val="20"/>
                <w:szCs w:val="20"/>
              </w:rPr>
              <w:t xml:space="preserve">2.7</w:t>
            </w:r>
          </w:p>
        </w:tc>
        <w:tc>
          <w:tcPr>
            <w:tcW w:type="dxa" w:w="1500"/>
            <w:vAlign w:val="center"/>
          </w:tcPr>
          <w:p>
            <w:r>
              <w:rPr>
                <w:sz w:val="20"/>
                <w:szCs w:val="20"/>
              </w:rPr>
              <w:t xml:space="preserve">01/10/2026</w:t>
            </w:r>
          </w:p>
        </w:tc>
        <w:tc>
          <w:tcPr>
            <w:tcW w:type="dxa" w:w="6650"/>
            <w:vAlign w:val="center"/>
          </w:tcPr>
          <w:p>
            <w:r>
              <w:rPr>
                <w:sz w:val="20"/>
                <w:szCs w:val="20"/>
              </w:rPr>
              <w:t xml:space="preserve">Socle NIMBA, lot N4 (§4.18) : statut de diffusion Brouillon → Validé → Diffusable et mention sur tout fichier exporté, métadonnées obligatoires et lien vers l'objet d'origine dans la GED, documents générés (attestation de travail, ordre de mission, rapport d'activité ; attestation de stage sur le même modèle). §4.3 mis à jour ; Annexe B complétée.</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la nature et le motif d'un congé maladie (réservés au demandeur, au chef qui donne son avis et au DRH, qui confirment leur identité avant de lire le motif ; le certificat médical au demandeur et au DRH seuls ; les autres responsables, DN et DNA compris, voient « Absence — motif protégé » et ses dates, jamais sa nature médicale),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la désactiver lui-même à tout moment, depuis l'écran « Sécurité du compte » (cadenas en bas du menu) : QR code ou clé à saisir dans l'application d'authentification, activation confirmée par un premier code, désactivation qui exige un code valide.</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Téléphone perdu : l'administrateur système réinitialise la double authentification d'un compte (jamais du sien) depuis Utilisateurs ; les sessions de la personne sont fermées et l'opération est tracée au journal d'audit.</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calculé, jamais saisi : part des sous-tâches terminées, ou à défaut selon le statut (à faire 0 %, en cours 50 %, soumise 90 %, terminée ou validée 100 %).</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ListParagraph"/>
        <w:numPr>
          <w:ilvl w:val="0"/>
          <w:numId w:val="1"/>
        </w:numPr>
        <w:spacing w:after="60"/>
      </w:pPr>
      <w:r>
        <w:t xml:space="preserve">Métadonnées obligatoires au dépôt (lot N4, §4.18) : type (étude, rapport, note technique, procès-verbal, acte, RPEF, note de conjoncture, autre), date du document, période couverte ; unité productrice et auteur repris du dépôt. Filtres par type et par statut.</w:t>
      </w:r>
    </w:p>
    <w:p>
      <w:pPr>
        <w:pStyle w:val="ListParagraph"/>
        <w:numPr>
          <w:ilvl w:val="0"/>
          <w:numId w:val="1"/>
        </w:numPr>
        <w:spacing w:after="60"/>
      </w:pPr>
      <w:r>
        <w:t xml:space="preserve">Lien vers la tâche ou la réunion dont le document est issu, avec dépôt direct depuis la fiche de la tâche ou de la réunion ; le titre de l'objet d'origine n'est montré qu'à qui peut le voir.</w:t>
      </w:r>
    </w:p>
    <w:p>
      <w:pPr>
        <w:pStyle w:val="ListParagraph"/>
        <w:numPr>
          <w:ilvl w:val="0"/>
          <w:numId w:val="1"/>
        </w:numPr>
        <w:spacing w:after="60"/>
      </w:pPr>
      <w:r>
        <w:t xml:space="preserve">Statut de diffusion : Brouillon, Validé (chef de l'unité productrice — chef de division, ou chef de cellule pour un document produit par une cellule rattachée à la Direction (SAF, RH, CSID, CTSCM, CNC) —, DN et DNA en recours ; document « Final » aux métadonnées complètes), Diffusable (DN, DNA) ; retrait motivé ; une nouvelle version ramène le document au statut Brouillon. Tout fichier téléchargé porte la mention de son statut.</w:t>
      </w:r>
    </w:p>
    <w:p>
      <w:pPr>
        <w:pStyle w:val="ListParagraph"/>
        <w:numPr>
          <w:ilvl w:val="0"/>
          <w:numId w:val="1"/>
        </w:numPr>
        <w:spacing w:after="60"/>
      </w:pPr>
      <w:r>
        <w:t xml:space="preserve">Espaces documentaires : un par division et un par cellule rattachée à la Direction ; le contenu privé n'est lu que par les membres de l'unité (besoin d'en connaître, §2.2). Un chef de division ne valide pas un document de cellule.</w:t>
      </w:r>
    </w:p>
    <w:p>
      <w:pPr>
        <w:pStyle w:val="Heading2"/>
        <w:spacing w:after="150" w:before="300"/>
      </w:pPr>
      <w:r>
        <w:t xml:space="preserve">4.4 Module — Congés et absences</w:t>
      </w:r>
    </w:p>
    <w:p>
      <w:pPr>
        <w:spacing w:after="120"/>
      </w:pPr>
      <w:r>
        <w:rPr>
          <w:i/>
          <w:iCs/>
          <w:color w:val="444444"/>
        </w:rPr>
        <w:t xml:space="preserve">Demande, avis du chef d'unité, décision du DRH,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Circuit (lot N3, §4.17) : le chef d'unité le plus proche donne un avis favorable ou défavorable (motivé) dans un délai de 48 heures ouvrées (hors week-ends et jours fériés), paramétrable de 12 à 120 ; il est rappelé 12 heures ouvrées avant l'échéance ; sans avis dans le délai, l'avis est réputé favorable. Le DRH décide ensuite (approbation, ou refus motivé) ; la demande d'un DRH est décidée par le DN ou la DNA.</w:t>
      </w:r>
    </w:p>
    <w:p>
      <w:pPr>
        <w:pStyle w:val="ListParagraph"/>
        <w:numPr>
          <w:ilvl w:val="0"/>
          <w:numId w:val="1"/>
        </w:numPr>
        <w:spacing w:after="60"/>
      </w:pPr>
      <w:r>
        <w:t xml:space="preserve">Écran : « Mes congés », « À traiter » (avis ou décision attendus de soi) et « Suivi » (demandes de son périmètre, en lecture) ; le circuit, l'étape et l'échéance sont affichés sur chaque demande.</w:t>
      </w:r>
    </w:p>
    <w:p>
      <w:pPr>
        <w:pStyle w:val="ListParagraph"/>
        <w:numPr>
          <w:ilvl w:val="0"/>
          <w:numId w:val="1"/>
        </w:numPr>
        <w:spacing w:after="60"/>
      </w:pPr>
      <w:r>
        <w:t xml:space="preserve">Pour un congé maladie : le demandeur, le chef qui donne son avis et le DRH en voient le type, les dates et la durée ; le motif ne leur est affiché qu'après confirmation de leur identité, et chaque lecture est tracée. Le certificat médical, joint par le demandeur, n'est lisible que par lui et par le DRH (après confirmation d'identité). Le DN, la DNA et les autres responsables voient « Absence — motif protégé » et les dates.</w:t>
      </w:r>
    </w:p>
    <w:p>
      <w:pPr>
        <w:pStyle w:val="ListParagraph"/>
        <w:numPr>
          <w:ilvl w:val="0"/>
          <w:numId w:val="1"/>
        </w:numPr>
        <w:spacing w:after="60"/>
      </w:pPr>
      <w:r>
        <w:t xml:space="preserve">Jours fériés (lot N3) : calendrier saisi à l'écran, année par année, par l'administrateur système ou le DRH (fêtes fixes pré-remplies, fêtes religieuses à saisir chaque année, dates modifiables). Ils sont exclus du délai d'avis et du décompte des jours de congé (jours calendaires moins les jours fériés).</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Encadreur principal (lot N3) : désigné par le DRH parmi les tuteurs du plan, il suit le stagiaire sur toute la durée du stage. Le stagiaire dépose son rapport pendant le stage ou à sa fin ; l'encadreur le valide ou demande une reprise motivée ; le stagiaire, l'encadreur et le DRH seuls peuvent le télécharger. Une fois validé, le DRH en est informé pour préparer l'attestation.</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2"/>
        <w:spacing w:after="150" w:before="300"/>
      </w:pPr>
      <w:r>
        <w:t xml:space="preserve">4.14 Aide en ligne</w:t>
      </w:r>
    </w:p>
    <w:p>
      <w:pPr>
        <w:spacing w:after="120"/>
      </w:pPr>
      <w:r>
        <w:rPr>
          <w:i/>
          <w:iCs/>
          <w:color w:val="444444"/>
        </w:rPr>
        <w:t xml:space="preserve">Guides d'utilisation en français simple, intégrés à l'application et exportés en PDF.</w:t>
      </w:r>
    </w:p>
    <w:p>
      <w:pPr>
        <w:spacing w:after="60"/>
      </w:pPr>
      <w:r>
        <w:rPr>
          <w:b/>
          <w:bCs/>
        </w:rPr>
        <w:t xml:space="preserve">Fonctionnalités : </w:t>
      </w:r>
    </w:p>
    <w:p>
      <w:pPr>
        <w:pStyle w:val="ListParagraph"/>
        <w:numPr>
          <w:ilvl w:val="0"/>
          <w:numId w:val="1"/>
        </w:numPr>
        <w:spacing w:after="60"/>
      </w:pPr>
      <w:r>
        <w:t xml:space="preserve">Page « Aide » accessible à tous depuis le menu, stagiaires compris.</w:t>
      </w:r>
    </w:p>
    <w:p>
      <w:pPr>
        <w:pStyle w:val="ListParagraph"/>
        <w:numPr>
          <w:ilvl w:val="0"/>
          <w:numId w:val="1"/>
        </w:numPr>
        <w:spacing w:after="60"/>
      </w:pPr>
      <w:r>
        <w:t xml:space="preserve">Un guide par profil : Chargé d'Études, Chef de Section, Chef de Division ou de Cellule, DN/DNA, Assistant de direction, secrétariat courrier, DRH, gestionnaire logistique, Stagiaire, Administrateur système, plus des « Premiers pas » communs.</w:t>
      </w:r>
    </w:p>
    <w:p>
      <w:pPr>
        <w:pStyle w:val="ListParagraph"/>
        <w:numPr>
          <w:ilvl w:val="0"/>
          <w:numId w:val="1"/>
        </w:numPr>
        <w:spacing w:after="60"/>
      </w:pPr>
      <w:r>
        <w:t xml:space="preserve">Chacun ne voit que les guides de son profil : son rôle propre (jamais celui emprunté en intérim) et ses habilitations personnelles (secrétariat courrier, gestionnaire logistique), déterminés par le serveur.</w:t>
      </w:r>
    </w:p>
    <w:p>
      <w:pPr>
        <w:pStyle w:val="ListParagraph"/>
        <w:numPr>
          <w:ilvl w:val="0"/>
          <w:numId w:val="1"/>
        </w:numPr>
        <w:spacing w:after="60"/>
      </w:pPr>
      <w:r>
        <w:t xml:space="preserve">Étapes illustrées de captures d'écran de l'application ; le même contenu est fourni en PDF imprimable (docs/Guide_utilisateur_SI_DNPEC.pdf).</w:t>
      </w:r>
    </w:p>
    <w:p>
      <w:pPr>
        <w:pStyle w:val="Heading2"/>
        <w:spacing w:after="150" w:before="300"/>
      </w:pPr>
      <w:r>
        <w:t xml:space="preserve">4.15 Socle NIMBA — organigramme, agents et rôles fonctionnels (lot N1)</w:t>
      </w:r>
    </w:p>
    <w:p>
      <w:pPr>
        <w:spacing w:after="120"/>
      </w:pPr>
      <w:r>
        <w:rPr>
          <w:i/>
          <w:iCs/>
          <w:color w:val="444444"/>
        </w:rPr>
        <w:t xml:space="preserve">Premier lot du socle défini par le cahier des charges NIMBA v2.2 (Partie 0, Partie A, annexes 1 à 4). Les modules existants continuent de fonctionner à l'identique ; ils passeront sur ce socle au fil des lots suivants.</w:t>
      </w:r>
    </w:p>
    <w:p>
      <w:pPr>
        <w:spacing w:after="60"/>
      </w:pPr>
      <w:r>
        <w:rPr>
          <w:b/>
          <w:bCs/>
        </w:rPr>
        <w:t xml:space="preserve">Organigramme (Personnel → Organisation) : </w:t>
      </w:r>
    </w:p>
    <w:p>
      <w:pPr>
        <w:pStyle w:val="ListParagraph"/>
        <w:numPr>
          <w:ilvl w:val="0"/>
          <w:numId w:val="1"/>
        </w:numPr>
        <w:spacing w:after="60"/>
      </w:pPr>
      <w:r>
        <w:t xml:space="preserve">Lisible par tous : Direction, divisions, sections, cellules et instances, avec le responsable, l'éventuel suppléant en cours et l'effectif de chaque unité.</w:t>
      </w:r>
    </w:p>
    <w:p>
      <w:pPr>
        <w:pStyle w:val="ListParagraph"/>
        <w:numPr>
          <w:ilvl w:val="0"/>
          <w:numId w:val="1"/>
        </w:numPr>
        <w:spacing w:after="60"/>
      </w:pPr>
      <w:r>
        <w:t xml:space="preserve">Tenu par le DRH et l'administrateur système : création d'une sous-unité (Direction → division, cellule ou instance ; division → section), modification du code et du libellé (cellule ⇄ instance possible), fermeture datée avec motif, refusée tant qu'un agent, un compte ou une sous-unité ouverte y reste rattaché. Chaque changement est inscrit à l'historique de l'unité (auteur, date, avant/après).</w:t>
      </w:r>
    </w:p>
    <w:p>
      <w:pPr>
        <w:pStyle w:val="ListParagraph"/>
        <w:numPr>
          <w:ilvl w:val="0"/>
          <w:numId w:val="1"/>
        </w:numPr>
        <w:spacing w:after="60"/>
      </w:pPr>
      <w:r>
        <w:t xml:space="preserve">Le responsable d'une unité est déduit des nominations existantes (changement de rôle, chef de cellule) ; « Pas de responsable désigné » signale un poste vacant ou deux chefs en même temps.</w:t>
      </w:r>
    </w:p>
    <w:p>
      <w:pPr>
        <w:spacing w:after="60"/>
      </w:pPr>
      <w:r>
        <w:rPr>
          <w:b/>
          <w:bCs/>
        </w:rPr>
        <w:t xml:space="preserve">Agents (Personnel → Agents, DRH et gestionnaire RH) : </w:t>
      </w:r>
    </w:p>
    <w:p>
      <w:pPr>
        <w:pStyle w:val="ListParagraph"/>
        <w:numPr>
          <w:ilvl w:val="0"/>
          <w:numId w:val="1"/>
        </w:numPr>
        <w:spacing w:after="60"/>
      </w:pPr>
      <w:r>
        <w:t xml:space="preserve">L'agent (la personne : matricule, nom, unité, fonction, statut En activité / Suspendu / Parti) est distinct du compte de connexion. Tout compte est rattaché à un agent : à sa création ou à l'approbation d'une inscription, l'administrateur choisit l'agent existant ou indique son matricule ; à défaut, un matricule provisoire (P-000001…) est attribué, que le DRH remplace ensuite.</w:t>
      </w:r>
    </w:p>
    <w:p>
      <w:pPr>
        <w:pStyle w:val="ListParagraph"/>
        <w:numPr>
          <w:ilvl w:val="0"/>
          <w:numId w:val="1"/>
        </w:numPr>
        <w:spacing w:after="60"/>
      </w:pPr>
      <w:r>
        <w:t xml:space="preserve">Cycle de vie par le DRH seul, jamais sur lui-même, motif obligatoire : suspension (connexion bloquée aussitôt), réactivation, départ (compte désactivé, tâches en cours transférées au premier responsable actif en remontant l'organigramme, suppléances et rôles retirés, dossier conservé).</w:t>
      </w:r>
    </w:p>
    <w:p>
      <w:pPr>
        <w:pStyle w:val="ListParagraph"/>
        <w:numPr>
          <w:ilvl w:val="0"/>
          <w:numId w:val="1"/>
        </w:numPr>
        <w:spacing w:after="60"/>
      </w:pPr>
      <w:r>
        <w:t xml:space="preserve">Fin prévue d'un stage ou d'un contrat : alerte au DRH à J-15 puis rappel à J-3 (notification et email), avec « Prolonger » (nouvelle date, motif, tracé ; nouvelles alertes calculées sur la nouvelle date) ou « Confirmer la fin ». Sans décision, l'agent passe « Parti » le lendemain de la date de fin et son compte est désactivé ; le DRH en est prévenu le jour même. Dossier, évaluation et attestation toujours conservés ; réactivation possible par le DRH.</w:t>
      </w:r>
    </w:p>
    <w:p>
      <w:pPr>
        <w:spacing w:after="60"/>
      </w:pPr>
      <w:r>
        <w:rPr>
          <w:b/>
          <w:bCs/>
        </w:rPr>
        <w:t xml:space="preserve">Rôles fonctionnels (Administration → Utilisateurs → Rôles fonctionnels) : </w:t>
      </w:r>
    </w:p>
    <w:p>
      <w:pPr>
        <w:pStyle w:val="ListParagraph"/>
        <w:numPr>
          <w:ilvl w:val="0"/>
          <w:numId w:val="1"/>
        </w:numPr>
        <w:spacing w:after="60"/>
      </w:pPr>
      <w:r>
        <w:t xml:space="preserve">Deux axes d'autorisation : la position (rôle du compte et rattachement) fixe ce que la personne voit ; les rôles fonctionnels (DRH, Gestionnaire RH, Gestionnaire paie, Chef du SAF, Validateur, Encadreur de stage, Assistant, Agent du courrier, Gestionnaire logistique…) ajoutent des capacités, cumulables, sans jamais élargir ce périmètre. Le besoin d'en connaître (§2.2) prévaut toujours.</w:t>
      </w:r>
    </w:p>
    <w:p>
      <w:pPr>
        <w:pStyle w:val="ListParagraph"/>
        <w:numPr>
          <w:ilvl w:val="0"/>
          <w:numId w:val="1"/>
        </w:numPr>
        <w:spacing w:after="60"/>
      </w:pPr>
      <w:r>
        <w:t xml:space="preserve">Attribués et retirés par l'administrateur système seul (période facultative, motif au retrait, personne notifiée). Agent du courrier et Gestionnaire logistique restent attribués depuis leurs modules et y sont reflétés. En intérim, le suppléant emprunte la position et le périmètre du titulaire, jamais ses rôles fonctionnels.</w:t>
      </w:r>
    </w:p>
    <w:p>
      <w:pPr>
        <w:spacing w:after="60"/>
      </w:pPr>
      <w:r>
        <w:rPr>
          <w:b/>
          <w:bCs/>
        </w:rPr>
        <w:t xml:space="preserve">Traçabilité et conventions : </w:t>
      </w:r>
    </w:p>
    <w:p>
      <w:pPr>
        <w:pStyle w:val="ListParagraph"/>
        <w:numPr>
          <w:ilvl w:val="0"/>
          <w:numId w:val="1"/>
        </w:numPr>
        <w:spacing w:after="60"/>
      </w:pPr>
      <w:r>
        <w:t xml:space="preserve">Chaque refus d'accès (403) est journalisé : qui, quoi, à quelle étape du contrôle, avec un identifiant de trace renvoyé dans chaque réponse (en-tête X-Trace-Id).</w:t>
      </w:r>
    </w:p>
    <w:p>
      <w:pPr>
        <w:pStyle w:val="ListParagraph"/>
        <w:numPr>
          <w:ilvl w:val="0"/>
          <w:numId w:val="1"/>
        </w:numPr>
        <w:spacing w:after="60"/>
      </w:pPr>
      <w:r>
        <w:t xml:space="preserve">Nouvelles routes sous /api/v1, avec une forme d'erreur unique { code, message, details, trace_id } ; les routes existantes ne changent pas.</w:t>
      </w:r>
    </w:p>
    <w:p>
      <w:pPr>
        <w:pStyle w:val="ListParagraph"/>
        <w:numPr>
          <w:ilvl w:val="0"/>
          <w:numId w:val="1"/>
        </w:numPr>
        <w:spacing w:after="60"/>
      </w:pPr>
      <w:r>
        <w:t xml:space="preserve">Reprise automatique à la mise en service, sans modifier aucune donnée existante : unités, responsables, un agent par compte (matricule provisoire), rôles DRH et Assistant selon la position, Validateur pour le DN et la DNA, Chef du SAF pour le chef de la cellule SAF, Encadreur de stage pour les tuteurs de stages en cours, reflets des habilitations courrier et logistique. Retour arrière documenté (docs/Exploitation.md, § 3 bis).</w:t>
      </w:r>
    </w:p>
    <w:p>
      <w:pPr>
        <w:pStyle w:val="Heading2"/>
        <w:spacing w:after="150" w:before="300"/>
      </w:pPr>
      <w:r>
        <w:t xml:space="preserve">4.16 Socle NIMBA — sécurité, journal inaltérable, paramétrage et supervision (lot N2)</w:t>
      </w:r>
    </w:p>
    <w:p>
      <w:pPr>
        <w:spacing w:after="120"/>
      </w:pPr>
      <w:r>
        <w:rPr>
          <w:i/>
          <w:iCs/>
          <w:color w:val="444444"/>
        </w:rPr>
        <w:t xml:space="preserve">Deuxième lot du socle NIMBA (Partie 0 §3.2, §4.4, §13.6, SOC-SEC, SOC-SUP). La double authentification reste facultative et le mot de passe compte au moins 8 caractères (décision de la Direction).</w:t>
      </w:r>
    </w:p>
    <w:p>
      <w:pPr>
        <w:spacing w:after="60"/>
      </w:pPr>
      <w:r>
        <w:rPr>
          <w:b/>
          <w:bCs/>
        </w:rPr>
        <w:t xml:space="preserve">Réauthentification : </w:t>
      </w:r>
    </w:p>
    <w:p>
      <w:pPr>
        <w:pStyle w:val="ListParagraph"/>
        <w:numPr>
          <w:ilvl w:val="0"/>
          <w:numId w:val="1"/>
        </w:numPr>
        <w:spacing w:after="60"/>
      </w:pPr>
      <w:r>
        <w:t xml:space="preserve">Avant d'ouvrir un élément protégé — aujourd'hui les informations personnelles, diplômes, pièces et l'historique de carrière du dossier du personnel — la personne confirme son mot de passe (et le code de son application si la double authentification est active). La confirmation vaut 10 minutes ; chaque consultation d'un élément protégé est tracée.</w:t>
      </w:r>
    </w:p>
    <w:p>
      <w:pPr>
        <w:spacing w:after="60"/>
      </w:pPr>
      <w:r>
        <w:rPr>
          <w:b/>
          <w:bCs/>
        </w:rPr>
        <w:t xml:space="preserve">Journal d’audit : </w:t>
      </w:r>
    </w:p>
    <w:p>
      <w:pPr>
        <w:pStyle w:val="ListParagraph"/>
        <w:numPr>
          <w:ilvl w:val="0"/>
          <w:numId w:val="1"/>
        </w:numPr>
        <w:spacing w:after="60"/>
      </w:pPr>
      <w:r>
        <w:t xml:space="preserve">En écriture seule pour tous, administrateur compris, garanti par la base elle-même : aucune entrée ne peut être modifiée ni supprimée. Chaque entrée est scellée par une empreinte chaînée à la précédente ; « Vérifier l'intégrité » détecte toute altération directe en base.</w:t>
      </w:r>
    </w:p>
    <w:p>
      <w:pPr>
        <w:pStyle w:val="ListParagraph"/>
        <w:numPr>
          <w:ilvl w:val="0"/>
          <w:numId w:val="1"/>
        </w:numPr>
        <w:spacing w:after="60"/>
      </w:pPr>
      <w:r>
        <w:t xml:space="preserve">Lecture selon l'annexe 1 du cahier NIMBA : toute la Direction pour le DN, la DNA et l'administrateur ; son périmètre pour un responsable ; ses propres actions pour les autres. Jamais le contenu d'un élément protégé.</w:t>
      </w:r>
    </w:p>
    <w:p>
      <w:pPr>
        <w:spacing w:after="60"/>
      </w:pPr>
      <w:r>
        <w:rPr>
          <w:b/>
          <w:bCs/>
        </w:rPr>
        <w:t xml:space="preserve">Connexions : </w:t>
      </w:r>
    </w:p>
    <w:p>
      <w:pPr>
        <w:pStyle w:val="ListParagraph"/>
        <w:numPr>
          <w:ilvl w:val="0"/>
          <w:numId w:val="1"/>
        </w:numPr>
        <w:spacing w:after="60"/>
      </w:pPr>
      <w:r>
        <w:t xml:space="preserve">Réussites et échecs de connexion (adresse IP, navigateur) tenus dans un journal technique distinct, conservé 12 mois (paramètre) puis effacé automatiquement.</w:t>
      </w:r>
    </w:p>
    <w:p>
      <w:pPr>
        <w:spacing w:after="60"/>
      </w:pPr>
      <w:r>
        <w:rPr>
          <w:b/>
          <w:bCs/>
        </w:rPr>
        <w:t xml:space="preserve">Paramétrage et supervision (administrateur ; DN et DNA en lecture) : </w:t>
      </w:r>
    </w:p>
    <w:p>
      <w:pPr>
        <w:pStyle w:val="ListParagraph"/>
        <w:numPr>
          <w:ilvl w:val="0"/>
          <w:numId w:val="1"/>
        </w:numPr>
        <w:spacing w:after="60"/>
      </w:pPr>
      <w:r>
        <w:t xml:space="preserve">Paramètres bornés, appliqués aussitôt et tracés : longueur minimale du mot de passe (8 à 32), conservation des journaux de connexion (6 à 36 mois), expiration de session après inactivité (1 à 90 jours), alerte avant une fin de stage ou de contrat (5 à 60 jours).</w:t>
      </w:r>
    </w:p>
    <w:p>
      <w:pPr>
        <w:pStyle w:val="ListParagraph"/>
        <w:numPr>
          <w:ilvl w:val="0"/>
          <w:numId w:val="1"/>
        </w:numPr>
        <w:spacing w:after="60"/>
      </w:pPr>
      <w:r>
        <w:t xml:space="preserve">Supervision : état de la base, du stockage des fichiers, des emails, des tâches planifiées et du journal d'audit ; sessions ouvertes ; connexions ; comptes à surveiller ; accès refusés comptés ; sauvegardes et date du dernier test de restauration. L'administrateur est alerté dès qu'un service se dégrade. Aucun élément protégé n'y figure.</w:t>
      </w:r>
    </w:p>
    <w:p>
      <w:pPr>
        <w:spacing w:after="60"/>
      </w:pPr>
      <w:r>
        <w:rPr>
          <w:b/>
          <w:bCs/>
        </w:rPr>
        <w:t xml:space="preserve">Aucun compte sans agent : </w:t>
      </w:r>
    </w:p>
    <w:p>
      <w:pPr>
        <w:pStyle w:val="ListParagraph"/>
        <w:numPr>
          <w:ilvl w:val="0"/>
          <w:numId w:val="1"/>
        </w:numPr>
        <w:spacing w:after="60"/>
      </w:pPr>
      <w:r>
        <w:t xml:space="preserve">Garanti par la base : un compte actif reçoit toujours un agent (matricule provisoire à défaut), remplacé par l'agent choisi à la création du compte.</w:t>
      </w:r>
    </w:p>
    <w:p>
      <w:pPr>
        <w:pStyle w:val="Heading2"/>
        <w:spacing w:after="150" w:before="300"/>
      </w:pPr>
      <w:r>
        <w:t xml:space="preserve">4.17 Socle NIMBA — règles métier des congés, des tâches, des stages et de la conservation (lot N3)</w:t>
      </w:r>
    </w:p>
    <w:p>
      <w:pPr>
        <w:spacing w:after="120"/>
      </w:pPr>
      <w:r>
        <w:rPr>
          <w:i/>
          <w:iCs/>
          <w:color w:val="444444"/>
        </w:rPr>
        <w:t xml:space="preserve">Troisième lot du socle NIMBA (circuit A6.1, SIG-RF-STG-05/11, annexe 4 du cahier NIMBA). Il applique les règles transverses dans les modules existants, sans nouvel écran.</w:t>
      </w:r>
    </w:p>
    <w:p>
      <w:pPr>
        <w:spacing w:after="60"/>
      </w:pPr>
      <w:r>
        <w:rPr>
          <w:b/>
          <w:bCs/>
        </w:rPr>
        <w:t xml:space="preserve">Congés et absences : </w:t>
      </w:r>
    </w:p>
    <w:p>
      <w:pPr>
        <w:pStyle w:val="ListParagraph"/>
        <w:numPr>
          <w:ilvl w:val="0"/>
          <w:numId w:val="1"/>
        </w:numPr>
        <w:spacing w:after="60"/>
      </w:pPr>
      <w:r>
        <w:t xml:space="preserve">Avis du chef d'unité le plus proche (à défaut le DN ou la DNA) dans le délai paramétré (48 heures ouvrées par défaut, lundi à vendredi hors jours fériés) ; rappel 12 heures ouvrées avant l'échéance ; avis réputé favorable ensuite, avec information du DRH. Un avis défavorable est motivé.</w:t>
      </w:r>
    </w:p>
    <w:p>
      <w:pPr>
        <w:pStyle w:val="ListParagraph"/>
        <w:numPr>
          <w:ilvl w:val="0"/>
          <w:numId w:val="1"/>
        </w:numPr>
        <w:spacing w:after="60"/>
      </w:pPr>
      <w:r>
        <w:t xml:space="preserve">Décision par le DRH, après l'avis ; pour une demande d'un DRH, par le DN ou la DNA. Le chef, le DN et la DNA ne décident plus.</w:t>
      </w:r>
    </w:p>
    <w:p>
      <w:pPr>
        <w:pStyle w:val="ListParagraph"/>
        <w:numPr>
          <w:ilvl w:val="0"/>
          <w:numId w:val="1"/>
        </w:numPr>
        <w:spacing w:after="60"/>
      </w:pPr>
      <w:r>
        <w:t xml:space="preserve">Congé maladie : le chef qui donne l'avis voit le type, les dates, la durée et, après confirmation de son identité (§4.16), le motif ; le certificat médical est réservé au demandeur et au DRH (après confirmation d'identité) ; toute lecture est tracée au journal d'audit. Le DN, la DNA et le reste de la cascade voient « Absence — motif protégé » et les dates.</w:t>
      </w:r>
    </w:p>
    <w:p>
      <w:pPr>
        <w:pStyle w:val="ListParagraph"/>
        <w:numPr>
          <w:ilvl w:val="0"/>
          <w:numId w:val="1"/>
        </w:numPr>
        <w:spacing w:after="60"/>
      </w:pPr>
      <w:r>
        <w:t xml:space="preserve">Calendrier des jours fériés de Guinée, géré à l'écran (Congés et absences → Jours fériés) par l'administrateur système et le DRH, lu par tous. Fêtes fixes nationales pré-remplies (1er janvier, 1er mai, 25 mai, 15 août, 2 octobre, 25 décembre) ; fêtes religieuses saisies chaque année. Alerte à l'administrateur et au DRH à partir du 1er janvier si l'année suivante est vide ou si l'année en cours n'a aucune fête religieuse. Jours fériés exclus du délai d'avis et du décompte des jours de congé.</w:t>
      </w:r>
    </w:p>
    <w:p>
      <w:pPr>
        <w:pStyle w:val="ListParagraph"/>
        <w:numPr>
          <w:ilvl w:val="0"/>
          <w:numId w:val="1"/>
        </w:numPr>
        <w:spacing w:after="60"/>
      </w:pPr>
      <w:r>
        <w:t xml:space="preserve">Demandes en attente lors de la mise en service : échéance posée au premier passage du traitement (toutes les 15 minutes), à compter de ce passage ; aucun avis n'est inventé.</w:t>
      </w:r>
    </w:p>
    <w:p>
      <w:pPr>
        <w:spacing w:after="60"/>
      </w:pPr>
      <w:r>
        <w:rPr>
          <w:b/>
          <w:bCs/>
        </w:rPr>
        <w:t xml:space="preserve">Tâches : </w:t>
      </w:r>
    </w:p>
    <w:p>
      <w:pPr>
        <w:pStyle w:val="ListParagraph"/>
        <w:numPr>
          <w:ilvl w:val="0"/>
          <w:numId w:val="1"/>
        </w:numPr>
        <w:spacing w:after="60"/>
      </w:pPr>
      <w:r>
        <w:t xml:space="preserve">Avancement calculé par la base elle-même à chaque changement (sous-tâches terminées, sinon statut) ; la saisie manuelle est refusée.</w:t>
      </w:r>
    </w:p>
    <w:p>
      <w:pPr>
        <w:spacing w:after="60"/>
      </w:pPr>
      <w:r>
        <w:rPr>
          <w:b/>
          <w:bCs/>
        </w:rPr>
        <w:t xml:space="preserve">Stages : </w:t>
      </w:r>
    </w:p>
    <w:p>
      <w:pPr>
        <w:pStyle w:val="ListParagraph"/>
        <w:numPr>
          <w:ilvl w:val="0"/>
          <w:numId w:val="1"/>
        </w:numPr>
        <w:spacing w:after="60"/>
      </w:pPr>
      <w:r>
        <w:t xml:space="preserve">Encadreur principal et rapport de stage (§4.12).</w:t>
      </w:r>
    </w:p>
    <w:p>
      <w:pPr>
        <w:spacing w:after="60"/>
      </w:pPr>
      <w:r>
        <w:rPr>
          <w:b/>
          <w:bCs/>
        </w:rPr>
        <w:t xml:space="preserve">Conservation : </w:t>
      </w:r>
    </w:p>
    <w:p>
      <w:pPr>
        <w:pStyle w:val="ListParagraph"/>
        <w:numPr>
          <w:ilvl w:val="0"/>
          <w:numId w:val="1"/>
        </w:numPr>
        <w:spacing w:after="60"/>
      </w:pPr>
      <w:r>
        <w:t xml:space="preserve">Messages directs effacés, pièces jointes comprises, 3 ans après leur envoi (traitement quotidien). Le journal d'audit n'est jamais effacé.</w:t>
      </w:r>
    </w:p>
    <w:p>
      <w:pPr>
        <w:pStyle w:val="Heading2"/>
        <w:spacing w:after="150" w:before="300"/>
      </w:pPr>
      <w:r>
        <w:t xml:space="preserve">4.18 Socle NIMBA — statut de diffusion, GED et documents générés (lot N4)</w:t>
      </w:r>
    </w:p>
    <w:p>
      <w:pPr>
        <w:spacing w:after="120"/>
      </w:pPr>
      <w:r>
        <w:rPr>
          <w:i/>
          <w:iCs/>
          <w:color w:val="444444"/>
        </w:rPr>
        <w:t xml:space="preserve">Quatrième lot du socle NIMBA (Partie 0 §7 et §8, SIG-RF-GED, SIG-RF-DOC). Hors lot : durées de conservation, élimination, recherche en texte intégral (OCR).</w:t>
      </w:r>
    </w:p>
    <w:p>
      <w:pPr>
        <w:spacing w:after="60"/>
      </w:pPr>
      <w:r>
        <w:rPr>
          <w:b/>
          <w:bCs/>
        </w:rPr>
        <w:t xml:space="preserve">Statut de diffusion commun : </w:t>
      </w:r>
    </w:p>
    <w:p>
      <w:pPr>
        <w:pStyle w:val="ListParagraph"/>
        <w:numPr>
          <w:ilvl w:val="0"/>
          <w:numId w:val="1"/>
        </w:numPr>
        <w:spacing w:after="60"/>
      </w:pPr>
      <w:r>
        <w:t xml:space="preserve">Trois statuts, un seul vocabulaire : Brouillon (usage interne, non citable), Validé (vérifié par le responsable métier), Diffusable (autorisé hors de la Direction). Chaque changement est journalisé avec son auteur et son motif ; rien ne disparaît. Le même mécanisme servira aux simulations et rapports du domaine modélisation.</w:t>
      </w:r>
    </w:p>
    <w:p>
      <w:pPr>
        <w:pStyle w:val="ListParagraph"/>
        <w:numPr>
          <w:ilvl w:val="0"/>
          <w:numId w:val="1"/>
        </w:numPr>
        <w:spacing w:after="60"/>
      </w:pPr>
      <w:r>
        <w:t xml:space="preserve">Service d'export unique : tout fichier qui sort d'un objet à statut porte la mention visible de ce statut (bandeau en tête de chaque page d'un PDF, paragraphe en tête d'un document Word, statut dans le nom des autres fichiers).</w:t>
      </w:r>
    </w:p>
    <w:p>
      <w:pPr>
        <w:spacing w:after="60"/>
      </w:pPr>
      <w:r>
        <w:rPr>
          <w:b/>
          <w:bCs/>
        </w:rPr>
        <w:t xml:space="preserve">GED : </w:t>
      </w:r>
    </w:p>
    <w:p>
      <w:pPr>
        <w:pStyle w:val="ListParagraph"/>
        <w:numPr>
          <w:ilvl w:val="0"/>
          <w:numId w:val="1"/>
        </w:numPr>
        <w:spacing w:after="60"/>
      </w:pPr>
      <w:r>
        <w:t xml:space="preserve">Métadonnées obligatoires et lien vers l'objet d'origine (§4.3). Documents déposés avant le lot : type repris de leur catégorie, date = date de dépôt, période à compléter avant validation ; documents déjà publiés réputés Validés.</w:t>
      </w:r>
    </w:p>
    <w:p>
      <w:pPr>
        <w:spacing w:after="60"/>
      </w:pPr>
      <w:r>
        <w:rPr>
          <w:b/>
          <w:bCs/>
        </w:rPr>
        <w:t xml:space="preserve">Documents générés : </w:t>
      </w:r>
    </w:p>
    <w:p>
      <w:pPr>
        <w:pStyle w:val="ListParagraph"/>
        <w:numPr>
          <w:ilvl w:val="0"/>
          <w:numId w:val="1"/>
        </w:numPr>
        <w:spacing w:after="60"/>
      </w:pPr>
      <w:r>
        <w:t xml:space="preserve">Produits sans ressaisie à partir des données enregistrées, sur un modèle de page commun à l'en-tête « République de Guinée — Travail, Justice, Solidarité / Ministère de l'Économie, des Finances et du Budget / DNPEC » : attestation de travail (DRH), ordre de mission (chef direct, DN, DNA), rapport d'activité (chacun sur son périmètre : soi, son unité, la Direction, à partir des tâches de la période). L'attestation de stage utilise le même modèle quand aucun modèle n'est importé.</w:t>
      </w:r>
    </w:p>
    <w:p>
      <w:pPr>
        <w:pStyle w:val="ListParagraph"/>
        <w:numPr>
          <w:ilvl w:val="0"/>
          <w:numId w:val="1"/>
        </w:numPr>
        <w:spacing w:after="60"/>
      </w:pPr>
      <w:r>
        <w:t xml:space="preserve">Aperçu à l'écran identique au document imprimé (le même PDF), téléchargement PDF et Word, dépôt en GED (Brouillon), transmission par la messagerie (PDF joint).</w:t>
      </w:r>
    </w:p>
    <w:p>
      <w:pPr>
        <w:pStyle w:val="ListParagraph"/>
        <w:numPr>
          <w:ilvl w:val="0"/>
          <w:numId w:val="1"/>
        </w:numPr>
        <w:spacing w:after="60"/>
      </w:pPr>
      <w:r>
        <w:t xml:space="preserve">Documents opposables : l'attestation de travail et l'ordre de mission deviennent des actes du module Courrier (registre d'actes de la Direction, visa, signature du DN ou de la DNA, numéro) ; avant signature, la mention « PROJET — non signé » figure sur le document. Chaque édition d'un document signé est enregistrée ; les suivantes portent « DUPLICATA » et sont journalisées avec l'identité de qui les imprime.</w:t>
      </w:r>
    </w:p>
    <w:p>
      <w:pPr>
        <w:pStyle w:val="ListParagraph"/>
        <w:numPr>
          <w:ilvl w:val="0"/>
          <w:numId w:val="1"/>
        </w:numPr>
        <w:spacing w:after="60"/>
      </w:pPr>
      <w:r>
        <w:t xml:space="preserve">Montants en toutes lettres selon les accords du français (« cinq cent mille », « quatre-vingts mille », « quatre-vingt-un mille », « deux cents millions ») : frais d'un ordre de mission, bulletins de paie plus tard.</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Paramétrage initial de la production par un script en création seule (workflow manuel « Paramétrage initial ») : registres, catégories, capacités d'accueil, modèle d'attestation, ressources et articles de départ, sans aucun compte ; tout reste modifiable à l'écran et un élément supprimé n'est jamais recréé.</w:t>
      </w:r>
    </w:p>
    <w:p>
      <w:pPr>
        <w:pStyle w:val="ListParagraph"/>
        <w:numPr>
          <w:ilvl w:val="0"/>
          <w:numId w:val="1"/>
        </w:numPr>
        <w:spacing w:after="60"/>
      </w:pPr>
      <w:r>
        <w:t xml:space="preserve">Intégration continue : sur chaque pull request, la suite complète de tests de bout en bout (API et écrans sous navigateur, ordinateur et mobile, cas refusés 403/409 compris) tourne sur une base jetable ; elle ne touche jamais la production. Règle de mise à jour : pull request, tests verts, migration, fusion.</w:t>
      </w:r>
    </w:p>
    <w:p>
      <w:pPr>
        <w:pStyle w:val="ListParagraph"/>
        <w:numPr>
          <w:ilvl w:val="0"/>
          <w:numId w:val="1"/>
        </w:numPr>
        <w:spacing w:after="60"/>
      </w:pPr>
      <w:r>
        <w:t xml:space="preserve">Guide d'exploitation (docs/Exploitation.md) : sauvegardes, mise à jour, pannes, rotation des secrets, ajout d'un administrateur.</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trimestriel, docs/Securite_dependances.md) ; au 25/09/2026, aucune faille connue : PostCSS et uuid corrigés par surcharge de version, Next.js à jour dans sa version 15.</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Après le paramétrage initial par script : désigner les habilitations courrier et les gestionnaires logistiques (administrateur), saisir l'inventaire réel et renommer salles et matériel (gestionnaires), ajuster les capacités d'accueil (DRH).</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after="60"/>
      </w:pPr>
      <w:r>
        <w:rPr>
          <w:b/>
          <w:bCs/>
        </w:rPr>
        <w:t xml:space="preserve">Version 2.3 — Lot G (pérennisation) : </w:t>
      </w:r>
    </w:p>
    <w:p>
      <w:pPr>
        <w:pStyle w:val="ListParagraph"/>
        <w:numPr>
          <w:ilvl w:val="0"/>
          <w:numId w:val="1"/>
        </w:numPr>
        <w:spacing w:after="60"/>
      </w:pPr>
      <w:r>
        <w:t xml:space="preserve">Paramétrage initial de la production par script, en création seule, sans compte de test : l'acteur est « Système » ; les réglages des stages (capacités, modèle d'attestation) deviennent modifiables par le DRH et par l'administrateur système, qui n'accède jamais au contenu des stages.</w:t>
      </w:r>
    </w:p>
    <w:p>
      <w:pPr>
        <w:pStyle w:val="ListParagraph"/>
        <w:numPr>
          <w:ilvl w:val="0"/>
          <w:numId w:val="1"/>
        </w:numPr>
        <w:spacing w:after="60"/>
      </w:pPr>
      <w:r>
        <w:t xml:space="preserve">Suite de tests de bout en bout versionnée dans le dépôt (plus de 1 500 contrôles : API, navigateur sur ordinateur et mobile, cas refusés) et exécutée automatiquement sur chaque pull request, sur une base jetable ; elle refuse de tourner sur une base autre que locale.</w:t>
      </w:r>
    </w:p>
    <w:p>
      <w:pPr>
        <w:pStyle w:val="ListParagraph"/>
        <w:numPr>
          <w:ilvl w:val="0"/>
          <w:numId w:val="1"/>
        </w:numPr>
        <w:spacing w:after="60"/>
      </w:pPr>
      <w:r>
        <w:t xml:space="preserve">Double authentification : écran « Sécurité du compte » pour l'activer et la désactiver soi-même ; reconfiguration refusée quand elle est active ; désactivation soumise à un code valide ; réinitialisation par l'administrateur (jamais sur soi-même), sessions fermées, auditée. Correction : après une connexion avec code, l'utilisateur arrive sur la page qu'il visait.</w:t>
      </w:r>
    </w:p>
    <w:p>
      <w:pPr>
        <w:pStyle w:val="ListParagraph"/>
        <w:numPr>
          <w:ilvl w:val="0"/>
          <w:numId w:val="1"/>
        </w:numPr>
        <w:spacing w:after="60"/>
      </w:pPr>
      <w:r>
        <w:t xml:space="preserve">Aide en ligne par profil (§4.14), profils déterminés par le serveur à partir du rôle propre et des habilitations personnelles ; guide PDF équivalent.</w:t>
      </w:r>
    </w:p>
    <w:p>
      <w:pPr>
        <w:pStyle w:val="ListParagraph"/>
        <w:numPr>
          <w:ilvl w:val="0"/>
          <w:numId w:val="1"/>
        </w:numPr>
        <w:spacing w:after="60"/>
      </w:pPr>
      <w:r>
        <w:t xml:space="preserve">Failles de dépendances : PostCSS (via Next.js) et uuid (via exceljs) corrigées par surcharge de version ; Next.js mis à jour dans sa version 15 ; aucune faille connue restante.</w:t>
      </w:r>
    </w:p>
    <w:p>
      <w:pPr>
        <w:pStyle w:val="ListParagraph"/>
        <w:numPr>
          <w:ilvl w:val="0"/>
          <w:numId w:val="1"/>
        </w:numPr>
        <w:spacing w:after="60"/>
      </w:pPr>
      <w:r>
        <w:t xml:space="preserve">Guide d'exploitation en langage simple : sauvegardes, procédure de mise à jour, pannes, rotation des secrets, ajout d'un administrateur.</w:t>
      </w:r>
    </w:p>
    <w:p>
      <w:pPr>
        <w:spacing w:after="60"/>
      </w:pPr>
      <w:r>
        <w:rPr>
          <w:b/>
          <w:bCs/>
        </w:rPr>
        <w:t xml:space="preserve">Version 2.4 — Socle NIMBA, lot N1 (§4.15) : </w:t>
      </w:r>
    </w:p>
    <w:p>
      <w:pPr>
        <w:pStyle w:val="ListParagraph"/>
        <w:numPr>
          <w:ilvl w:val="0"/>
          <w:numId w:val="1"/>
        </w:numPr>
        <w:spacing w:after="60"/>
      </w:pPr>
      <w:r>
        <w:t xml:space="preserve">Décisions de la Direction (reprise des rôles) : DN et DNA → Validateur ; chef de la cellule SAF → Chef du SAF ; Gestionnaire RH et Gestionnaire paie attribués à la main par l'administrateur.</w:t>
      </w:r>
    </w:p>
    <w:p>
      <w:pPr>
        <w:pStyle w:val="ListParagraph"/>
        <w:numPr>
          <w:ilvl w:val="0"/>
          <w:numId w:val="1"/>
        </w:numPr>
        <w:spacing w:after="60"/>
      </w:pPr>
      <w:r>
        <w:t xml:space="preserve">Décision de la Direction (intérim) : les rôles fonctionnels ne s'empruntent pas ; seuls la position et le périmètre du titulaire s'empruntent.</w:t>
      </w:r>
    </w:p>
    <w:p>
      <w:pPr>
        <w:pStyle w:val="ListParagraph"/>
        <w:numPr>
          <w:ilvl w:val="0"/>
          <w:numId w:val="1"/>
        </w:numPr>
        <w:spacing w:after="60"/>
      </w:pPr>
      <w:r>
        <w:t xml:space="preserve">Décision de la Direction (fin de stage) : passage automatique à « Parti » et désactivation du compte à l'échéance, avec alerte au DRH à J-15 puis rappel à J-3 et deux actions directes (prolonger avec motif, ou confirmer la fin) ; sans action, passage automatique et DRH notifié le jour même ; dossier, évaluation et attestation conservés ; réactivation par le DRH. Étendu aux fins de contrat.</w:t>
      </w:r>
    </w:p>
    <w:p>
      <w:pPr>
        <w:pStyle w:val="ListParagraph"/>
        <w:numPr>
          <w:ilvl w:val="0"/>
          <w:numId w:val="1"/>
        </w:numPr>
        <w:spacing w:after="60"/>
      </w:pPr>
      <w:r>
        <w:t xml:space="preserve">Décisions de la Direction (points techniques) : écarts avec l'annexe 1 du cahier NIMBA conservés en N1 puis alignés (liste dans docs/NIMBA_matrice_N1.md) ; motif médical et décision des congés en N3 ; lecture de l'audit et paramétrage en N2 ; contrainte « aucun compte sans agent » en base en N2 ; matricules provisoires remplacés ensuite par le DRH.</w:t>
      </w:r>
    </w:p>
    <w:p>
      <w:pPr>
        <w:pStyle w:val="ListParagraph"/>
        <w:numPr>
          <w:ilvl w:val="0"/>
          <w:numId w:val="1"/>
        </w:numPr>
        <w:spacing w:after="60"/>
      </w:pPr>
      <w:r>
        <w:t xml:space="preserve">Choix techniques : reprise faite par l'API à son démarrage (idempotente) plutôt que dans la migration ; passage à « Parti » le lendemain de la date de fin (le dernier jour reste travaillé) ; une unité ne change pas de parent en N1 ; l'administrateur ne voit que les agents sans compte (rapprochement) ; un changement de rôle aligne les rôles DRH et Assistant ; réactivation d'un agent dont la fin est passée seulement avec une nouvelle date ; la prolongation d'un stage prolonge aussi le stage ; menu « Organisation » dans le groupe Personnel, pour tous ; statut de compte « Supprimé » renommé « Désactivé ».</w:t>
      </w:r>
    </w:p>
    <w:p>
      <w:pPr>
        <w:spacing w:after="60"/>
      </w:pPr>
      <w:r>
        <w:rPr>
          <w:b/>
          <w:bCs/>
        </w:rPr>
        <w:t xml:space="preserve">Version 2.5 — Socle NIMBA, lot N2 (§4.16) : </w:t>
      </w:r>
    </w:p>
    <w:p>
      <w:pPr>
        <w:pStyle w:val="ListParagraph"/>
        <w:numPr>
          <w:ilvl w:val="0"/>
          <w:numId w:val="1"/>
        </w:numPr>
        <w:spacing w:after="60"/>
      </w:pPr>
      <w:r>
        <w:t xml:space="preserve">Décisions de la Direction : double authentification facultative et mot de passe de 8 caractères minimum conservés (écart assumé avec le §4.4 du cahier NIMBA) ; lecture de l'audit, paramétrage et contrainte « aucun compte sans agent » en base livrés en N2.</w:t>
      </w:r>
    </w:p>
    <w:p>
      <w:pPr>
        <w:pStyle w:val="ListParagraph"/>
        <w:numPr>
          <w:ilvl w:val="0"/>
          <w:numId w:val="1"/>
        </w:numPr>
        <w:spacing w:after="60"/>
      </w:pPr>
      <w:r>
        <w:t xml:space="preserve">Choix techniques : réauthentification valable 10 minutes, liée à l'identité réelle (jamais empruntée en intérim), demandée pour le niveau 2 du dossier du personnel ; une réauthentification demandée n'est pas comptée comme un refus d'accès ; journal d'audit scellé par une tâche chaque minute (empreinte chaînée), l'auteur d'une entrée restant connu même si une inscription en attente est supprimée ; connexions sorties du journal d'audit vers un journal purgeable ; lecture du journal par le DRH limitée à ses propres actions (écart documenté) ; sauvegardes gérées par l'hébergeur, test de restauration déclaré à l'écran ; alerte de supervision une fois par changement d'état ; sonde publique /health/dependances sans aucun détail.</w:t>
      </w:r>
    </w:p>
    <w:p>
      <w:pPr>
        <w:spacing w:after="60"/>
      </w:pPr>
      <w:r>
        <w:rPr>
          <w:b/>
          <w:bCs/>
        </w:rPr>
        <w:t xml:space="preserve">Version 2.6 — Socle NIMBA, lot N3 (§4.17) : </w:t>
      </w:r>
    </w:p>
    <w:p>
      <w:pPr>
        <w:pStyle w:val="ListParagraph"/>
        <w:numPr>
          <w:ilvl w:val="0"/>
          <w:numId w:val="1"/>
        </w:numPr>
        <w:spacing w:after="60"/>
      </w:pPr>
      <w:r>
        <w:t xml:space="preserve">Choix techniques : heures ouvrées du lundi au vendredi en heure de Conakry, hors jours fériés du calendrier ; chef le plus proche = responsable direct hors DN/DNA, à défaut le DN ou la DNA ; avis rendu une seule fois ; la demande d'un DRH est décidée par le DN ou la DNA.</w:t>
      </w:r>
    </w:p>
    <w:p>
      <w:pPr>
        <w:pStyle w:val="ListParagraph"/>
        <w:numPr>
          <w:ilvl w:val="0"/>
          <w:numId w:val="1"/>
        </w:numPr>
        <w:spacing w:after="60"/>
      </w:pPr>
      <w:r>
        <w:t xml:space="preserve">Décision de la Direction (congé maladie) : le chef qui donne l'avis voit le type, les dates, la durée et le motif, comme avant N3 ; il lit le motif après confirmation de son identité, comme le DRH (choix technique). Le certificat médical, ajouté au lot, est déposé par le demandeur et lu par le DRH seul. Le DN, la DNA et le reste de la cascade voient « Absence — motif protégé ».</w:t>
      </w:r>
    </w:p>
    <w:p>
      <w:pPr>
        <w:pStyle w:val="ListParagraph"/>
        <w:numPr>
          <w:ilvl w:val="0"/>
          <w:numId w:val="1"/>
        </w:numPr>
        <w:spacing w:after="60"/>
      </w:pPr>
      <w:r>
        <w:t xml:space="preserve">Décision de la Direction (jours fériés) : calendrier saisi par l'administrateur et le DRH. Choix techniques : fêtes fixes 2026 et 2027 pré-remplies par la migration, bouton « Ajouter les fêtes fixes » pour les autres années ; décompte = jours calendaires moins les jours fériés (les week-ends restent comptés, comme avant), recalculé à la décision ; une période qui ne contient que des jours fériés est refusée ; alerte une fois par an, à partir du 1er janvier.</w:t>
      </w:r>
    </w:p>
    <w:p>
      <w:pPr>
        <w:pStyle w:val="ListParagraph"/>
        <w:numPr>
          <w:ilvl w:val="0"/>
          <w:numId w:val="1"/>
        </w:numPr>
        <w:spacing w:after="60"/>
      </w:pPr>
      <w:r>
        <w:t xml:space="preserve">Avancement des tâches calculé par un déclencheur en base (sans sous-tâches : 0, 50, 90 ou 100 % selon le statut ; une tâche rejetée compte 50 %) ; route de saisie conservée mais refusée (409).</w:t>
      </w:r>
    </w:p>
    <w:p>
      <w:pPr>
        <w:pStyle w:val="ListParagraph"/>
        <w:numPr>
          <w:ilvl w:val="0"/>
          <w:numId w:val="1"/>
        </w:numPr>
        <w:spacing w:after="60"/>
      </w:pPr>
      <w:r>
        <w:t xml:space="preserve">Encadreur principal choisi parmi les tuteurs du plan ; rapport déposé par le stagiaire seul, pendant le stage ou à sa fin, validé ou renvoyé par l'encadreur ; encadreur non modifiable après validation.</w:t>
      </w:r>
    </w:p>
    <w:p>
      <w:pPr>
        <w:pStyle w:val="ListParagraph"/>
        <w:numPr>
          <w:ilvl w:val="0"/>
          <w:numId w:val="1"/>
        </w:numPr>
        <w:spacing w:after="60"/>
      </w:pPr>
      <w:r>
        <w:t xml:space="preserve">Messages directs conservés 3 ans (annexe 4 du cahier NIMBA) ; un fichier déjà absent ne bloque pas la purge.</w:t>
      </w:r>
    </w:p>
    <w:p>
      <w:pPr>
        <w:pStyle w:val="ListParagraph"/>
        <w:numPr>
          <w:ilvl w:val="0"/>
          <w:numId w:val="1"/>
        </w:numPr>
        <w:spacing w:after="60"/>
      </w:pPr>
      <w:r>
        <w:t xml:space="preserve">Onglet « Suivi » ajouté aux congés pour garder la vue des responsables sur leur périmètre en lecture.</w:t>
      </w:r>
    </w:p>
    <w:p>
      <w:pPr>
        <w:spacing w:after="60"/>
      </w:pPr>
      <w:r>
        <w:rPr>
          <w:b/>
          <w:bCs/>
        </w:rPr>
        <w:t xml:space="preserve">Version 2.7 — Socle NIMBA, lot N4 (§4.18) : </w:t>
      </w:r>
    </w:p>
    <w:p>
      <w:pPr>
        <w:pStyle w:val="ListParagraph"/>
        <w:numPr>
          <w:ilvl w:val="0"/>
          <w:numId w:val="1"/>
        </w:numPr>
        <w:spacing w:after="60"/>
      </w:pPr>
      <w:r>
        <w:t xml:space="preserve">Choix techniques : validation par le chef de l'unité productrice (division ou cellule rattachée à la Direction), le DN ou la DNA ; diffusion par le DN ou la DNA seulement ; retrait d'un cran avec motif ; nouvelle version = retour à Brouillon ; le DN et la DNA n'agissent que sur les documents qu'ils voient (publiés ou de leur division).</w:t>
      </w:r>
    </w:p>
    <w:p>
      <w:pPr>
        <w:pStyle w:val="ListParagraph"/>
        <w:numPr>
          <w:ilvl w:val="0"/>
          <w:numId w:val="1"/>
        </w:numPr>
        <w:spacing w:after="60"/>
      </w:pPr>
      <w:r>
        <w:t xml:space="preserve">Décision de la Direction (documents de cellule) : le chef de cellule valide les documents produits par sa cellule, le DN et la DNA en recours. Choix techniques : espace documentaire propre à chaque cellule (sans dossiers), unité productrice unique contrôlée en base, retour arrière du lot refusé tant qu'un document de cellule existe.</w:t>
      </w:r>
    </w:p>
    <w:p>
      <w:pPr>
        <w:pStyle w:val="ListParagraph"/>
        <w:numPr>
          <w:ilvl w:val="0"/>
          <w:numId w:val="1"/>
        </w:numPr>
        <w:spacing w:after="60"/>
      </w:pPr>
      <w:r>
        <w:t xml:space="preserve">Mention du statut apposée sur la copie remise (le fichier déposé n'est jamais modifié) ; un PDF illisible reçoit le statut dans son nom.</w:t>
      </w:r>
    </w:p>
    <w:p>
      <w:pPr>
        <w:pStyle w:val="ListParagraph"/>
        <w:numPr>
          <w:ilvl w:val="0"/>
          <w:numId w:val="1"/>
        </w:numPr>
        <w:spacing w:after="60"/>
      </w:pPr>
      <w:r>
        <w:t xml:space="preserve">Unité productrice = division de dépôt (inchangé) ; lien d'origine vers une tâche ou une réunion (l'activité viendra avec le plan de travail, lot N5).</w:t>
      </w:r>
    </w:p>
    <w:p>
      <w:pPr>
        <w:pStyle w:val="ListParagraph"/>
        <w:numPr>
          <w:ilvl w:val="0"/>
          <w:numId w:val="1"/>
        </w:numPr>
        <w:spacing w:after="60"/>
      </w:pPr>
      <w:r>
        <w:t xml:space="preserve">Ordre de mission saisi une fois (agent, objet, destination, dates, transport, frais), puis généré et signé comme un acte ; attestation de travail : une par demande, préparée par le DRH.</w:t>
      </w:r>
    </w:p>
    <w:p>
      <w:pPr>
        <w:pStyle w:val="ListParagraph"/>
        <w:numPr>
          <w:ilvl w:val="0"/>
          <w:numId w:val="1"/>
        </w:numPr>
        <w:spacing w:after="60"/>
      </w:pPr>
      <w:r>
        <w:t xml:space="preserve">Rapport d'activité : tâches du périmètre et de la période visibles de l'auteur, circulant comme un Brouillon ; un rapport déposé en GED suit ensuite le circuit de validation.</w:t>
      </w:r>
    </w:p>
    <w:p>
      <w:pPr>
        <w:pStyle w:val="ListParagraph"/>
        <w:numPr>
          <w:ilvl w:val="0"/>
          <w:numId w:val="1"/>
        </w:numPr>
        <w:spacing w:after="60"/>
      </w:pPr>
      <w:r>
        <w:t xml:space="preserve">Duplicata : l'aperçu n'enregistre aucune édition ; le téléchargement et la transmission d'un document signé en enregistrent une.</w:t>
      </w:r>
    </w:p>
    <w:p>
      <w:pPr>
        <w:pStyle w:val="ListParagraph"/>
        <w:numPr>
          <w:ilvl w:val="0"/>
          <w:numId w:val="1"/>
        </w:numPr>
        <w:spacing w:after="60"/>
      </w:pPr>
      <w:r>
        <w:t xml:space="preserve">Montants : « quatre-vingts » garde son s devant « mille » (règle donnée par la Direction), « cent » le perd.</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