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b/>
          <w:bCs/>
          <w:color w:val="666666"/>
          <w:sz w:val="24"/>
          <w:szCs w:val="24"/>
        </w:rPr>
        <w:t xml:space="preserve">RÉPUBLIQUE DE GUINÉE</w:t>
      </w:r>
    </w:p>
    <w:p>
      <w:pPr>
        <w:jc w:val="center"/>
      </w:pPr>
      <w:r>
        <w:rPr>
          <w:i/>
          <w:iCs/>
          <w:color w:val="888888"/>
          <w:sz w:val="20"/>
          <w:szCs w:val="20"/>
        </w:rPr>
        <w:t xml:space="preserve">Travail — Justice — Solidarité</w:t>
      </w:r>
    </w:p>
    <w:p>
      <w:pPr>
        <w:spacing w:before="200"/>
        <w:jc w:val="center"/>
      </w:pPr>
      <w:r>
        <w:rPr>
          <w:color w:val="666666"/>
          <w:sz w:val="22"/>
          <w:szCs w:val="22"/>
        </w:rPr>
        <w:t xml:space="preserve">Ministère de l'Économie, des Finances et du Budget</w:t>
      </w:r>
    </w:p>
    <w:p>
      <w:pPr>
        <w:jc w:val="center"/>
      </w:pPr>
      <w:r>
        <w:rPr>
          <w:b/>
          <w:bCs/>
          <w:color w:val="444444"/>
          <w:sz w:val="22"/>
          <w:szCs w:val="22"/>
        </w:rPr>
        <w:t xml:space="preserve">Direction Nationale des Prévisions Économiques et de la Conjoncture (DNPEC)</w:t>
      </w:r>
    </w:p>
    <w:p>
      <w:pPr>
        <w:spacing w:before="1000"/>
        <w:jc w:val="center"/>
      </w:pPr>
      <w:r>
        <w:rPr>
          <w:b/>
          <w:bCs/>
          <w:color w:val="1F3864"/>
          <w:sz w:val="56"/>
          <w:szCs w:val="56"/>
        </w:rPr>
        <w:t xml:space="preserve">CAHIER DES CHARGES</w:t>
      </w:r>
    </w:p>
    <w:p>
      <w:pPr>
        <w:spacing w:before="200"/>
        <w:jc w:val="center"/>
      </w:pPr>
      <w:r>
        <w:rPr>
          <w:b/>
          <w:bCs/>
          <w:color w:val="2E5C8A"/>
          <w:sz w:val="30"/>
          <w:szCs w:val="30"/>
        </w:rPr>
        <w:t xml:space="preserve">Système d'Information Interne de Gestion des Tâches,</w:t>
      </w:r>
    </w:p>
    <w:p>
      <w:pPr>
        <w:jc w:val="center"/>
      </w:pPr>
      <w:r>
        <w:rPr>
          <w:b/>
          <w:bCs/>
          <w:color w:val="2E5C8A"/>
          <w:sz w:val="30"/>
          <w:szCs w:val="30"/>
        </w:rPr>
        <w:t xml:space="preserve">de la Communication, des Ressources Humaines et de l'Archivage</w:t>
      </w:r>
    </w:p>
    <w:p>
      <w:pPr>
        <w:spacing w:before="700"/>
        <w:jc w:val="center"/>
      </w:pPr>
      <w:r>
        <w:rPr>
          <w:i/>
          <w:iCs/>
          <w:color w:val="888888"/>
          <w:sz w:val="20"/>
          <w:szCs w:val="20"/>
        </w:rPr>
        <w:t xml:space="preserve">Version 2.0 — Document consolidé, système en production</w:t>
      </w:r>
    </w:p>
    <w:p>
      <w:pPr>
        <w:jc w:val="center"/>
      </w:pPr>
      <w:r>
        <w:rPr>
          <w:color w:val="555555"/>
          <w:sz w:val="20"/>
          <w:szCs w:val="20"/>
        </w:rPr>
        <w:t xml:space="preserve">Maître d'Ouvrage : Cellule des Systèmes d'Informations et de la Digitalisation (CSID) — DNPEC</w:t>
      </w:r>
    </w:p>
    <w:p>
      <w:pPr>
        <w:jc w:val="center"/>
      </w:pPr>
      <w:r>
        <w:rPr>
          <w:color w:val="888888"/>
          <w:sz w:val="20"/>
          <w:szCs w:val="20"/>
        </w:rPr>
        <w:t xml:space="preserve">Septembre 2026</w:t>
      </w:r>
    </w:p>
    <w:p>
      <w:r>
        <w:br w:type="page"/>
      </w:r>
    </w:p>
    <w:p>
      <w:pPr>
        <w:pStyle w:val="Heading1"/>
        <w:spacing w:after="200" w:before="400"/>
      </w:pPr>
      <w:r>
        <w:t xml:space="preserve">Historique des versions du document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6650"/>
      </w:tblGrid>
      <w:tr>
        <w:trPr>
          <w:tblHeader/>
        </w:trPr>
        <w:tc>
          <w:tcPr>
            <w:tcW w:type="dxa" w:w="1200"/>
            <w:shd w:fill="1F3864" w:color="auto" w:val="clear"/>
            <w:vAlign w:val="center"/>
          </w:tcPr>
          <w:p>
            <w:r>
              <w:rPr>
                <w:b/>
                <w:bCs/>
                <w:color w:val="FFFFFF"/>
                <w:sz w:val="20"/>
                <w:szCs w:val="20"/>
              </w:rPr>
              <w:t xml:space="preserve">Version</w:t>
            </w:r>
          </w:p>
        </w:tc>
        <w:tc>
          <w:tcPr>
            <w:tcW w:type="dxa" w:w="1500"/>
            <w:shd w:fill="1F3864" w:color="auto" w:val="clear"/>
            <w:vAlign w:val="center"/>
          </w:tcPr>
          <w:p>
            <w:r>
              <w:rPr>
                <w:b/>
                <w:bCs/>
                <w:color w:val="FFFFFF"/>
                <w:sz w:val="20"/>
                <w:szCs w:val="20"/>
              </w:rPr>
              <w:t xml:space="preserve">Date</w:t>
            </w:r>
          </w:p>
        </w:tc>
        <w:tc>
          <w:tcPr>
            <w:tcW w:type="dxa" w:w="6650"/>
            <w:shd w:fill="1F3864" w:color="auto" w:val="clear"/>
            <w:vAlign w:val="center"/>
          </w:tcPr>
          <w:p>
            <w:r>
              <w:rPr>
                <w:b/>
                <w:bCs/>
                <w:color w:val="FFFFFF"/>
                <w:sz w:val="20"/>
                <w:szCs w:val="20"/>
              </w:rPr>
              <w:t xml:space="preserve">Modifications</w:t>
            </w:r>
          </w:p>
        </w:tc>
      </w:tr>
      <w:tr>
        <w:tc>
          <w:tcPr>
            <w:tcW w:type="dxa" w:w="1200"/>
            <w:vAlign w:val="center"/>
          </w:tcPr>
          <w:p>
            <w:r>
              <w:rPr>
                <w:sz w:val="20"/>
                <w:szCs w:val="20"/>
              </w:rPr>
              <w:t xml:space="preserve">1.0</w:t>
            </w:r>
          </w:p>
        </w:tc>
        <w:tc>
          <w:tcPr>
            <w:tcW w:type="dxa" w:w="1500"/>
            <w:vAlign w:val="center"/>
          </w:tcPr>
          <w:p>
            <w:r>
              <w:rPr>
                <w:sz w:val="20"/>
                <w:szCs w:val="20"/>
              </w:rPr>
              <w:t xml:space="preserve">04/09/2026</w:t>
            </w:r>
          </w:p>
        </w:tc>
        <w:tc>
          <w:tcPr>
            <w:tcW w:type="dxa" w:w="6650"/>
            <w:vAlign w:val="center"/>
          </w:tcPr>
          <w:p>
            <w:r>
              <w:rPr>
                <w:sz w:val="20"/>
                <w:szCs w:val="20"/>
              </w:rPr>
              <w:t xml:space="preserve">Version initiale — périmètre fonctionnel, organisation, exigences non fonctionnelles.</w:t>
            </w:r>
          </w:p>
        </w:tc>
      </w:tr>
      <w:tr>
        <w:tc>
          <w:tcPr>
            <w:tcW w:type="dxa" w:w="1200"/>
            <w:vAlign w:val="center"/>
          </w:tcPr>
          <w:p>
            <w:r>
              <w:rPr>
                <w:sz w:val="20"/>
                <w:szCs w:val="20"/>
              </w:rPr>
              <w:t xml:space="preserve">1.1</w:t>
            </w:r>
          </w:p>
        </w:tc>
        <w:tc>
          <w:tcPr>
            <w:tcW w:type="dxa" w:w="1500"/>
            <w:vAlign w:val="center"/>
          </w:tcPr>
          <w:p>
            <w:r>
              <w:rPr>
                <w:sz w:val="20"/>
                <w:szCs w:val="20"/>
              </w:rPr>
              <w:t xml:space="preserve">04/09/2026</w:t>
            </w:r>
          </w:p>
        </w:tc>
        <w:tc>
          <w:tcPr>
            <w:tcW w:type="dxa" w:w="6650"/>
            <w:vAlign w:val="center"/>
          </w:tcPr>
          <w:p>
            <w:r>
              <w:rPr>
                <w:sz w:val="20"/>
                <w:szCs w:val="20"/>
              </w:rPr>
              <w:t xml:space="preserve">Organigramme visuel, exigences numérotées et priorisées (MoSCoW), Hors périmètre, critères d'acceptation, risques, glossaire.</w:t>
            </w:r>
          </w:p>
        </w:tc>
      </w:tr>
      <w:tr>
        <w:tc>
          <w:tcPr>
            <w:tcW w:type="dxa" w:w="1200"/>
            <w:vAlign w:val="center"/>
          </w:tcPr>
          <w:p>
            <w:r>
              <w:rPr>
                <w:sz w:val="20"/>
                <w:szCs w:val="20"/>
              </w:rPr>
              <w:t xml:space="preserve">2.0</w:t>
            </w:r>
          </w:p>
        </w:tc>
        <w:tc>
          <w:tcPr>
            <w:tcW w:type="dxa" w:w="1500"/>
            <w:vAlign w:val="center"/>
          </w:tcPr>
          <w:p>
            <w:r>
              <w:rPr>
                <w:sz w:val="20"/>
                <w:szCs w:val="20"/>
              </w:rPr>
              <w:t xml:space="preserve">23/09/2026</w:t>
            </w:r>
          </w:p>
        </w:tc>
        <w:tc>
          <w:tcPr>
            <w:tcW w:type="dxa" w:w="6650"/>
            <w:vAlign w:val="center"/>
          </w:tcPr>
          <w:p>
            <w:r>
              <w:rPr>
                <w:sz w:val="20"/>
                <w:szCs w:val="20"/>
              </w:rPr>
              <w:t xml:space="preserve">Mise à jour majeure après mise en production réelle (Render, Brevo) : correction des rattachements organisationnels (Chargés d'Études, cellules, Assistants), assouplissement du 2FA et des règles d'inscription, nouveaux modules Annuaire/Réunions/Export/Sondages/Boîte à suggestions, nouveau principe transversal « besoin d'en connaître », nouveaux modules Dossier du personnel (rôle DRH), Décisions et actions de réunion, Suppléance/intérim. Voir Annexe B pour le détail chronologique complet des évolutions.</w:t>
            </w:r>
          </w:p>
        </w:tc>
      </w:tr>
    </w:tbl>
    <w:p>
      <w:r>
        <w:br w:type="page"/>
      </w:r>
    </w:p>
    <w:p>
      <w:pPr>
        <w:pStyle w:val="Heading1"/>
        <w:spacing w:after="200" w:before="40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1. Contexte et objectifs du projet</w:t>
      </w:r>
    </w:p>
    <w:p>
      <w:pPr>
        <w:pStyle w:val="Heading2"/>
        <w:spacing w:after="150" w:before="300"/>
      </w:pPr>
      <w:r>
        <w:t xml:space="preserve">1.1 Contexte</w:t>
      </w:r>
    </w:p>
    <w:p>
      <w:pPr>
        <w:spacing w:after="120"/>
      </w:pPr>
      <w:r>
        <w:t xml:space="preserve">La Direction Nationale des Prévisions Économiques et de la Conjoncture (DNPEC) s'est dotée d'un système d'information interne pour structurer la gestion de ses activités : tâches, communication, congés, archives, personnel, réunions. Ce système est distinct de la plateforme PICE (collecte et diffusion des données économiques nationales) et fonctionne aujourd'hui en production, hébergé sur Render, avec envoi d'emails réel via Brevo.</w:t>
      </w:r>
    </w:p>
    <w:p>
      <w:pPr>
        <w:pStyle w:val="Heading2"/>
        <w:spacing w:after="150" w:before="300"/>
      </w:pPr>
      <w:r>
        <w:t xml:space="preserve">1.2 Objectifs</w:t>
      </w:r>
    </w:p>
    <w:p>
      <w:pPr>
        <w:pStyle w:val="ListParagraph"/>
        <w:numPr>
          <w:ilvl w:val="0"/>
          <w:numId w:val="1"/>
        </w:numPr>
        <w:spacing w:after="60"/>
      </w:pPr>
      <w:r>
        <w:t xml:space="preserve">Permettre aux dirigeants d'assigner des tâches et d'en suivre l'exécution en cascade hiérarchique.</w:t>
      </w:r>
    </w:p>
    <w:p>
      <w:pPr>
        <w:pStyle w:val="ListParagraph"/>
        <w:numPr>
          <w:ilvl w:val="0"/>
          <w:numId w:val="1"/>
        </w:numPr>
        <w:spacing w:after="60"/>
      </w:pPr>
      <w:r>
        <w:t xml:space="preserve">Fluidifier la communication interne (messagerie, annonces, réunions, sondages).</w:t>
      </w:r>
    </w:p>
    <w:p>
      <w:pPr>
        <w:pStyle w:val="ListParagraph"/>
        <w:numPr>
          <w:ilvl w:val="0"/>
          <w:numId w:val="1"/>
        </w:numPr>
        <w:spacing w:after="60"/>
      </w:pPr>
      <w:r>
        <w:t xml:space="preserve">Centraliser l'archivage des documents et la gestion du personnel.</w:t>
      </w:r>
    </w:p>
    <w:p>
      <w:pPr>
        <w:pStyle w:val="ListParagraph"/>
        <w:numPr>
          <w:ilvl w:val="0"/>
          <w:numId w:val="1"/>
        </w:numPr>
        <w:spacing w:after="60"/>
      </w:pPr>
      <w:r>
        <w:t xml:space="preserve">Garantir que la visibilité hiérarchique s'arrête où commence la vie privée des personnes (principe du « besoin d'en connaître »).</w:t>
      </w:r>
    </w:p>
    <w:p>
      <w:r>
        <w:br w:type="page"/>
      </w:r>
    </w:p>
    <w:p>
      <w:pPr>
        <w:pStyle w:val="Heading1"/>
        <w:spacing w:after="200" w:before="400"/>
      </w:pPr>
      <w:r>
        <w:t xml:space="preserve">2. Organisation et hiérarchie de référence</w:t>
      </w:r>
    </w:p>
    <w:p>
      <w:pPr>
        <w:spacing w:after="120"/>
      </w:pPr>
      <w:r>
        <w:t xml:space="preserve">Structure officielle de la DNPEC : DN/DNA au sommet (autorité et visibilité identiques) → Assistants de direction (rattachés au DN, à la DNA, ou à un Chef de Cellule — jamais à un Chef de Division) → 5 Divisions, chacune subdivisée en Sections, peuplées de Chargés d'Études → Cellules transversales SAF/RH/CSID (chef de cellule + Chargés d'Études propres) → CTSCM/CNC (structure interne encore à définir).</w:t>
      </w:r>
    </w:p>
    <w:p>
      <w:pPr>
        <w:pStyle w:val="ListParagraph"/>
        <w:numPr>
          <w:ilvl w:val="0"/>
          <w:numId w:val="1"/>
        </w:numPr>
        <w:spacing w:after="60"/>
      </w:pPr>
      <w:r>
        <w:t xml:space="preserve">Le personnel de base porte le titre « Chargé d'Études » dans les Divisions et dans SAF/RH/CSID — le terme « Agent » n'existe plus comme titre distinct, tous partagent le même niveau de permission.</w:t>
      </w:r>
    </w:p>
    <w:p>
      <w:pPr>
        <w:pStyle w:val="ListParagraph"/>
        <w:numPr>
          <w:ilvl w:val="0"/>
          <w:numId w:val="1"/>
        </w:numPr>
        <w:spacing w:after="60"/>
      </w:pPr>
      <w:r>
        <w:t xml:space="preserve">Un Chargé d'Études peut être rattaché à une Division seule, en attendant affectation à une Section.</w:t>
      </w:r>
    </w:p>
    <w:p>
      <w:pPr>
        <w:pStyle w:val="ListParagraph"/>
        <w:numPr>
          <w:ilvl w:val="0"/>
          <w:numId w:val="1"/>
        </w:numPr>
        <w:spacing w:after="60"/>
      </w:pPr>
      <w:r>
        <w:t xml:space="preserve">Une Cellule et une Division/Section ne peuvent jamais avoir deux chefs actifs simultanément — vérification bloquante à la nomination.</w:t>
      </w:r>
    </w:p>
    <w:p>
      <w:pPr>
        <w:pStyle w:val="ListParagraph"/>
        <w:numPr>
          <w:ilvl w:val="0"/>
          <w:numId w:val="1"/>
        </w:numPr>
        <w:spacing w:after="60"/>
      </w:pPr>
      <w:r>
        <w:t xml:space="preserve">Nouveau rôle DRH (Ressources Humaines) : fonction transversale comme Admin Système, sans autorité de cascade sur tâches/congés/documents, gère le module Dossier du personnel.</w:t>
      </w:r>
    </w:p>
    <w:p>
      <w:pPr>
        <w:pStyle w:val="Heading2"/>
        <w:spacing w:after="150" w:before="300"/>
      </w:pPr>
      <w:r>
        <w:t xml:space="preserve">2.1 Délégation en cascade</w:t>
      </w:r>
    </w:p>
    <w:p>
      <w:pPr>
        <w:spacing w:after="120"/>
      </w:pPr>
      <w:r>
        <w:t xml:space="preserve">Chaque responsable dispose d'autorité et de visibilité sur son périmètre direct et les niveaux qui lui sont subordonnés. Un Assistant hérite du périmètre de visibilité de son superviseur (jamais de son autorité d'action). Un mécanisme de suppléance/intérim permet à un chef d'emprunter temporairement, sur autorisation explicite, l'autorité d'action d'un titulaire absent — chaque action ainsi posée est journalisée « par intérim, au nom de ».</w:t>
      </w:r>
    </w:p>
    <w:p>
      <w:pPr>
        <w:pStyle w:val="Heading2"/>
        <w:spacing w:after="150" w:before="300"/>
      </w:pPr>
      <w:r>
        <w:t xml:space="preserve">2.2 Principe du « besoin d'en connaître »</w:t>
      </w:r>
    </w:p>
    <w:p>
      <w:pPr>
        <w:spacing w:after="120"/>
      </w:pPr>
      <w:r>
        <w:t xml:space="preserve">Certains contenus échappent à la visibilité hiérarchique du DN/DNA par principe de nécessité, pas de rang : le contenu du dossier personnel sensible d'un agent (coordonnées, diplômes, pièces, historique de carrière), le motif d'un congé maladie (le DN/DNA voit qu'une absence existe, jamais sa nature médicale, sauf s'il est exceptionnellement le seul validateur direct), et l'espace documentaire privé d'une division dont ils ne sont pas membres (ils voient les documents publiés, jamais les documents privés d'une division extérieure). Ce principe prévaut sur la cascade hiérarchique standard.</w:t>
      </w:r>
    </w:p>
    <w:p>
      <w:r>
        <w:br w:type="page"/>
      </w:r>
    </w:p>
    <w:p>
      <w:pPr>
        <w:pStyle w:val="Heading1"/>
        <w:spacing w:after="200" w:before="400"/>
      </w:pPr>
      <w:r>
        <w:t xml:space="preserve">3. Utilisateurs, rôles et droits d'accès</w:t>
      </w:r>
    </w:p>
    <w:p>
      <w:pPr>
        <w:pStyle w:val="Heading2"/>
        <w:spacing w:after="150" w:before="300"/>
      </w:pPr>
      <w:r>
        <w:t xml:space="preserve">3.1 Rôles du système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shd w:fill="1F3864" w:color="auto" w:val="clear"/>
            <w:vAlign w:val="center"/>
          </w:tcPr>
          <w:p>
            <w:r>
              <w:rPr>
                <w:b/>
                <w:bCs/>
                <w:color w:val="FFFFFF"/>
                <w:sz w:val="20"/>
                <w:szCs w:val="20"/>
              </w:rPr>
              <w:t xml:space="preserve">Rôle</w:t>
            </w:r>
          </w:p>
        </w:tc>
        <w:tc>
          <w:tcPr>
            <w:tcW w:type="dxa" w:w="4675"/>
            <w:shd w:fill="1F3864" w:color="auto" w:val="clear"/>
            <w:vAlign w:val="center"/>
          </w:tcPr>
          <w:p>
            <w:r>
              <w:rPr>
                <w:b/>
                <w:bCs/>
                <w:color w:val="FFFFFF"/>
                <w:sz w:val="20"/>
                <w:szCs w:val="20"/>
              </w:rPr>
              <w:t xml:space="preserve">Périmètre et droits</w:t>
            </w:r>
          </w:p>
        </w:tc>
      </w:tr>
      <w:tr>
        <w:tc>
          <w:tcPr>
            <w:tcW w:type="dxa" w:w="4675"/>
            <w:vAlign w:val="center"/>
          </w:tcPr>
          <w:p>
            <w:r>
              <w:rPr>
                <w:sz w:val="20"/>
                <w:szCs w:val="20"/>
              </w:rPr>
              <w:t xml:space="preserve">DN / DNA</w:t>
            </w:r>
          </w:p>
        </w:tc>
        <w:tc>
          <w:tcPr>
            <w:tcW w:type="dxa" w:w="4675"/>
            <w:vAlign w:val="center"/>
          </w:tcPr>
          <w:p>
            <w:r>
              <w:rPr>
                <w:sz w:val="20"/>
                <w:szCs w:val="20"/>
              </w:rPr>
              <w:t xml:space="preserve">Visibilité totale sur la DNPEC, hors contenus protégés par le « besoin d'en connaître ». Peut désigner un suppléant ou en être désigné un.</w:t>
            </w:r>
          </w:p>
        </w:tc>
      </w:tr>
      <w:tr>
        <w:tc>
          <w:tcPr>
            <w:tcW w:type="dxa" w:w="4675"/>
            <w:vAlign w:val="center"/>
          </w:tcPr>
          <w:p>
            <w:r>
              <w:rPr>
                <w:sz w:val="20"/>
                <w:szCs w:val="20"/>
              </w:rPr>
              <w:t xml:space="preserve">Chef de Division / Section / Cellule</w:t>
            </w:r>
          </w:p>
        </w:tc>
        <w:tc>
          <w:tcPr>
            <w:tcW w:type="dxa" w:w="4675"/>
            <w:vAlign w:val="center"/>
          </w:tcPr>
          <w:p>
            <w:r>
              <w:rPr>
                <w:sz w:val="20"/>
                <w:szCs w:val="20"/>
              </w:rPr>
              <w:t xml:space="preserve">Cascade sur son périmètre. Peut désigner un suppléant (chef de rang comparable uniquement) pendant une absence.</w:t>
            </w:r>
          </w:p>
        </w:tc>
      </w:tr>
      <w:tr>
        <w:tc>
          <w:tcPr>
            <w:tcW w:type="dxa" w:w="4675"/>
            <w:vAlign w:val="center"/>
          </w:tcPr>
          <w:p>
            <w:r>
              <w:rPr>
                <w:sz w:val="20"/>
                <w:szCs w:val="20"/>
              </w:rPr>
              <w:t xml:space="preserve">Assistant de direction</w:t>
            </w:r>
          </w:p>
        </w:tc>
        <w:tc>
          <w:tcPr>
            <w:tcW w:type="dxa" w:w="4675"/>
            <w:vAlign w:val="center"/>
          </w:tcPr>
          <w:p>
            <w:r>
              <w:rPr>
                <w:sz w:val="20"/>
                <w:szCs w:val="20"/>
              </w:rPr>
              <w:t xml:space="preserve">Rattaché à DN, DNA ou un Chef de Cellule. Hérite de la visibilité de son superviseur, jamais de son autorité d'action.</w:t>
            </w:r>
          </w:p>
        </w:tc>
      </w:tr>
      <w:tr>
        <w:tc>
          <w:tcPr>
            <w:tcW w:type="dxa" w:w="4675"/>
            <w:vAlign w:val="center"/>
          </w:tcPr>
          <w:p>
            <w:r>
              <w:rPr>
                <w:sz w:val="20"/>
                <w:szCs w:val="20"/>
              </w:rPr>
              <w:t xml:space="preserve">Chargé d'Études</w:t>
            </w:r>
          </w:p>
        </w:tc>
        <w:tc>
          <w:tcPr>
            <w:tcW w:type="dxa" w:w="4675"/>
            <w:vAlign w:val="center"/>
          </w:tcPr>
          <w:p>
            <w:r>
              <w:rPr>
                <w:sz w:val="20"/>
                <w:szCs w:val="20"/>
              </w:rPr>
              <w:t xml:space="preserve">Personnel de base des Divisions et des cellules SAF/RH/CSID. Visibilité sur ses tâches + celles de sa section en lecture seule.</w:t>
            </w:r>
          </w:p>
        </w:tc>
      </w:tr>
      <w:tr>
        <w:tc>
          <w:tcPr>
            <w:tcW w:type="dxa" w:w="4675"/>
            <w:vAlign w:val="center"/>
          </w:tcPr>
          <w:p>
            <w:r>
              <w:rPr>
                <w:sz w:val="20"/>
                <w:szCs w:val="20"/>
              </w:rPr>
              <w:t xml:space="preserve">DRH</w:t>
            </w:r>
          </w:p>
        </w:tc>
        <w:tc>
          <w:tcPr>
            <w:tcW w:type="dxa" w:w="4675"/>
            <w:vAlign w:val="center"/>
          </w:tcPr>
          <w:p>
            <w:r>
              <w:rPr>
                <w:sz w:val="20"/>
                <w:szCs w:val="20"/>
              </w:rPr>
              <w:t xml:space="preserve">Gestion du Dossier du personnel (tous les agents). Aucune autorité sur tâches/congés/documents.</w:t>
            </w:r>
          </w:p>
        </w:tc>
      </w:tr>
      <w:tr>
        <w:tc>
          <w:tcPr>
            <w:tcW w:type="dxa" w:w="4675"/>
            <w:vAlign w:val="center"/>
          </w:tcPr>
          <w:p>
            <w:r>
              <w:rPr>
                <w:sz w:val="20"/>
                <w:szCs w:val="20"/>
              </w:rPr>
              <w:t xml:space="preserve">Administrateur système (CSID)</w:t>
            </w:r>
          </w:p>
        </w:tc>
        <w:tc>
          <w:tcPr>
            <w:tcW w:type="dxa" w:w="4675"/>
            <w:vAlign w:val="center"/>
          </w:tcPr>
          <w:p>
            <w:r>
              <w:rPr>
                <w:sz w:val="20"/>
                <w:szCs w:val="20"/>
              </w:rPr>
              <w:t xml:space="preserve">Gestion des comptes, de l'organisation, imports Excel. Aucun accès au contenu métier des tâches.</w:t>
            </w:r>
          </w:p>
        </w:tc>
      </w:tr>
    </w:tbl>
    <w:p>
      <w:pPr>
        <w:pStyle w:val="Heading2"/>
        <w:spacing w:after="150" w:before="300"/>
      </w:pPr>
      <w:r>
        <w:t xml:space="preserve">3.2 Comptes utilisateurs</w:t>
      </w:r>
    </w:p>
    <w:p>
      <w:pPr>
        <w:pStyle w:val="ListParagraph"/>
        <w:numPr>
          <w:ilvl w:val="0"/>
          <w:numId w:val="1"/>
        </w:numPr>
        <w:spacing w:after="60"/>
      </w:pPr>
      <w:r>
        <w:t xml:space="preserve">Trois modalités de création : manuelle par l'admin, auto-inscription (n'importe quelle adresse email valide, le domaine professionnel n'est plus une contrainte technique), import Excel en masse.</w:t>
      </w:r>
    </w:p>
    <w:p>
      <w:pPr>
        <w:pStyle w:val="ListParagraph"/>
        <w:numPr>
          <w:ilvl w:val="0"/>
          <w:numId w:val="1"/>
        </w:numPr>
        <w:spacing w:after="60"/>
      </w:pPr>
      <w:r>
        <w:t xml:space="preserve">L'inscription demande désormais aussi le poste actuel déclaré (Chargé d'Études, Chef de Section, Chef de Division, Chef de Cellule, Assistant, DN, DNA), purement informatif pour aider l'administrateur à approuver — jamais attribué automatiquement. Les champs de rattachement affichés s'adaptent dynamiquement au poste choisi.</w:t>
      </w:r>
    </w:p>
    <w:p>
      <w:pPr>
        <w:pStyle w:val="ListParagraph"/>
        <w:numPr>
          <w:ilvl w:val="0"/>
          <w:numId w:val="1"/>
        </w:numPr>
        <w:spacing w:after="60"/>
      </w:pPr>
      <w:r>
        <w:t xml:space="preserve">Une inscription rejetée libère immédiatement l'adresse email pour une nouvelle demande.</w:t>
      </w:r>
    </w:p>
    <w:p>
      <w:pPr>
        <w:pStyle w:val="ListParagraph"/>
        <w:numPr>
          <w:ilvl w:val="0"/>
          <w:numId w:val="1"/>
        </w:numPr>
        <w:spacing w:after="60"/>
      </w:pPr>
      <w:r>
        <w:t xml:space="preserve">Mot de passe : 8 caractères minimum (abaissé depuis la version initiale de 12).</w:t>
      </w:r>
    </w:p>
    <w:p>
      <w:pPr>
        <w:pStyle w:val="ListParagraph"/>
        <w:numPr>
          <w:ilvl w:val="0"/>
          <w:numId w:val="1"/>
        </w:numPr>
        <w:spacing w:after="60"/>
      </w:pPr>
      <w:r>
        <w:t xml:space="preserve">Suppression de compte par l'administrateur : logique uniquement (statut SUPPRIME) — tâches, messages, commentaires et entrées d'audit liés au compte restent intacts et consultables par ceux qui y avaient déjà accès.</w:t>
      </w:r>
    </w:p>
    <w:p>
      <w:pPr>
        <w:pStyle w:val="ListParagraph"/>
        <w:numPr>
          <w:ilvl w:val="0"/>
          <w:numId w:val="1"/>
        </w:numPr>
        <w:spacing w:after="60"/>
      </w:pPr>
      <w:r>
        <w:t xml:space="preserve">Réinitialisation de mot de passe par l'administrateur : au choix, envoi d'un email de réinitialisation à la personne, ou définition directe d'un mot de passe temporaire communiqué manuellement — les deux révoquent les sessions actives du compte.</w:t>
      </w:r>
    </w:p>
    <w:p>
      <w:pPr>
        <w:pStyle w:val="Heading2"/>
        <w:spacing w:after="150" w:before="300"/>
      </w:pPr>
      <w:r>
        <w:t xml:space="preserve">3.3 Sécurité</w:t>
      </w:r>
    </w:p>
    <w:p>
      <w:pPr>
        <w:pStyle w:val="ListParagraph"/>
        <w:numPr>
          <w:ilvl w:val="0"/>
          <w:numId w:val="1"/>
        </w:numPr>
        <w:spacing w:after="60"/>
      </w:pPr>
      <w:r>
        <w:t xml:space="preserve">Authentification par mot de passe complexe. Le 2FA (authentification à deux facteurs) est désormais facultatif pour tous les rôles, y compris DN/DNA/Chefs — plus aucun rôle n'y est contraint, mais chacun peut l'activer et le désactiver librement à tout moment.</w:t>
      </w:r>
    </w:p>
    <w:p>
      <w:pPr>
        <w:pStyle w:val="ListParagraph"/>
        <w:numPr>
          <w:ilvl w:val="0"/>
          <w:numId w:val="1"/>
        </w:numPr>
        <w:spacing w:after="60"/>
      </w:pPr>
      <w:r>
        <w:t xml:space="preserve">Déconnexion à distance de toutes les sessions disponible sur demande.</w:t>
      </w:r>
    </w:p>
    <w:p>
      <w:pPr>
        <w:pStyle w:val="ListParagraph"/>
        <w:numPr>
          <w:ilvl w:val="0"/>
          <w:numId w:val="1"/>
        </w:numPr>
        <w:spacing w:after="60"/>
      </w:pPr>
      <w:r>
        <w:t xml:space="preserve">Journal d'audit : chaque action sensible trace l'auteur réel et, le cas échéant, la personne au nom de qui l'action a été posée (suppléance).</w:t>
      </w:r>
    </w:p>
    <w:p>
      <w:r>
        <w:br w:type="page"/>
      </w:r>
    </w:p>
    <w:p>
      <w:pPr>
        <w:pStyle w:val="Heading1"/>
        <w:spacing w:after="200" w:before="400"/>
      </w:pPr>
      <w:r>
        <w:t xml:space="preserve">4. Périmètre fonctionnel détaillé</w:t>
      </w:r>
    </w:p>
    <w:p>
      <w:pPr>
        <w:pStyle w:val="Heading2"/>
        <w:spacing w:after="150" w:before="300"/>
      </w:pPr>
      <w:r>
        <w:t xml:space="preserve">4.1 Module — Gestion des tâches</w:t>
      </w:r>
    </w:p>
    <w:p>
      <w:pPr>
        <w:spacing w:after="120"/>
      </w:pPr>
      <w:r>
        <w:rPr>
          <w:i/>
          <w:iCs/>
          <w:color w:val="444444"/>
        </w:rPr>
        <w:t xml:space="preserve">Cœur du système : assignation, suivi, validation, diffusion en masse.</w:t>
      </w:r>
    </w:p>
    <w:p>
      <w:pPr>
        <w:spacing w:after="60"/>
      </w:pPr>
      <w:r>
        <w:rPr>
          <w:b/>
          <w:bCs/>
        </w:rPr>
        <w:t xml:space="preserve">Fonctionnalités : </w:t>
      </w:r>
    </w:p>
    <w:p>
      <w:pPr>
        <w:pStyle w:val="ListParagraph"/>
        <w:numPr>
          <w:ilvl w:val="0"/>
          <w:numId w:val="1"/>
        </w:numPr>
        <w:spacing w:after="60"/>
      </w:pPr>
      <w:r>
        <w:t xml:space="preserve">Création/assignation en cascade, co-responsabilité multi-utilisateurs.</w:t>
      </w:r>
    </w:p>
    <w:p>
      <w:pPr>
        <w:pStyle w:val="ListParagraph"/>
        <w:numPr>
          <w:ilvl w:val="0"/>
          <w:numId w:val="1"/>
        </w:numPr>
        <w:spacing w:after="60"/>
      </w:pPr>
      <w:r>
        <w:t xml:space="preserve">Workflow À faire → En cours → Soumise → Validée/Rejetée → Terminée, avec commentaire de rejet toujours visible.</w:t>
      </w:r>
    </w:p>
    <w:p>
      <w:pPr>
        <w:pStyle w:val="ListParagraph"/>
        <w:numPr>
          <w:ilvl w:val="0"/>
          <w:numId w:val="1"/>
        </w:numPr>
        <w:spacing w:after="60"/>
      </w:pPr>
      <w:r>
        <w:t xml:space="preserve">Sous-tâches avec bascule rapide (fait/pas fait), progression automatique.</w:t>
      </w:r>
    </w:p>
    <w:p>
      <w:pPr>
        <w:pStyle w:val="ListParagraph"/>
        <w:numPr>
          <w:ilvl w:val="0"/>
          <w:numId w:val="1"/>
        </w:numPr>
        <w:spacing w:after="60"/>
      </w:pPr>
      <w:r>
        <w:t xml:space="preserve">Pourcentage d'avancement manuel pour les tâches sans sous-tâches, remplacé automatiquement dès qu'une sous-tâche existe.</w:t>
      </w:r>
    </w:p>
    <w:p>
      <w:pPr>
        <w:pStyle w:val="ListParagraph"/>
        <w:numPr>
          <w:ilvl w:val="0"/>
          <w:numId w:val="1"/>
        </w:numPr>
        <w:spacing w:after="60"/>
      </w:pPr>
      <w:r>
        <w:t xml:space="preserve">Priorité, confidentialité à 3 paliers, pièces jointes réelles (upload multi-fichiers fonctionnel), documents de référence à la création.</w:t>
      </w:r>
    </w:p>
    <w:p>
      <w:pPr>
        <w:pStyle w:val="ListParagraph"/>
        <w:numPr>
          <w:ilvl w:val="0"/>
          <w:numId w:val="1"/>
        </w:numPr>
        <w:spacing w:after="60"/>
      </w:pPr>
      <w:r>
        <w:t xml:space="preserve">Option « Document obligatoire » bloquant la soumission sans pièce jointe.</w:t>
      </w:r>
    </w:p>
    <w:p>
      <w:pPr>
        <w:pStyle w:val="ListParagraph"/>
        <w:numPr>
          <w:ilvl w:val="0"/>
          <w:numId w:val="1"/>
        </w:numPr>
        <w:spacing w:after="60"/>
      </w:pPr>
      <w:r>
        <w:t xml:space="preserve">Diffusion à toute une division : mode collectif (une tâche partagée) ou individuel (une tâche par personne), au choix du créateur.</w:t>
      </w:r>
    </w:p>
    <w:p>
      <w:pPr>
        <w:pStyle w:val="ListParagraph"/>
        <w:numPr>
          <w:ilvl w:val="0"/>
          <w:numId w:val="1"/>
        </w:numPr>
        <w:spacing w:after="60"/>
      </w:pPr>
      <w:r>
        <w:t xml:space="preserve">Fil de commentaires avec mentions, tâches récurrentes, regroupement en Projets.</w:t>
      </w:r>
    </w:p>
    <w:p>
      <w:pPr>
        <w:pStyle w:val="ListParagraph"/>
        <w:numPr>
          <w:ilvl w:val="0"/>
          <w:numId w:val="1"/>
        </w:numPr>
        <w:spacing w:after="60"/>
      </w:pPr>
      <w:r>
        <w:t xml:space="preserve">Export Excel (liste de tâches) et PDF (tableau de bord) — filtré structurellement par la même visibilité que l'écran, jamais plus.</w:t>
      </w:r>
    </w:p>
    <w:p>
      <w:pPr>
        <w:pStyle w:val="Heading2"/>
        <w:spacing w:after="150" w:before="300"/>
      </w:pPr>
      <w:r>
        <w:t xml:space="preserve">4.2 Module — Communication</w:t>
      </w:r>
    </w:p>
    <w:p>
      <w:pPr>
        <w:spacing w:after="120"/>
      </w:pPr>
      <w:r>
        <w:rPr>
          <w:i/>
          <w:iCs/>
          <w:color w:val="444444"/>
        </w:rPr>
        <w:t xml:space="preserve">Messagerie directe et annonces, sans restriction hiérarchique pour démarrer une conversation.</w:t>
      </w:r>
    </w:p>
    <w:p>
      <w:pPr>
        <w:spacing w:after="60"/>
      </w:pPr>
      <w:r>
        <w:rPr>
          <w:b/>
          <w:bCs/>
        </w:rPr>
        <w:t xml:space="preserve">Fonctionnalités : </w:t>
      </w:r>
    </w:p>
    <w:p>
      <w:pPr>
        <w:pStyle w:val="ListParagraph"/>
        <w:numPr>
          <w:ilvl w:val="0"/>
          <w:numId w:val="1"/>
        </w:numPr>
        <w:spacing w:after="60"/>
      </w:pPr>
      <w:r>
        <w:t xml:space="preserve">Recherche de n'importe quel compte actif pour démarrer une conversation (indépendant de la cascade).</w:t>
      </w:r>
    </w:p>
    <w:p>
      <w:pPr>
        <w:pStyle w:val="ListParagraph"/>
        <w:numPr>
          <w:ilvl w:val="0"/>
          <w:numId w:val="1"/>
        </w:numPr>
        <w:spacing w:after="60"/>
      </w:pPr>
      <w:r>
        <w:t xml:space="preserve">Annonces ciblées DNPEC/Division/Section/Cellule/Groupe personnalisé, avec suivi de lecture réservé à l'auteur et à la Direction.</w:t>
      </w:r>
    </w:p>
    <w:p>
      <w:pPr>
        <w:pStyle w:val="ListParagraph"/>
        <w:numPr>
          <w:ilvl w:val="0"/>
          <w:numId w:val="1"/>
        </w:numPr>
        <w:spacing w:after="60"/>
      </w:pPr>
      <w:r>
        <w:t xml:space="preserve">Conservation indéfinie et technique de tous les échanges (aucune suppression possible).</w:t>
      </w:r>
    </w:p>
    <w:p>
      <w:pPr>
        <w:pStyle w:val="Heading2"/>
        <w:spacing w:after="150" w:before="300"/>
      </w:pPr>
      <w:r>
        <w:t xml:space="preserve">4.3 Module — Archives et documents (GED)</w:t>
      </w:r>
    </w:p>
    <w:p>
      <w:pPr>
        <w:spacing w:after="120"/>
      </w:pPr>
      <w:r>
        <w:rPr>
          <w:i/>
          <w:iCs/>
          <w:color w:val="444444"/>
        </w:rPr>
        <w:t xml:space="preserve">Espace privé par division et espace publié pour toute la DNPEC.</w:t>
      </w:r>
    </w:p>
    <w:p>
      <w:pPr>
        <w:spacing w:after="60"/>
      </w:pPr>
      <w:r>
        <w:rPr>
          <w:b/>
          <w:bCs/>
        </w:rPr>
        <w:t xml:space="preserve">Fonctionnalités : </w:t>
      </w:r>
    </w:p>
    <w:p>
      <w:pPr>
        <w:pStyle w:val="ListParagraph"/>
        <w:numPr>
          <w:ilvl w:val="0"/>
          <w:numId w:val="1"/>
        </w:numPr>
        <w:spacing w:after="60"/>
      </w:pPr>
      <w:r>
        <w:t xml:space="preserve">Le DN/DNA ne lit les documents privés que de sa propre division — les documents privés des autres divisions restent hors de sa portée (principe du besoin d'en connaître).</w:t>
      </w:r>
    </w:p>
    <w:p>
      <w:pPr>
        <w:pStyle w:val="ListParagraph"/>
        <w:numPr>
          <w:ilvl w:val="0"/>
          <w:numId w:val="1"/>
        </w:numPr>
        <w:spacing w:after="60"/>
      </w:pPr>
      <w:r>
        <w:t xml:space="preserve">Gestion de versions avec marquage « Final » obligatoire avant publication.</w:t>
      </w:r>
    </w:p>
    <w:p>
      <w:pPr>
        <w:pStyle w:val="ListParagraph"/>
        <w:numPr>
          <w:ilvl w:val="0"/>
          <w:numId w:val="1"/>
        </w:numPr>
        <w:spacing w:after="60"/>
      </w:pPr>
      <w:r>
        <w:t xml:space="preserve">Classement par catégories + dossiers libres, recherche par filtres.</w:t>
      </w:r>
    </w:p>
    <w:p>
      <w:pPr>
        <w:pStyle w:val="Heading2"/>
        <w:spacing w:after="150" w:before="300"/>
      </w:pPr>
      <w:r>
        <w:t xml:space="preserve">4.4 Module — Congés et absences</w:t>
      </w:r>
    </w:p>
    <w:p>
      <w:pPr>
        <w:spacing w:after="120"/>
      </w:pPr>
      <w:r>
        <w:rPr>
          <w:i/>
          <w:iCs/>
          <w:color w:val="444444"/>
        </w:rPr>
        <w:t xml:space="preserve">Demande, validation en cascade, solde automatique.</w:t>
      </w:r>
    </w:p>
    <w:p>
      <w:pPr>
        <w:spacing w:after="60"/>
      </w:pPr>
      <w:r>
        <w:rPr>
          <w:b/>
          <w:bCs/>
        </w:rPr>
        <w:t xml:space="preserve">Fonctionnalités : </w:t>
      </w:r>
    </w:p>
    <w:p>
      <w:pPr>
        <w:pStyle w:val="ListParagraph"/>
        <w:numPr>
          <w:ilvl w:val="0"/>
          <w:numId w:val="1"/>
        </w:numPr>
        <w:spacing w:after="60"/>
      </w:pPr>
      <w:r>
        <w:t xml:space="preserve">Types de congés extensibles (annuel, maladie, mission...).</w:t>
      </w:r>
    </w:p>
    <w:p>
      <w:pPr>
        <w:pStyle w:val="ListParagraph"/>
        <w:numPr>
          <w:ilvl w:val="0"/>
          <w:numId w:val="1"/>
        </w:numPr>
        <w:spacing w:after="60"/>
      </w:pPr>
      <w:r>
        <w:t xml:space="preserve">Pour un congé maladie : le DN/DNA voit l'existence et la durée de l'absence, jamais le type ni le motif détaillé — sauf s'il est exceptionnellement l'unique validateur direct de cette demande précise.</w:t>
      </w:r>
    </w:p>
    <w:p>
      <w:pPr>
        <w:pStyle w:val="ListParagraph"/>
        <w:numPr>
          <w:ilvl w:val="0"/>
          <w:numId w:val="1"/>
        </w:numPr>
        <w:spacing w:after="60"/>
      </w:pPr>
      <w:r>
        <w:t xml:space="preserve">Notifications de soumission/validation/rejet, masquées de la même façon pour un congé maladie.</w:t>
      </w:r>
    </w:p>
    <w:p>
      <w:pPr>
        <w:pStyle w:val="Heading2"/>
        <w:spacing w:after="150" w:before="300"/>
      </w:pPr>
      <w:r>
        <w:t xml:space="preserve">4.5 Module — Annuaire du personnel</w:t>
      </w:r>
    </w:p>
    <w:p>
      <w:pPr>
        <w:spacing w:after="120"/>
      </w:pPr>
      <w:r>
        <w:rPr>
          <w:i/>
          <w:iCs/>
          <w:color w:val="444444"/>
        </w:rPr>
        <w:t xml:space="preserve">Liste complète du personnel actif, hors cascade.</w:t>
      </w:r>
    </w:p>
    <w:p>
      <w:pPr>
        <w:spacing w:after="60"/>
      </w:pPr>
      <w:r>
        <w:rPr>
          <w:b/>
          <w:bCs/>
        </w:rPr>
        <w:t xml:space="preserve">Fonctionnalités : </w:t>
      </w:r>
    </w:p>
    <w:p>
      <w:pPr>
        <w:pStyle w:val="ListParagraph"/>
        <w:numPr>
          <w:ilvl w:val="0"/>
          <w:numId w:val="1"/>
        </w:numPr>
        <w:spacing w:after="60"/>
      </w:pPr>
      <w:r>
        <w:t xml:space="preserve">Recherche et filtres par unité, fiche par personne avec accès direct à la messagerie et à l'assignation de tâche.</w:t>
      </w:r>
    </w:p>
    <w:p>
      <w:pPr>
        <w:pStyle w:val="ListParagraph"/>
        <w:numPr>
          <w:ilvl w:val="0"/>
          <w:numId w:val="1"/>
        </w:numPr>
        <w:spacing w:after="60"/>
      </w:pPr>
      <w:r>
        <w:t xml:space="preserve">L'assignation depuis l'annuaire reste soumise aux mêmes règles d'autorité que partout ailleurs — l'annuaire élargit la visibilité, jamais les droits d'action.</w:t>
      </w:r>
    </w:p>
    <w:p>
      <w:pPr>
        <w:pStyle w:val="Heading2"/>
        <w:spacing w:after="150" w:before="300"/>
      </w:pPr>
      <w:r>
        <w:t xml:space="preserve">4.6 Module — Réunions</w:t>
      </w:r>
    </w:p>
    <w:p>
      <w:pPr>
        <w:spacing w:after="120"/>
      </w:pPr>
      <w:r>
        <w:rPr>
          <w:i/>
          <w:iCs/>
          <w:color w:val="444444"/>
        </w:rPr>
        <w:t xml:space="preserve">Calendrier partagé avec compte-rendu et décisions actionnables.</w:t>
      </w:r>
    </w:p>
    <w:p>
      <w:pPr>
        <w:spacing w:after="60"/>
      </w:pPr>
      <w:r>
        <w:rPr>
          <w:b/>
          <w:bCs/>
        </w:rPr>
        <w:t xml:space="preserve">Fonctionnalités : </w:t>
      </w:r>
    </w:p>
    <w:p>
      <w:pPr>
        <w:pStyle w:val="ListParagraph"/>
        <w:numPr>
          <w:ilvl w:val="0"/>
          <w:numId w:val="1"/>
        </w:numPr>
        <w:spacing w:after="60"/>
      </w:pPr>
      <w:r>
        <w:t xml:space="preserve">Participants avec réponse (confirmé/en attente/décliné), visibilité étendue à la hiérarchie des participants, ou à tout utilisateur si la réunion est déclarée ouverte.</w:t>
      </w:r>
    </w:p>
    <w:p>
      <w:pPr>
        <w:pStyle w:val="ListParagraph"/>
        <w:numPr>
          <w:ilvl w:val="0"/>
          <w:numId w:val="1"/>
        </w:numPr>
        <w:spacing w:after="60"/>
      </w:pPr>
      <w:r>
        <w:t xml:space="preserve">Compte-rendu narratif libre + relevé de décisions structuré.</w:t>
      </w:r>
    </w:p>
    <w:p>
      <w:pPr>
        <w:pStyle w:val="ListParagraph"/>
        <w:numPr>
          <w:ilvl w:val="0"/>
          <w:numId w:val="1"/>
        </w:numPr>
        <w:spacing w:after="60"/>
      </w:pPr>
      <w:r>
        <w:t xml:space="preserve">Chaque décision peut être convertie en tâche liée (responsable + échéance), close automatiquement quand cette tâche est terminée, ou manuellement.</w:t>
      </w:r>
    </w:p>
    <w:p>
      <w:pPr>
        <w:pStyle w:val="ListParagraph"/>
        <w:numPr>
          <w:ilvl w:val="0"/>
          <w:numId w:val="1"/>
        </w:numPr>
        <w:spacing w:after="60"/>
      </w:pPr>
      <w:r>
        <w:t xml:space="preserve">Gestion (créer/modifier/convertir/clôturer) réservée à l'organisateur ; la hiérarchie qui voit une réunion par cascade peut seulement consulter et relancer.</w:t>
      </w:r>
    </w:p>
    <w:p>
      <w:pPr>
        <w:pStyle w:val="ListParagraph"/>
        <w:numPr>
          <w:ilvl w:val="0"/>
          <w:numId w:val="1"/>
        </w:numPr>
        <w:spacing w:after="60"/>
      </w:pPr>
      <w:r>
        <w:t xml:space="preserve">Rappel automatique avant l'heure de la réunion.</w:t>
      </w:r>
    </w:p>
    <w:p>
      <w:pPr>
        <w:pStyle w:val="Heading2"/>
        <w:spacing w:after="150" w:before="300"/>
      </w:pPr>
      <w:r>
        <w:t xml:space="preserve">4.7 Module — Sondages</w:t>
      </w:r>
    </w:p>
    <w:p>
      <w:pPr>
        <w:spacing w:after="120"/>
      </w:pPr>
      <w:r>
        <w:rPr>
          <w:i/>
          <w:iCs/>
          <w:color w:val="444444"/>
        </w:rPr>
        <w:t xml:space="preserve">Décisions rapides, ciblage identique aux annonces.</w:t>
      </w:r>
    </w:p>
    <w:p>
      <w:pPr>
        <w:spacing w:after="60"/>
      </w:pPr>
      <w:r>
        <w:rPr>
          <w:b/>
          <w:bCs/>
        </w:rPr>
        <w:t xml:space="preserve">Fonctionnalités : </w:t>
      </w:r>
    </w:p>
    <w:p>
      <w:pPr>
        <w:pStyle w:val="ListParagraph"/>
        <w:numPr>
          <w:ilvl w:val="0"/>
          <w:numId w:val="1"/>
        </w:numPr>
        <w:spacing w:after="60"/>
      </w:pPr>
      <w:r>
        <w:t xml:space="preserve">Choix unique ou multiple, vote modifiable tant que le sondage est ouvert.</w:t>
      </w:r>
    </w:p>
    <w:p>
      <w:pPr>
        <w:pStyle w:val="ListParagraph"/>
        <w:numPr>
          <w:ilvl w:val="0"/>
          <w:numId w:val="1"/>
        </w:numPr>
        <w:spacing w:after="60"/>
      </w:pPr>
      <w:r>
        <w:t xml:space="preserve">Résultats nominatifs pour l'auteur et la Direction, agrégés pour les autres — rafraîchissement automatique à l'affichage.</w:t>
      </w:r>
    </w:p>
    <w:p>
      <w:pPr>
        <w:pStyle w:val="Heading2"/>
        <w:spacing w:after="150" w:before="300"/>
      </w:pPr>
      <w:r>
        <w:t xml:space="preserve">4.8 Module — Boîte à suggestions</w:t>
      </w:r>
    </w:p>
    <w:p>
      <w:pPr>
        <w:spacing w:after="120"/>
      </w:pPr>
      <w:r>
        <w:rPr>
          <w:i/>
          <w:iCs/>
          <w:color w:val="444444"/>
        </w:rPr>
        <w:t xml:space="preserve">Canal ascendant vers le DN/DNA, avec option d'anonymat réel.</w:t>
      </w:r>
    </w:p>
    <w:p>
      <w:pPr>
        <w:spacing w:after="60"/>
      </w:pPr>
      <w:r>
        <w:rPr>
          <w:b/>
          <w:bCs/>
        </w:rPr>
        <w:t xml:space="preserve">Fonctionnalités : </w:t>
      </w:r>
    </w:p>
    <w:p>
      <w:pPr>
        <w:pStyle w:val="ListParagraph"/>
        <w:numPr>
          <w:ilvl w:val="0"/>
          <w:numId w:val="1"/>
        </w:numPr>
        <w:spacing w:after="60"/>
      </w:pPr>
      <w:r>
        <w:t xml:space="preserve">Statut de suivi Reçue/En étude/Retenue/Non retenue, réponse visible par l'auteur (sauf soumission anonyme).</w:t>
      </w:r>
    </w:p>
    <w:p>
      <w:pPr>
        <w:pStyle w:val="ListParagraph"/>
        <w:numPr>
          <w:ilvl w:val="0"/>
          <w:numId w:val="1"/>
        </w:numPr>
        <w:spacing w:after="60"/>
      </w:pPr>
      <w:r>
        <w:t xml:space="preserve">L'anonymat, une fois choisi, est réel en base (aucun identifiant d'auteur stocké) — jamais seulement masqué à l'affichage.</w:t>
      </w:r>
    </w:p>
    <w:p>
      <w:pPr>
        <w:pStyle w:val="Heading2"/>
        <w:spacing w:after="150" w:before="300"/>
      </w:pPr>
      <w:r>
        <w:t xml:space="preserve">4.9 Module — Dossier du personnel (DRH)</w:t>
      </w:r>
    </w:p>
    <w:p>
      <w:pPr>
        <w:spacing w:after="120"/>
      </w:pPr>
      <w:r>
        <w:rPr>
          <w:i/>
          <w:iCs/>
          <w:color w:val="444444"/>
        </w:rPr>
        <w:t xml:space="preserve">Dossier employé complet, séparé physiquement en deux niveaux de sensibilité.</w:t>
      </w:r>
    </w:p>
    <w:p>
      <w:pPr>
        <w:spacing w:after="60"/>
      </w:pPr>
      <w:r>
        <w:rPr>
          <w:b/>
          <w:bCs/>
        </w:rPr>
        <w:t xml:space="preserve">Fonctionnalités : </w:t>
      </w:r>
    </w:p>
    <w:p>
      <w:pPr>
        <w:pStyle w:val="ListParagraph"/>
        <w:numPr>
          <w:ilvl w:val="0"/>
          <w:numId w:val="1"/>
        </w:numPr>
        <w:spacing w:after="60"/>
      </w:pPr>
      <w:r>
        <w:t xml:space="preserve">Niveau 1 (statut d'emploi, grade, échelon, ancienneté, fiche de poste) : lecture pour le chef direct sur son périmètre et DN/DNA sur toute la DNPEC ; écriture DRH et auto-déclaration par l'agent.</w:t>
      </w:r>
    </w:p>
    <w:p>
      <w:pPr>
        <w:pStyle w:val="ListParagraph"/>
        <w:numPr>
          <w:ilvl w:val="0"/>
          <w:numId w:val="1"/>
        </w:numPr>
        <w:spacing w:after="60"/>
      </w:pPr>
      <w:r>
        <w:t xml:space="preserve">Niveau 2 (diplômes, coordonnées personnelles, contact d'urgence, pièces administratives, historique de carrière) : accès strictement réservé à la personne elle-même et au DRH — jamais un chef, jamais DN/DNA.</w:t>
      </w:r>
    </w:p>
    <w:p>
      <w:pPr>
        <w:pStyle w:val="ListParagraph"/>
        <w:numPr>
          <w:ilvl w:val="0"/>
          <w:numId w:val="1"/>
        </w:numPr>
        <w:spacing w:after="60"/>
      </w:pPr>
      <w:r>
        <w:t xml:space="preserve">Chaque champ porte un statut « à vérifier » jusqu'à confirmation explicite par la personne concernée, quelle que soit la source de saisie.</w:t>
      </w:r>
    </w:p>
    <w:p>
      <w:pPr>
        <w:pStyle w:val="ListParagraph"/>
        <w:numPr>
          <w:ilvl w:val="0"/>
          <w:numId w:val="1"/>
        </w:numPr>
        <w:spacing w:after="60"/>
      </w:pPr>
      <w:r>
        <w:t xml:space="preserve">Trois voies de remplissage : import Excel en masse (création de compte si l'email est inconnu), saisie par le DRH, auto-déclaration.</w:t>
      </w:r>
    </w:p>
    <w:p>
      <w:pPr>
        <w:pStyle w:val="ListParagraph"/>
        <w:numPr>
          <w:ilvl w:val="0"/>
          <w:numId w:val="1"/>
        </w:numPr>
        <w:spacing w:after="60"/>
      </w:pPr>
      <w:r>
        <w:t xml:space="preserve">Historique de carrière généré automatiquement à chaque changement d'affectation ou de grade, jamais saisi à la main.</w:t>
      </w:r>
    </w:p>
    <w:p>
      <w:pPr>
        <w:pStyle w:val="Heading2"/>
        <w:spacing w:after="150" w:before="300"/>
      </w:pPr>
      <w:r>
        <w:t xml:space="preserve">4.10 Mécanisme — Suppléance et intérim</w:t>
      </w:r>
    </w:p>
    <w:p>
      <w:pPr>
        <w:spacing w:after="120"/>
      </w:pPr>
      <w:r>
        <w:rPr>
          <w:i/>
          <w:iCs/>
          <w:color w:val="444444"/>
        </w:rPr>
        <w:t xml:space="preserve">Continuité de service pendant l'absence d'un responsable.</w:t>
      </w:r>
    </w:p>
    <w:p>
      <w:pPr>
        <w:spacing w:after="60"/>
      </w:pPr>
      <w:r>
        <w:rPr>
          <w:b/>
          <w:bCs/>
        </w:rPr>
        <w:t xml:space="preserve">Fonctionnalités : </w:t>
      </w:r>
    </w:p>
    <w:p>
      <w:pPr>
        <w:pStyle w:val="ListParagraph"/>
        <w:numPr>
          <w:ilvl w:val="0"/>
          <w:numId w:val="1"/>
        </w:numPr>
        <w:spacing w:after="60"/>
      </w:pPr>
      <w:r>
        <w:t xml:space="preserve">Un titulaire ou son supérieur direct peut désigner un suppléant, pour une période datée, parmi les rôles exerçant déjà une autorité (Chef de Section/Division/Cellule, DN, DNA) — jamais un Chargé d'Études ou un Assistant.</w:t>
      </w:r>
    </w:p>
    <w:p>
      <w:pPr>
        <w:pStyle w:val="ListParagraph"/>
        <w:numPr>
          <w:ilvl w:val="0"/>
          <w:numId w:val="1"/>
        </w:numPr>
        <w:spacing w:after="60"/>
      </w:pPr>
      <w:r>
        <w:t xml:space="preserve">Une seule suppléance active à la fois par titulaire ; le titulaire garde l'intégralité de ses droits en parallèle, la suppléance est strictement additive.</w:t>
      </w:r>
    </w:p>
    <w:p>
      <w:pPr>
        <w:pStyle w:val="ListParagraph"/>
        <w:numPr>
          <w:ilvl w:val="0"/>
          <w:numId w:val="1"/>
        </w:numPr>
        <w:spacing w:after="60"/>
      </w:pPr>
      <w:r>
        <w:t xml:space="preserve">Le suppléant agit explicitement « en intérim » (jamais de façon ambiante) et chaque action est journalisée avec la mention de la personne au nom de qui elle a été posée.</w:t>
      </w:r>
    </w:p>
    <w:p>
      <w:pPr>
        <w:pStyle w:val="ListParagraph"/>
        <w:numPr>
          <w:ilvl w:val="0"/>
          <w:numId w:val="1"/>
        </w:numPr>
        <w:spacing w:after="60"/>
      </w:pPr>
      <w:r>
        <w:t xml:space="preserve">Impossible pour un suppléant d'utiliser l'identité empruntée pour agir sur le titulaire lui-même.</w:t>
      </w:r>
    </w:p>
    <w:p>
      <w:r>
        <w:br w:type="page"/>
      </w:r>
    </w:p>
    <w:p>
      <w:pPr>
        <w:pStyle w:val="Heading1"/>
        <w:spacing w:after="200" w:before="400"/>
      </w:pPr>
      <w:r>
        <w:t xml:space="preserve">5. Hors périmètre</w:t>
      </w:r>
    </w:p>
    <w:p>
      <w:pPr>
        <w:pStyle w:val="ListParagraph"/>
        <w:numPr>
          <w:ilvl w:val="0"/>
          <w:numId w:val="1"/>
        </w:numPr>
        <w:spacing w:after="60"/>
      </w:pPr>
      <w:r>
        <w:t xml:space="preserve">Rémunération et paie du personnel (module D5) — nécessite une expertise comptable/légale externe et, pour les agents fonctionnaires, une coordination avec la chaîne de solde du Ministère. Décision de lancement à prendre séparément par la Direction.</w:t>
      </w:r>
    </w:p>
    <w:p>
      <w:pPr>
        <w:pStyle w:val="ListParagraph"/>
        <w:numPr>
          <w:ilvl w:val="0"/>
          <w:numId w:val="1"/>
        </w:numPr>
        <w:spacing w:after="60"/>
      </w:pPr>
      <w:r>
        <w:t xml:space="preserve">Test d'intrusion (pentest) et toute certification de sécurité indépendante — nécessite un prestataire spécialisé externe.</w:t>
      </w:r>
    </w:p>
    <w:p>
      <w:pPr>
        <w:pStyle w:val="ListParagraph"/>
        <w:numPr>
          <w:ilvl w:val="0"/>
          <w:numId w:val="1"/>
        </w:numPr>
        <w:spacing w:after="60"/>
      </w:pPr>
      <w:r>
        <w:t xml:space="preserve">Canal de notification WhatsApp — démarche administrative séparée (compte WhatsApp Business, validation Meta), non technique.</w:t>
      </w:r>
    </w:p>
    <w:p>
      <w:pPr>
        <w:pStyle w:val="ListParagraph"/>
        <w:numPr>
          <w:ilvl w:val="0"/>
          <w:numId w:val="1"/>
        </w:numPr>
        <w:spacing w:after="60"/>
      </w:pPr>
      <w:r>
        <w:t xml:space="preserve">Rotation des stagiaires (module D6), Courrier et actes (module D7), Logistique (module D9) — domaines identifiés comme faisables en interne mais non encore construits, voir §7.</w:t>
      </w:r>
    </w:p>
    <w:p>
      <w:pPr>
        <w:pStyle w:val="ListParagraph"/>
        <w:numPr>
          <w:ilvl w:val="0"/>
          <w:numId w:val="1"/>
        </w:numPr>
        <w:spacing w:after="60"/>
      </w:pPr>
      <w:r>
        <w:t xml:space="preserve">Aucune intégration technique avec la plateforme PICE.</w:t>
      </w:r>
    </w:p>
    <w:p>
      <w:r>
        <w:br w:type="page"/>
      </w:r>
    </w:p>
    <w:p>
      <w:pPr>
        <w:pStyle w:val="Heading1"/>
        <w:spacing w:after="200" w:before="400"/>
      </w:pPr>
      <w:r>
        <w:t xml:space="preserve">6. Exigences non fonctionnelles</w:t>
      </w:r>
    </w:p>
    <w:p>
      <w:pPr>
        <w:pStyle w:val="Heading2"/>
        <w:spacing w:after="150" w:before="300"/>
      </w:pPr>
      <w:r>
        <w:t xml:space="preserve">6.1 Infrastructure réelle en production</w:t>
      </w:r>
    </w:p>
    <w:p>
      <w:pPr>
        <w:pStyle w:val="ListParagraph"/>
        <w:numPr>
          <w:ilvl w:val="0"/>
          <w:numId w:val="1"/>
        </w:numPr>
        <w:spacing w:after="60"/>
      </w:pPr>
      <w:r>
        <w:t xml:space="preserve">API (NestJS), frontend (Next.js) et base de données (PostgreSQL) hébergés en continu sur Render, dans des services distincts.</w:t>
      </w:r>
    </w:p>
    <w:p>
      <w:pPr>
        <w:pStyle w:val="ListParagraph"/>
        <w:numPr>
          <w:ilvl w:val="0"/>
          <w:numId w:val="1"/>
        </w:numPr>
        <w:spacing w:after="60"/>
      </w:pPr>
      <w:r>
        <w:t xml:space="preserve">Migrations de base de données appliquées via un workflow GitHub Actions à déclenchement manuel, jamais automatique — garde-fou volontaire sur une base de production.</w:t>
      </w:r>
    </w:p>
    <w:p>
      <w:pPr>
        <w:pStyle w:val="ListParagraph"/>
        <w:numPr>
          <w:ilvl w:val="0"/>
          <w:numId w:val="1"/>
        </w:numPr>
        <w:spacing w:after="60"/>
      </w:pPr>
      <w:r>
        <w:t xml:space="preserve">Emails transactionnels réels via Brevo (SMTP), avec gabarit HTML commun (en-tête DNPEC, bouton d'action contextuel, repli texte brut).</w:t>
      </w:r>
    </w:p>
    <w:p>
      <w:pPr>
        <w:pStyle w:val="ListParagraph"/>
        <w:numPr>
          <w:ilvl w:val="0"/>
          <w:numId w:val="1"/>
        </w:numPr>
        <w:spacing w:after="60"/>
      </w:pPr>
      <w:r>
        <w:t xml:space="preserve">Stockage des documents sur disque persistant Render — fonctionnel, bascule vers un stockage objet (S3/MinIO) possible sans réécriture large si le volume l'exige un jour.</w:t>
      </w:r>
    </w:p>
    <w:p>
      <w:pPr>
        <w:pStyle w:val="Heading2"/>
        <w:spacing w:after="150" w:before="300"/>
      </w:pPr>
      <w:r>
        <w:t xml:space="preserve">6.2 Sécurité</w:t>
      </w:r>
    </w:p>
    <w:p>
      <w:pPr>
        <w:pStyle w:val="ListParagraph"/>
        <w:numPr>
          <w:ilvl w:val="0"/>
          <w:numId w:val="1"/>
        </w:numPr>
        <w:spacing w:after="60"/>
      </w:pPr>
      <w:r>
        <w:t xml:space="preserve">2FA disponible en option pour tout rôle, jamais obligatoire (voir §3.3).</w:t>
      </w:r>
    </w:p>
    <w:p>
      <w:pPr>
        <w:pStyle w:val="ListParagraph"/>
        <w:numPr>
          <w:ilvl w:val="0"/>
          <w:numId w:val="1"/>
        </w:numPr>
        <w:spacing w:after="60"/>
      </w:pPr>
      <w:r>
        <w:t xml:space="preserve">Principe du « besoin d'en connaître » appliqué de façon transversale (voir §2.2), vérifié et corrigé sur les congés maladie, le dossier personnel et l'espace documentaire privé.</w:t>
      </w:r>
    </w:p>
    <w:p>
      <w:pPr>
        <w:pStyle w:val="ListParagraph"/>
        <w:numPr>
          <w:ilvl w:val="0"/>
          <w:numId w:val="1"/>
        </w:numPr>
        <w:spacing w:after="60"/>
      </w:pPr>
      <w:r>
        <w:t xml:space="preserve">Suivi des vulnérabilités de dépendances (audit régulier) ; les correctifs sans risque de rupture sont appliqués immédiatement, les autres documentés et réévalués périodiquement.</w:t>
      </w:r>
    </w:p>
    <w:p>
      <w:pPr>
        <w:pStyle w:val="Heading2"/>
        <w:spacing w:after="150" w:before="300"/>
      </w:pPr>
      <w:r>
        <w:t xml:space="preserve">6.3 Identité visuelle</w:t>
      </w:r>
    </w:p>
    <w:p>
      <w:pPr>
        <w:pStyle w:val="ListParagraph"/>
        <w:numPr>
          <w:ilvl w:val="0"/>
          <w:numId w:val="1"/>
        </w:numPr>
        <w:spacing w:after="60"/>
      </w:pPr>
      <w:r>
        <w:t xml:space="preserve">Logo officiel DNPEC intégré (favicon, écrans de connexion/inscription, sidebar). Bande tricolore (rouge/or/vert) affichée sur les pages internes et la page d'accueil publique, retirée des pages d'authentification pour un rendu plus épuré.</w:t>
      </w:r>
    </w:p>
    <w:p>
      <w:pPr>
        <w:pStyle w:val="ListParagraph"/>
        <w:numPr>
          <w:ilvl w:val="0"/>
          <w:numId w:val="1"/>
        </w:numPr>
        <w:spacing w:after="60"/>
      </w:pPr>
      <w:r>
        <w:t xml:space="preserve">Application responsive : navigation en tiroir sur mobile, tableaux basculant en cartes empilées sous les seuils étroits.</w:t>
      </w:r>
    </w:p>
    <w:p>
      <w:r>
        <w:br w:type="page"/>
      </w:r>
    </w:p>
    <w:p>
      <w:pPr>
        <w:pStyle w:val="Heading1"/>
        <w:spacing w:after="200" w:before="400"/>
      </w:pPr>
      <w:r>
        <w:t xml:space="preserve">7. Points restant à valider</w:t>
      </w:r>
    </w:p>
    <w:p>
      <w:pPr>
        <w:pStyle w:val="ListParagraph"/>
        <w:numPr>
          <w:ilvl w:val="0"/>
          <w:numId w:val="1"/>
        </w:numPr>
        <w:spacing w:after="60"/>
      </w:pPr>
      <w:r>
        <w:t xml:space="preserve">Qui occupera le rôle DRH — à désigner par la Direction.</w:t>
      </w:r>
    </w:p>
    <w:p>
      <w:pPr>
        <w:pStyle w:val="ListParagraph"/>
        <w:numPr>
          <w:ilvl w:val="0"/>
          <w:numId w:val="1"/>
        </w:numPr>
        <w:spacing w:after="60"/>
      </w:pPr>
      <w:r>
        <w:t xml:space="preserve">Lancement ou non d'une consultation externe formelle pour le module Rémunération/Paie (D5) — décision stratégique de la Direction, hors du cadre de développement interne actuel.</w:t>
      </w:r>
    </w:p>
    <w:p>
      <w:pPr>
        <w:pStyle w:val="ListParagraph"/>
        <w:numPr>
          <w:ilvl w:val="0"/>
          <w:numId w:val="1"/>
        </w:numPr>
        <w:spacing w:after="60"/>
      </w:pPr>
      <w:r>
        <w:t xml:space="preserve">Construction des modules D6 (rotation des stagiaires), D7 (courrier et actes), D9 (logistique, priorité basse) — faisables en interne, non encore entamés.</w:t>
      </w:r>
    </w:p>
    <w:p>
      <w:pPr>
        <w:pStyle w:val="ListParagraph"/>
        <w:numPr>
          <w:ilvl w:val="0"/>
          <w:numId w:val="1"/>
        </w:numPr>
        <w:spacing w:after="60"/>
      </w:pPr>
      <w:r>
        <w:t xml:space="preserve">Structure interne des cellules CTSCM et CNC — toujours non définie.</w:t>
      </w:r>
    </w:p>
    <w:p>
      <w:pPr>
        <w:pStyle w:val="ListParagraph"/>
        <w:numPr>
          <w:ilvl w:val="0"/>
          <w:numId w:val="1"/>
        </w:numPr>
        <w:spacing w:after="60"/>
      </w:pPr>
      <w:r>
        <w:t xml:space="preserve">Vulnérabilité de sécurité connue et acceptée sur la dépendance uuid (via exceljs) — aucun correctif amont disponible sans risque de rupture ; à réévaluer si une nouvelle version d'exceljs est publiée.</w:t>
      </w:r>
    </w:p>
    <w:p>
      <w:pPr>
        <w:pStyle w:val="ListParagraph"/>
        <w:numPr>
          <w:ilvl w:val="0"/>
          <w:numId w:val="1"/>
        </w:numPr>
        <w:spacing w:after="60"/>
      </w:pPr>
      <w:r>
        <w:t xml:space="preserve">Mise à jour de Next.js vers une version majeure corrigeant les vulnérabilités PostCSS — reportée, risque de rupture jugé disproportionné par rapport à l'exposition réelle actuelle.</w:t>
      </w:r>
    </w:p>
    <w:p>
      <w:pPr>
        <w:pStyle w:val="ListParagraph"/>
        <w:numPr>
          <w:ilvl w:val="0"/>
          <w:numId w:val="1"/>
        </w:numPr>
        <w:spacing w:after="60"/>
      </w:pPr>
      <w:r>
        <w:t xml:space="preserve">Effectif exact, budget, délai cible, hébergement définitif (Render peut devenir la solution pérenne, non tranché formellement).</w:t>
      </w:r>
    </w:p>
    <w:p>
      <w:r>
        <w:br w:type="page"/>
      </w:r>
    </w:p>
    <w:p>
      <w:pPr>
        <w:pStyle w:val="Heading1"/>
        <w:spacing w:after="200" w:before="400"/>
      </w:pPr>
      <w:r>
        <w:t xml:space="preserve">Annexe A — Glossaire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F3864" w:color="auto" w:val="clear"/>
            <w:vAlign w:val="center"/>
          </w:tcPr>
          <w:p>
            <w:r>
              <w:rPr>
                <w:b/>
                <w:bCs/>
                <w:color w:val="FFFFFF"/>
                <w:sz w:val="20"/>
                <w:szCs w:val="20"/>
              </w:rPr>
              <w:t xml:space="preserve">Terme</w:t>
            </w:r>
          </w:p>
        </w:tc>
        <w:tc>
          <w:tcPr>
            <w:tcW w:type="dxa" w:w="6750"/>
            <w:shd w:fill="1F3864" w:color="auto" w:val="clear"/>
            <w:vAlign w:val="center"/>
          </w:tcPr>
          <w:p>
            <w:r>
              <w:rPr>
                <w:b/>
                <w:bCs/>
                <w:color w:val="FFFFFF"/>
                <w:sz w:val="20"/>
                <w:szCs w:val="20"/>
              </w:rPr>
              <w:t xml:space="preserve">Définition</w:t>
            </w:r>
          </w:p>
        </w:tc>
      </w:tr>
      <w:tr>
        <w:tc>
          <w:tcPr>
            <w:tcW w:type="dxa" w:w="2600"/>
            <w:vAlign w:val="center"/>
          </w:tcPr>
          <w:p>
            <w:r>
              <w:rPr>
                <w:sz w:val="20"/>
                <w:szCs w:val="20"/>
              </w:rPr>
              <w:t xml:space="preserve">DRH</w:t>
            </w:r>
          </w:p>
        </w:tc>
        <w:tc>
          <w:tcPr>
            <w:tcW w:type="dxa" w:w="6750"/>
            <w:vAlign w:val="center"/>
          </w:tcPr>
          <w:p>
            <w:r>
              <w:rPr>
                <w:sz w:val="20"/>
                <w:szCs w:val="20"/>
              </w:rPr>
              <w:t xml:space="preserve">Ressources Humaines — rôle transversal gérant le Dossier du personnel</w:t>
            </w:r>
          </w:p>
        </w:tc>
      </w:tr>
      <w:tr>
        <w:tc>
          <w:tcPr>
            <w:tcW w:type="dxa" w:w="2600"/>
            <w:vAlign w:val="center"/>
          </w:tcPr>
          <w:p>
            <w:r>
              <w:rPr>
                <w:sz w:val="20"/>
                <w:szCs w:val="20"/>
              </w:rPr>
              <w:t xml:space="preserve">Suppléance / Intérim</w:t>
            </w:r>
          </w:p>
        </w:tc>
        <w:tc>
          <w:tcPr>
            <w:tcW w:type="dxa" w:w="6750"/>
            <w:vAlign w:val="center"/>
          </w:tcPr>
          <w:p>
            <w:r>
              <w:rPr>
                <w:sz w:val="20"/>
                <w:szCs w:val="20"/>
              </w:rPr>
              <w:t xml:space="preserve">Emprunt temporaire et explicite de l'autorité d'action d'un titulaire absent par un chef habilité</w:t>
            </w:r>
          </w:p>
        </w:tc>
      </w:tr>
      <w:tr>
        <w:tc>
          <w:tcPr>
            <w:tcW w:type="dxa" w:w="2600"/>
            <w:vAlign w:val="center"/>
          </w:tcPr>
          <w:p>
            <w:r>
              <w:rPr>
                <w:sz w:val="20"/>
                <w:szCs w:val="20"/>
              </w:rPr>
              <w:t xml:space="preserve">Besoin d'en connaître</w:t>
            </w:r>
          </w:p>
        </w:tc>
        <w:tc>
          <w:tcPr>
            <w:tcW w:type="dxa" w:w="6750"/>
            <w:vAlign w:val="center"/>
          </w:tcPr>
          <w:p>
            <w:r>
              <w:rPr>
                <w:sz w:val="20"/>
                <w:szCs w:val="20"/>
              </w:rPr>
              <w:t xml:space="preserve">Principe limitant la visibilité hiérarchique aux informations nécessaires à l'action, indépendamment du rang</w:t>
            </w:r>
          </w:p>
        </w:tc>
      </w:tr>
      <w:tr>
        <w:tc>
          <w:tcPr>
            <w:tcW w:type="dxa" w:w="2600"/>
            <w:vAlign w:val="center"/>
          </w:tcPr>
          <w:p>
            <w:r>
              <w:rPr>
                <w:sz w:val="20"/>
                <w:szCs w:val="20"/>
              </w:rPr>
              <w:t xml:space="preserve">Niveau 1 / Niveau 2 (dossier personnel)</w:t>
            </w:r>
          </w:p>
        </w:tc>
        <w:tc>
          <w:tcPr>
            <w:tcW w:type="dxa" w:w="6750"/>
            <w:vAlign w:val="center"/>
          </w:tcPr>
          <w:p>
            <w:r>
              <w:rPr>
                <w:sz w:val="20"/>
                <w:szCs w:val="20"/>
              </w:rPr>
              <w:t xml:space="preserve">Séparation entre informations de base (visibles en cascade) et informations sensibles (personne + DRH uniquement)</w:t>
            </w:r>
          </w:p>
        </w:tc>
      </w:tr>
      <w:tr>
        <w:tc>
          <w:tcPr>
            <w:tcW w:type="dxa" w:w="2600"/>
            <w:vAlign w:val="center"/>
          </w:tcPr>
          <w:p>
            <w:r>
              <w:rPr>
                <w:sz w:val="20"/>
                <w:szCs w:val="20"/>
              </w:rPr>
              <w:t xml:space="preserve">MoSCoW</w:t>
            </w:r>
          </w:p>
        </w:tc>
        <w:tc>
          <w:tcPr>
            <w:tcW w:type="dxa" w:w="6750"/>
            <w:vAlign w:val="center"/>
          </w:tcPr>
          <w:p>
            <w:r>
              <w:rPr>
                <w:sz w:val="20"/>
                <w:szCs w:val="20"/>
              </w:rPr>
              <w:t xml:space="preserve">Méthode de priorisation Must/Should/Could/Won't have</w:t>
            </w:r>
          </w:p>
        </w:tc>
      </w:tr>
      <w:tr>
        <w:tc>
          <w:tcPr>
            <w:tcW w:type="dxa" w:w="2600"/>
            <w:vAlign w:val="center"/>
          </w:tcPr>
          <w:p>
            <w:r>
              <w:rPr>
                <w:sz w:val="20"/>
                <w:szCs w:val="20"/>
              </w:rPr>
              <w:t xml:space="preserve">2FA</w:t>
            </w:r>
          </w:p>
        </w:tc>
        <w:tc>
          <w:tcPr>
            <w:tcW w:type="dxa" w:w="6750"/>
            <w:vAlign w:val="center"/>
          </w:tcPr>
          <w:p>
            <w:r>
              <w:rPr>
                <w:sz w:val="20"/>
                <w:szCs w:val="20"/>
              </w:rPr>
              <w:t xml:space="preserve">Authentification à deux facteurs, facultative pour tous les rôles</w:t>
            </w:r>
          </w:p>
        </w:tc>
      </w:tr>
    </w:tbl>
    <w:p>
      <w:r>
        <w:br w:type="page"/>
      </w:r>
    </w:p>
    <w:p>
      <w:pPr>
        <w:pStyle w:val="Heading1"/>
        <w:spacing w:after="200" w:before="400"/>
      </w:pPr>
      <w:r>
        <w:t xml:space="preserve">Annexe B — Journal chronologique des évolutions (depuis la version 1.1)</w:t>
      </w:r>
    </w:p>
    <w:p>
      <w:pPr>
        <w:spacing w:after="120"/>
      </w:pPr>
      <w:r>
        <w:t xml:space="preserve">Liste exhaustive des décisions prises et fonctionnalités livrées après la mise en production initiale, pour garder une trace complète de ce qui a été demandé et pourquoi.</w:t>
      </w:r>
    </w:p>
    <w:p>
      <w:pPr>
        <w:pStyle w:val="ListParagraph"/>
        <w:numPr>
          <w:ilvl w:val="0"/>
          <w:numId w:val="1"/>
        </w:numPr>
        <w:spacing w:after="60"/>
      </w:pPr>
      <w:r>
        <w:t xml:space="preserve">Mise en production réelle : base PostgreSQL, API et frontend déployés sur Render ; migrations pilotées par workflow manuel GitHub Actions ; emails réels via Brevo.</w:t>
      </w:r>
    </w:p>
    <w:p>
      <w:pPr>
        <w:pStyle w:val="ListParagraph"/>
        <w:numPr>
          <w:ilvl w:val="0"/>
          <w:numId w:val="1"/>
        </w:numPr>
        <w:spacing w:after="60"/>
      </w:pPr>
      <w:r>
        <w:t xml:space="preserve">Premier compte Admin Système créé par script de seed sécurisé (secrets GitHub, jamais en clair).</w:t>
      </w:r>
    </w:p>
    <w:p>
      <w:pPr>
        <w:pStyle w:val="ListParagraph"/>
        <w:numPr>
          <w:ilvl w:val="0"/>
          <w:numId w:val="1"/>
        </w:numPr>
        <w:spacing w:after="60"/>
      </w:pPr>
      <w:r>
        <w:t xml:space="preserve">Correction : email non exigé au domaine professionnel, ni à l'inscription ni à la création manuelle — seul le format standard est vérifié.</w:t>
      </w:r>
    </w:p>
    <w:p>
      <w:pPr>
        <w:pStyle w:val="ListParagraph"/>
        <w:numPr>
          <w:ilvl w:val="0"/>
          <w:numId w:val="1"/>
        </w:numPr>
        <w:spacing w:after="60"/>
      </w:pPr>
      <w:r>
        <w:t xml:space="preserve">Résolution de noms ouverte à tout utilisateur authentifié (GET /users/resolve, GET /users/search, GET /users/directory) pour l'Annuaire et la messagerie, sans exposer de champ sensible.</w:t>
      </w:r>
    </w:p>
    <w:p>
      <w:pPr>
        <w:pStyle w:val="ListParagraph"/>
        <w:numPr>
          <w:ilvl w:val="0"/>
          <w:numId w:val="1"/>
        </w:numPr>
        <w:spacing w:after="60"/>
      </w:pPr>
      <w:r>
        <w:t xml:space="preserve">Modules Annuaire, Réunions, Export/Reporting, Sondages, Boîte à suggestions construits et livrés en totalité.</w:t>
      </w:r>
    </w:p>
    <w:p>
      <w:pPr>
        <w:pStyle w:val="ListParagraph"/>
        <w:numPr>
          <w:ilvl w:val="0"/>
          <w:numId w:val="1"/>
        </w:numPr>
        <w:spacing w:after="60"/>
      </w:pPr>
      <w:r>
        <w:t xml:space="preserve">Diffusion de tâches à toute une division (mode collectif ou individuel), option Document obligatoire, pièces jointes de tâches rendues réellement fonctionnelles (le mécanisme initial n'était qu'un stub), pourcentage d'avancement manuel.</w:t>
      </w:r>
    </w:p>
    <w:p>
      <w:pPr>
        <w:pStyle w:val="ListParagraph"/>
        <w:numPr>
          <w:ilvl w:val="0"/>
          <w:numId w:val="1"/>
        </w:numPr>
        <w:spacing w:after="60"/>
      </w:pPr>
      <w:r>
        <w:t xml:space="preserve">Écran d'administration Organisation (créer/modifier/supprimer Divisions, Sections, Cellules) avec blocage explicite de suppression si des dépendances existent.</w:t>
      </w:r>
    </w:p>
    <w:p>
      <w:pPr>
        <w:pStyle w:val="ListParagraph"/>
        <w:numPr>
          <w:ilvl w:val="0"/>
          <w:numId w:val="1"/>
        </w:numPr>
        <w:spacing w:after="60"/>
      </w:pPr>
      <w:r>
        <w:t xml:space="preserve">Nouveau rôle Chef de Cellule avec unicité garantie par transaction (Cellule.chefId) ; Division/Section n'ont pas de chefId équivalent, l'unicité y est vérifiée applicativement à la nomination pour empêcher deux chefs actifs simultanés.</w:t>
      </w:r>
    </w:p>
    <w:p>
      <w:pPr>
        <w:pStyle w:val="ListParagraph"/>
        <w:numPr>
          <w:ilvl w:val="0"/>
          <w:numId w:val="1"/>
        </w:numPr>
        <w:spacing w:after="60"/>
      </w:pPr>
      <w:r>
        <w:t xml:space="preserve">Rôle Assistant de direction généralisé : rattachable au DN, à la DNA, ou à un Chef de Cellule (plus seulement DN/DNA), avec héritage de la visibilité (jamais de l'autorité) du superviseur.</w:t>
      </w:r>
    </w:p>
    <w:p>
      <w:pPr>
        <w:pStyle w:val="ListParagraph"/>
        <w:numPr>
          <w:ilvl w:val="0"/>
          <w:numId w:val="1"/>
        </w:numPr>
        <w:spacing w:after="60"/>
      </w:pPr>
      <w:r>
        <w:t xml:space="preserve">Audit corrigé pour couvrir les notifications de congés (trou identifié où les notifications prévues n'étaient jamais déclenchées).</w:t>
      </w:r>
    </w:p>
    <w:p>
      <w:pPr>
        <w:pStyle w:val="ListParagraph"/>
        <w:numPr>
          <w:ilvl w:val="0"/>
          <w:numId w:val="1"/>
        </w:numPr>
        <w:spacing w:after="60"/>
      </w:pPr>
      <w:r>
        <w:t xml:space="preserve">Correction de sécurité : la validation de ses propres tâches/congés par soi-même est explicitement bloquée (l'ancienne règle d'autorité hiérarchique laissait une faille d'auto-approbation).</w:t>
      </w:r>
    </w:p>
    <w:p>
      <w:pPr>
        <w:pStyle w:val="ListParagraph"/>
        <w:numPr>
          <w:ilvl w:val="0"/>
          <w:numId w:val="1"/>
        </w:numPr>
        <w:spacing w:after="60"/>
      </w:pPr>
      <w:r>
        <w:t xml:space="preserve">Audit et correction du principe « besoin d'en connaître » sur trois axes : espace documentaire privé de division (DN/DNA restreints à leur propre division pour le contenu privé), congé maladie (type et motif masqués sauf validateur réel désigné), soldes de congés (masqués pour un tiers).</w:t>
      </w:r>
    </w:p>
    <w:p>
      <w:pPr>
        <w:pStyle w:val="ListParagraph"/>
        <w:numPr>
          <w:ilvl w:val="0"/>
          <w:numId w:val="1"/>
        </w:numPr>
        <w:spacing w:after="60"/>
      </w:pPr>
      <w:r>
        <w:t xml:space="preserve">2FA rendu facultatif pour tous les rôles (n'est plus jamais obligatoire), tout en restant disponible en option universelle.</w:t>
      </w:r>
    </w:p>
    <w:p>
      <w:pPr>
        <w:pStyle w:val="ListParagraph"/>
        <w:numPr>
          <w:ilvl w:val="0"/>
          <w:numId w:val="1"/>
        </w:numPr>
        <w:spacing w:after="60"/>
      </w:pPr>
      <w:r>
        <w:t xml:space="preserve">Gestion de compte enrichie : suppression logique par l'admin (jamais de suppression physique), réinitialisation de mot de passe par l'admin (email ou mot de passe temporaire), mot de passe minimum abaissé à 8 caractères.</w:t>
      </w:r>
    </w:p>
    <w:p>
      <w:pPr>
        <w:pStyle w:val="ListParagraph"/>
        <w:numPr>
          <w:ilvl w:val="0"/>
          <w:numId w:val="1"/>
        </w:numPr>
        <w:spacing w:after="60"/>
      </w:pPr>
      <w:r>
        <w:t xml:space="preserve">Formulaire d'inscription enrichi : déclaration du poste actuel (filtrant dynamiquement les champs de rattachement affichés), refonte en parcours guidé à 4 étapes, correction du blocage empêchant une nouvelle inscription après le rejet d'une précédente demande sur la même adresse.</w:t>
      </w:r>
    </w:p>
    <w:p>
      <w:pPr>
        <w:pStyle w:val="ListParagraph"/>
        <w:numPr>
          <w:ilvl w:val="0"/>
          <w:numId w:val="1"/>
        </w:numPr>
        <w:spacing w:after="60"/>
      </w:pPr>
      <w:r>
        <w:t xml:space="preserve">Messages d'erreur de connexion différenciés selon l'état réel du compte (en attente d'approbation / suspendu).</w:t>
      </w:r>
    </w:p>
    <w:p>
      <w:pPr>
        <w:pStyle w:val="ListParagraph"/>
        <w:numPr>
          <w:ilvl w:val="0"/>
          <w:numId w:val="1"/>
        </w:numPr>
        <w:spacing w:after="60"/>
      </w:pPr>
      <w:r>
        <w:t xml:space="preserve">Identité visuelle : intégration du vrai logo officiel DNPEC (favicon et toutes les pages), refonte de l'écran de connexion (carte flottante, structure clarifiée), retrait de la bande tricolore sur les pages d'authentification uniquement, correctifs de responsivité mobile sur l'ensemble des écrans principaux.</w:t>
      </w:r>
    </w:p>
    <w:p>
      <w:pPr>
        <w:pStyle w:val="ListParagraph"/>
        <w:numPr>
          <w:ilvl w:val="0"/>
          <w:numId w:val="1"/>
        </w:numPr>
        <w:spacing w:after="60"/>
      </w:pPr>
      <w:r>
        <w:t xml:space="preserve">Nouveau module Dossier du personnel (D3) avec rôle DRH, séparation physique des données sensibles, import Excel, et confirmation obligatoire par la personne concernée.</w:t>
      </w:r>
    </w:p>
    <w:p>
      <w:pPr>
        <w:pStyle w:val="ListParagraph"/>
        <w:numPr>
          <w:ilvl w:val="0"/>
          <w:numId w:val="1"/>
        </w:numPr>
        <w:spacing w:after="60"/>
      </w:pPr>
      <w:r>
        <w:t xml:space="preserve">Nouveau module Décisions et actions de réunion (D2) : relevé de décisions, conversion en tâche liée, clôture automatique ou manuelle.</w:t>
      </w:r>
    </w:p>
    <w:p>
      <w:pPr>
        <w:pStyle w:val="ListParagraph"/>
        <w:numPr>
          <w:ilvl w:val="0"/>
          <w:numId w:val="1"/>
        </w:numPr>
        <w:spacing w:after="60"/>
      </w:pPr>
      <w:r>
        <w:t xml:space="preserve">Nouveau mécanisme de Suppléance et intérim (§2.6), avec emprunt d'autorité explicite par requête et traçabilité complète des actions posées au nom d'un titulaire.</w:t>
      </w:r>
    </w:p>
    <w:p>
      <w:pPr>
        <w:pStyle w:val="ListParagraph"/>
        <w:numPr>
          <w:ilvl w:val="0"/>
          <w:numId w:val="1"/>
        </w:numPr>
        <w:spacing w:after="60"/>
      </w:pPr>
      <w:r>
        <w:t xml:space="preserve">Audit des dépendances logicielles : correctif appliqué sur Multer (vulnérabilités haute sévérité liées à l'upload de fichiers) ; vulnérabilités PostCSS (Next.js) et uuid (exceljs) documentées et acceptées en l'absence de correctif sûr disponible.</w:t>
      </w:r>
    </w:p>
    <w:p>
      <w:pPr>
        <w:spacing w:before="600"/>
      </w:pPr>
      <w:r>
        <w:rPr>
          <w:i/>
          <w:iCs/>
          <w:color w:val="888888"/>
        </w:rPr>
        <w:t xml:space="preserve">— Fin du document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b/>
      <w:bCs/>
      <w:color w:val="1F3864"/>
      <w:sz w:val="32"/>
      <w:szCs w:val="32"/>
    </w:rPr>
  </w:style>
  <w:style w:type="paragraph" w:styleId="Heading2">
    <w:name w:val="Heading 2"/>
    <w:basedOn w:val="Normal"/>
    <w:next w:val="Normal"/>
    <w:qFormat/>
    <w:pPr>
      <w:spacing w:after="150" w:before="300"/>
      <w:outlineLvl w:val="1"/>
    </w:pPr>
    <w:rPr>
      <w:b/>
      <w:bCs/>
      <w:color w:val="2E5C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2026-09-23T10:37:10.799Z</dcterms:created>
  <dcterms:modified xsi:type="dcterms:W3CDTF">2026-09-23T10:37:10.809Z</dcterms:modified>
</cp:coreProperties>
</file>

<file path=docProps/custom.xml><?xml version="1.0" encoding="utf-8"?>
<Properties xmlns="http://schemas.openxmlformats.org/officeDocument/2006/custom-properties" xmlns:vt="http://schemas.openxmlformats.org/officeDocument/2006/docPropsVTypes"/>
</file>