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2.8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r>
        <w:tc>
          <w:tcPr>
            <w:tcW w:type="dxa" w:w="1200"/>
            <w:vAlign w:val="center"/>
          </w:tcPr>
          <w:p>
            <w:r>
              <w:rPr>
                <w:sz w:val="20"/>
                <w:szCs w:val="20"/>
              </w:rPr>
              <w:t xml:space="preserve">2.1</w:t>
            </w:r>
          </w:p>
        </w:tc>
        <w:tc>
          <w:tcPr>
            <w:tcW w:type="dxa" w:w="1500"/>
            <w:vAlign w:val="center"/>
          </w:tcPr>
          <w:p>
            <w:r>
              <w:rPr>
                <w:sz w:val="20"/>
                <w:szCs w:val="20"/>
              </w:rPr>
              <w:t xml:space="preserve">25/09/2026</w:t>
            </w:r>
          </w:p>
        </w:tc>
        <w:tc>
          <w:tcPr>
            <w:tcW w:type="dxa" w:w="6650"/>
            <w:vAlign w:val="center"/>
          </w:tcPr>
          <w:p>
            <w:r>
              <w:rPr>
                <w:sz w:val="20"/>
                <w:szCs w:val="20"/>
              </w:rPr>
              <w:t xml:space="preserve">Lots A à F : correctifs serveur, suppléance et intérim dans l'interface, module Courrier et actes (§4.11), changement de rôle d'un compte existant (§3.2), écrans des décisions de réunion (D2) et du dossier du personnel (D3), cloche de notifications, retour à la page visée après reconnexion, erreurs de chargement affichées ; suspension d'une unité décrite (§2.3). Voir Annexe B.</w:t>
            </w:r>
          </w:p>
        </w:tc>
      </w:tr>
      <w:tr>
        <w:tc>
          <w:tcPr>
            <w:tcW w:type="dxa" w:w="1200"/>
            <w:vAlign w:val="center"/>
          </w:tcPr>
          <w:p>
            <w:r>
              <w:rPr>
                <w:sz w:val="20"/>
                <w:szCs w:val="20"/>
              </w:rPr>
              <w:t xml:space="preserve">2.2</w:t>
            </w:r>
          </w:p>
        </w:tc>
        <w:tc>
          <w:tcPr>
            <w:tcW w:type="dxa" w:w="1500"/>
            <w:vAlign w:val="center"/>
          </w:tcPr>
          <w:p>
            <w:r>
              <w:rPr>
                <w:sz w:val="20"/>
                <w:szCs w:val="20"/>
              </w:rPr>
              <w:t xml:space="preserve">25/09/2026</w:t>
            </w:r>
          </w:p>
        </w:tc>
        <w:tc>
          <w:tcPr>
            <w:tcW w:type="dxa" w:w="6650"/>
            <w:vAlign w:val="center"/>
          </w:tcPr>
          <w:p>
            <w:r>
              <w:rPr>
                <w:sz w:val="20"/>
                <w:szCs w:val="20"/>
              </w:rPr>
              <w:t xml:space="preserve">Modules Rotation des stagiaires (D6, §4.12) avec le rôle Stagiaire (§3.1), et Logistique (D9, §4.13) : inventaire, demandes, fournitures, réservations avec priorité hiérarchique, salle des réunions. Décisions de la Direction en Annexe B.</w:t>
            </w:r>
          </w:p>
        </w:tc>
      </w:tr>
      <w:tr>
        <w:tc>
          <w:tcPr>
            <w:tcW w:type="dxa" w:w="1200"/>
            <w:vAlign w:val="center"/>
          </w:tcPr>
          <w:p>
            <w:r>
              <w:rPr>
                <w:sz w:val="20"/>
                <w:szCs w:val="20"/>
              </w:rPr>
              <w:t xml:space="preserve">2.3</w:t>
            </w:r>
          </w:p>
        </w:tc>
        <w:tc>
          <w:tcPr>
            <w:tcW w:type="dxa" w:w="1500"/>
            <w:vAlign w:val="center"/>
          </w:tcPr>
          <w:p>
            <w:r>
              <w:rPr>
                <w:sz w:val="20"/>
                <w:szCs w:val="20"/>
              </w:rPr>
              <w:t xml:space="preserve">25/09/2026</w:t>
            </w:r>
          </w:p>
        </w:tc>
        <w:tc>
          <w:tcPr>
            <w:tcW w:type="dxa" w:w="6650"/>
            <w:vAlign w:val="center"/>
          </w:tcPr>
          <w:p>
            <w:r>
              <w:rPr>
                <w:sz w:val="20"/>
                <w:szCs w:val="20"/>
              </w:rPr>
              <w:t xml:space="preserve">Lot G « Pérennisation » : suite de tests de bout en bout dans le dépôt, exécutée automatiquement sur chaque pull request ; double authentification gérable à l'écran et réinitialisable par l'administrateur ; aide en ligne par profil (§4.14) ; paramétrage initial par script ; failles de dépendances corrigées ; guide d'exploitation. Annexe B complétée.</w:t>
            </w:r>
          </w:p>
        </w:tc>
      </w:tr>
      <w:tr>
        <w:tc>
          <w:tcPr>
            <w:tcW w:type="dxa" w:w="1200"/>
            <w:vAlign w:val="center"/>
          </w:tcPr>
          <w:p>
            <w:r>
              <w:rPr>
                <w:sz w:val="20"/>
                <w:szCs w:val="20"/>
              </w:rPr>
              <w:t xml:space="preserve">2.4</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N1 (§4.15) : organigramme modifiable (unités, fermeture datée, historique), agent distinct du compte (matricule, cycle de vie, fins de stage et de contrat), rôles fonctionnels distincts de la position, refus d'accès journalisés, conventions d'API v1. Annexe B complétée.</w:t>
            </w:r>
          </w:p>
        </w:tc>
      </w:tr>
      <w:tr>
        <w:tc>
          <w:tcPr>
            <w:tcW w:type="dxa" w:w="1200"/>
            <w:vAlign w:val="center"/>
          </w:tcPr>
          <w:p>
            <w:r>
              <w:rPr>
                <w:sz w:val="20"/>
                <w:szCs w:val="20"/>
              </w:rPr>
              <w:t xml:space="preserve">2.5</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N2 (§4.16) : réauthentification avant un élément protégé, journal d'audit inaltérable et vérifiable, journal des connexions conservé 12 mois, écran « Paramétrage et supervision », aucun compte sans agent garanti par la base. Annexe B complétée.</w:t>
            </w:r>
          </w:p>
        </w:tc>
      </w:tr>
      <w:tr>
        <w:tc>
          <w:tcPr>
            <w:tcW w:type="dxa" w:w="1200"/>
            <w:vAlign w:val="center"/>
          </w:tcPr>
          <w:p>
            <w:r>
              <w:rPr>
                <w:sz w:val="20"/>
                <w:szCs w:val="20"/>
              </w:rPr>
              <w:t xml:space="preserve">2.6</w:t>
            </w:r>
          </w:p>
        </w:tc>
        <w:tc>
          <w:tcPr>
            <w:tcW w:type="dxa" w:w="1500"/>
            <w:vAlign w:val="center"/>
          </w:tcPr>
          <w:p>
            <w:r>
              <w:rPr>
                <w:sz w:val="20"/>
                <w:szCs w:val="20"/>
              </w:rPr>
              <w:t xml:space="preserve">30/09/2026</w:t>
            </w:r>
          </w:p>
        </w:tc>
        <w:tc>
          <w:tcPr>
            <w:tcW w:type="dxa" w:w="6650"/>
            <w:vAlign w:val="center"/>
          </w:tcPr>
          <w:p>
            <w:r>
              <w:rPr>
                <w:sz w:val="20"/>
                <w:szCs w:val="20"/>
              </w:rPr>
              <w:t xml:space="preserve">Socle NIMBA, lot N3 (§4.17) : congés à avis du chef puis décision du DRH (avis tacite après 48 heures ouvrées), type et motif médical vus du chef qui donne l'avis et du DRH (certificat au DRH seul), jours fériés exclus des délais et du décompte, avancement des tâches calculé, encadreur principal et rapport de stage, messages directs conservés 3 ans. §2.2, §4.4 et §4.12 mis à jour ; Annexe B complétée.</w:t>
            </w:r>
          </w:p>
        </w:tc>
      </w:tr>
      <w:tr>
        <w:tc>
          <w:tcPr>
            <w:tcW w:type="dxa" w:w="1200"/>
            <w:vAlign w:val="center"/>
          </w:tcPr>
          <w:p>
            <w:r>
              <w:rPr>
                <w:sz w:val="20"/>
                <w:szCs w:val="20"/>
              </w:rPr>
              <w:t xml:space="preserve">2.7</w:t>
            </w:r>
          </w:p>
        </w:tc>
        <w:tc>
          <w:tcPr>
            <w:tcW w:type="dxa" w:w="1500"/>
            <w:vAlign w:val="center"/>
          </w:tcPr>
          <w:p>
            <w:r>
              <w:rPr>
                <w:sz w:val="20"/>
                <w:szCs w:val="20"/>
              </w:rPr>
              <w:t xml:space="preserve">01/10/2026</w:t>
            </w:r>
          </w:p>
        </w:tc>
        <w:tc>
          <w:tcPr>
            <w:tcW w:type="dxa" w:w="6650"/>
            <w:vAlign w:val="center"/>
          </w:tcPr>
          <w:p>
            <w:r>
              <w:rPr>
                <w:sz w:val="20"/>
                <w:szCs w:val="20"/>
              </w:rPr>
              <w:t xml:space="preserve">Socle NIMBA, lot N4 (§4.18) : statut de diffusion Brouillon → Validé → Diffusable et mention sur tout fichier exporté, métadonnées obligatoires et lien vers l'objet d'origine dans la GED, documents générés (attestation de travail, ordre de mission, rapport d'activité ; attestation de stage sur le même modèle). §4.3 mis à jour ; Annexe B complétée.</w:t>
            </w:r>
          </w:p>
        </w:tc>
      </w:tr>
      <w:tr>
        <w:tc>
          <w:tcPr>
            <w:tcW w:type="dxa" w:w="1200"/>
            <w:vAlign w:val="center"/>
          </w:tcPr>
          <w:p>
            <w:r>
              <w:rPr>
                <w:sz w:val="20"/>
                <w:szCs w:val="20"/>
              </w:rPr>
              <w:t xml:space="preserve">2.8</w:t>
            </w:r>
          </w:p>
        </w:tc>
        <w:tc>
          <w:tcPr>
            <w:tcW w:type="dxa" w:w="1500"/>
            <w:vAlign w:val="center"/>
          </w:tcPr>
          <w:p>
            <w:r>
              <w:rPr>
                <w:sz w:val="20"/>
                <w:szCs w:val="20"/>
              </w:rPr>
              <w:t xml:space="preserve">02/10/2026</w:t>
            </w:r>
          </w:p>
        </w:tc>
        <w:tc>
          <w:tcPr>
            <w:tcW w:type="dxa" w:w="6650"/>
            <w:vAlign w:val="center"/>
          </w:tcPr>
          <w:p>
            <w:r>
              <w:rPr>
                <w:sz w:val="20"/>
                <w:szCs w:val="20"/>
              </w:rPr>
              <w:t xml:space="preserve">Socle NIMBA, lot N5 (§4.19) : plan de travail (objectif → activité → tâche, avancement calculé), vues Kanban et Calendrier et alertes d'échéance des tâches, fils de discussion (plusieurs destinataires, accusés de lecture, renvoi vers un objet), notifications immédiates ou en résumé quotidien, recherche transverse, instructions de la Direction. Annexe B complétée.</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la nature et le motif d'un congé maladie (réservés au demandeur, au chef qui donne son avis et au DRH, qui confirment leur identité avant de lire le motif ; le certificat médical au demandeur et au DRH seuls ; les autres responsables, DN et DNA compris, voient « Absence — motif protégé » et ses dates, jamais sa nature médicale),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2"/>
        <w:spacing w:after="150" w:before="300"/>
      </w:pPr>
      <w:r>
        <w:t xml:space="preserve">2.3 Suspension d’une unité</w:t>
      </w:r>
    </w:p>
    <w:p>
      <w:pPr>
        <w:spacing w:after="120"/>
      </w:pPr>
      <w:r>
        <w:t xml:space="preserve">Une Division, une Section ou une Cellule peut être suspendue par l'administrateur système sans être supprimée. La suspension empêche uniquement la croissance de l'unité : aucun nouveau rattachement (création de compte, approbation d'une inscription, import Excel, changement de rôle), aucune nomination de chef, aucune diffusion de tâche vers une division suspendue. Elle n'affecte jamais les personnes déjà rattachées ni leur travail en cours. Une unité suspendue peut être réactivée à tout moment.</w:t>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Stagiaire</w:t>
            </w:r>
          </w:p>
        </w:tc>
        <w:tc>
          <w:tcPr>
            <w:tcW w:type="dxa" w:w="4675"/>
            <w:vAlign w:val="center"/>
          </w:tcPr>
          <w:p>
            <w:r>
              <w:rPr>
                <w:sz w:val="20"/>
                <w:szCs w:val="20"/>
              </w:rPr>
              <w:t xml:space="preserve">Compte créé par l'administrateur ou par l'import du DRH, rattachement facultatif. Voit ses propres tâches, la messagerie, les annonces, son dossier du personnel et son plan de stage — rien d'autre : ni les tâches de la section, ni la GED privée, ni le courrier, ni la logistique. Aucun droit par défaut (liste blanche côté serveur).</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dont l’import Excel, et des stages (plan, capacités d’accueil, modèle d’attestation).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(création, approbation, statut, changement de rôle), de l'organisation, du paramétrage du courrier et de la logistique (catégories, habilitations de gestionnaire). Aucun accès au contenu métier des tâches ; dans le module Courrier, uniquement son courrier personnel.</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 par le DRH — qui ne crée que des comptes de Chargé d'Études ou de Stagiaire, avec les mêmes contrôles que la création manuelle ; tout autre rôle s'attribue ensuite par changement de rôle.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spacing w:after="60"/>
      </w:pPr>
      <w:r>
        <w:rPr>
          <w:b/>
          <w:bCs/>
        </w:rPr>
        <w:t xml:space="preserve">Changement de rôle d’un compte existant : </w:t>
      </w:r>
    </w:p>
    <w:p>
      <w:pPr>
        <w:pStyle w:val="ListParagraph"/>
        <w:numPr>
          <w:ilvl w:val="0"/>
          <w:numId w:val="1"/>
        </w:numPr>
        <w:spacing w:after="60"/>
      </w:pPr>
      <w:r>
        <w:t xml:space="preserve">Réservé à l'administrateur système, jamais sur son propre compte ; motif obligatoire (conservé dans le journal d'audit, absent des notifications) ; effet immédiat.</w:t>
      </w:r>
    </w:p>
    <w:p>
      <w:pPr>
        <w:pStyle w:val="ListParagraph"/>
        <w:numPr>
          <w:ilvl w:val="0"/>
          <w:numId w:val="1"/>
        </w:numPr>
        <w:spacing w:after="60"/>
      </w:pPr>
      <w:r>
        <w:t xml:space="preserve">En deux temps : un aperçu calculé par le serveur (mêmes contrôles et mêmes effets que l'action), puis la confirmation.</w:t>
      </w:r>
    </w:p>
    <w:p>
      <w:pPr>
        <w:pStyle w:val="ListParagraph"/>
        <w:numPr>
          <w:ilvl w:val="0"/>
          <w:numId w:val="1"/>
        </w:numPr>
        <w:spacing w:after="60"/>
      </w:pPr>
      <w:r>
        <w:t xml:space="preserve">Rattachement exigé par le nouveau rôle, contrôlé par le serveur. Un seul DN actif et une seule DNA active ; une unité qui a déjà un chef est refusée — jamais de rétrogradation automatique de l'autre chef.</w:t>
      </w:r>
    </w:p>
    <w:p>
      <w:pPr>
        <w:pStyle w:val="ListParagraph"/>
        <w:numPr>
          <w:ilvl w:val="0"/>
          <w:numId w:val="1"/>
        </w:numPr>
        <w:spacing w:after="60"/>
      </w:pPr>
      <w:r>
        <w:t xml:space="preserve">Un superviseur qui perd son rôle de superviseur alors que des assistants lui sont rattachés est refusé, avec la liste des personnes à réaffecter. Le dernier administrateur système actif est protégé.</w:t>
      </w:r>
    </w:p>
    <w:p>
      <w:pPr>
        <w:pStyle w:val="ListParagraph"/>
        <w:numPr>
          <w:ilvl w:val="0"/>
          <w:numId w:val="1"/>
        </w:numPr>
        <w:spacing w:after="60"/>
      </w:pPr>
      <w:r>
        <w:t xml:space="preserve">Nommer ou retirer un Chef de Cellule passe par le même mécanisme : un DN, une DNA ou un Chef de Division ne peut pas être nommé chef de cellule ; le retrait exige un motif et un rôle d'arrivée (Chargé d'Études par défaut).</w:t>
      </w:r>
    </w:p>
    <w:p>
      <w:pPr>
        <w:pStyle w:val="ListParagraph"/>
        <w:numPr>
          <w:ilvl w:val="0"/>
          <w:numId w:val="1"/>
        </w:numPr>
        <w:spacing w:after="60"/>
      </w:pPr>
      <w:r>
        <w:t xml:space="preserve">Effets : les suppléances devenues non conformes sont révoquées (les autres conservées), les accès délégués au courrier ouverts ou reçus sont révoqués, les circuits de visa en cours sont signalés aux rédacteurs, les habilitations courrier sont conservées et listées dans l'aperçu, toutes les sessions de la personne sont fermées.</w:t>
      </w:r>
    </w:p>
    <w:p>
      <w:pPr>
        <w:pStyle w:val="ListParagraph"/>
        <w:numPr>
          <w:ilvl w:val="0"/>
          <w:numId w:val="1"/>
        </w:numPr>
        <w:spacing w:after="60"/>
      </w:pPr>
      <w:r>
        <w:t xml:space="preserve">Traçabilité : historique de carrière (changement de fonction, affectation), audit avant/après ; la personne et tous les DRH actifs sont notifiés.</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la désactiver lui-même à tout moment, depuis l'écran « Sécurité du compte » (cadenas en bas du menu) : QR code ou clé à saisir dans l'application d'authentification, activation confirmée par un premier code, désactivation qui exige un code valide.</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Téléphone perdu : l'administrateur système réinitialise la double authentification d'un compte (jamais du sien) depuis Utilisateurs ; les sessions de la personne sont fermées et l'opération est tracée au journal d'audit.</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calculé, jamais saisi : part des sous-tâches terminées, ou à défaut selon le statut (à faire 0 %, en cours 50 %, soumise 90 %, terminée ou validée 100 %).</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ListParagraph"/>
        <w:numPr>
          <w:ilvl w:val="0"/>
          <w:numId w:val="1"/>
        </w:numPr>
        <w:spacing w:after="60"/>
      </w:pPr>
      <w:r>
        <w:t xml:space="preserve">Métadonnées obligatoires au dépôt (lot N4, §4.18) : type (étude, rapport, note technique, procès-verbal, acte, RPEF, note de conjoncture, autre), date du document, période couverte ; unité productrice et auteur repris du dépôt. Filtres par type et par statut.</w:t>
      </w:r>
    </w:p>
    <w:p>
      <w:pPr>
        <w:pStyle w:val="ListParagraph"/>
        <w:numPr>
          <w:ilvl w:val="0"/>
          <w:numId w:val="1"/>
        </w:numPr>
        <w:spacing w:after="60"/>
      </w:pPr>
      <w:r>
        <w:t xml:space="preserve">Lien vers la tâche ou la réunion dont le document est issu, avec dépôt direct depuis la fiche de la tâche ou de la réunion ; le titre de l'objet d'origine n'est montré qu'à qui peut le voir.</w:t>
      </w:r>
    </w:p>
    <w:p>
      <w:pPr>
        <w:pStyle w:val="ListParagraph"/>
        <w:numPr>
          <w:ilvl w:val="0"/>
          <w:numId w:val="1"/>
        </w:numPr>
        <w:spacing w:after="60"/>
      </w:pPr>
      <w:r>
        <w:t xml:space="preserve">Statut de diffusion : Brouillon, Validé (chef de l'unité productrice — chef de division, ou chef de cellule pour un document produit par une cellule rattachée à la Direction (SAF, RH, CSID, CTSCM, CNC) —, DN et DNA en recours ; document « Final » aux métadonnées complètes), Diffusable (DN, DNA) ; retrait motivé ; une nouvelle version ramène le document au statut Brouillon. Tout fichier téléchargé porte la mention de son statut.</w:t>
      </w:r>
    </w:p>
    <w:p>
      <w:pPr>
        <w:pStyle w:val="ListParagraph"/>
        <w:numPr>
          <w:ilvl w:val="0"/>
          <w:numId w:val="1"/>
        </w:numPr>
        <w:spacing w:after="60"/>
      </w:pPr>
      <w:r>
        <w:t xml:space="preserve">Espaces documentaires : un par division et un par cellule rattachée à la Direction ; le contenu privé n'est lu que par les membres de l'unité (besoin d'en connaître, §2.2). Un chef de division ne valide pas un document de cellule.</w:t>
      </w:r>
    </w:p>
    <w:p>
      <w:pPr>
        <w:pStyle w:val="Heading2"/>
        <w:spacing w:after="150" w:before="300"/>
      </w:pPr>
      <w:r>
        <w:t xml:space="preserve">4.4 Module — Congés et absences</w:t>
      </w:r>
    </w:p>
    <w:p>
      <w:pPr>
        <w:spacing w:after="120"/>
      </w:pPr>
      <w:r>
        <w:rPr>
          <w:i/>
          <w:iCs/>
          <w:color w:val="444444"/>
        </w:rPr>
        <w:t xml:space="preserve">Demande, avis du chef d'unité, décision du DRH,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Circuit (lot N3, §4.17) : le chef d'unité le plus proche donne un avis favorable ou défavorable (motivé) dans un délai de 48 heures ouvrées (hors week-ends et jours fériés), paramétrable de 12 à 120 ; il est rappelé 12 heures ouvrées avant l'échéance ; sans avis dans le délai, l'avis est réputé favorable. Le DRH décide ensuite (approbation, ou refus motivé) ; la demande d'un DRH est décidée par le DN ou la DNA.</w:t>
      </w:r>
    </w:p>
    <w:p>
      <w:pPr>
        <w:pStyle w:val="ListParagraph"/>
        <w:numPr>
          <w:ilvl w:val="0"/>
          <w:numId w:val="1"/>
        </w:numPr>
        <w:spacing w:after="60"/>
      </w:pPr>
      <w:r>
        <w:t xml:space="preserve">Écran : « Mes congés », « À traiter » (avis ou décision attendus de soi) et « Suivi » (demandes de son périmètre, en lecture) ; le circuit, l'étape et l'échéance sont affichés sur chaque demande.</w:t>
      </w:r>
    </w:p>
    <w:p>
      <w:pPr>
        <w:pStyle w:val="ListParagraph"/>
        <w:numPr>
          <w:ilvl w:val="0"/>
          <w:numId w:val="1"/>
        </w:numPr>
        <w:spacing w:after="60"/>
      </w:pPr>
      <w:r>
        <w:t xml:space="preserve">Pour un congé maladie : le demandeur, le chef qui donne son avis et le DRH en voient le type, les dates et la durée ; le motif ne leur est affiché qu'après confirmation de leur identité, et chaque lecture est tracée. Le certificat médical, joint par le demandeur, n'est lisible que par lui et par le DRH (après confirmation d'identité). Le DN, la DNA et les autres responsables voient « Absence — motif protégé » et les dates.</w:t>
      </w:r>
    </w:p>
    <w:p>
      <w:pPr>
        <w:pStyle w:val="ListParagraph"/>
        <w:numPr>
          <w:ilvl w:val="0"/>
          <w:numId w:val="1"/>
        </w:numPr>
        <w:spacing w:after="60"/>
      </w:pPr>
      <w:r>
        <w:t xml:space="preserve">Jours fériés (lot N3) : calendrier saisi à l'écran, année par année, par l'administrateur système ou le DRH (fêtes fixes pré-remplies, fêtes religieuses à saisir chaque année, dates modifiables). Ils sont exclus du délai d'avis et du décompte des jours de congé (jours calendaires moins les jours fériés).</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(ou à son suppléant en intérim) ; la hiérarchie et les participants qui voient une réunion peuvent seulement consulter et relancer. Le responsable d'une action se choisit parmi les personnes que le serveur accepte (soi-même ou son périmètre).</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par le DRH (création d'un compte de Chargé d'Études ou de Stagiaire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ListParagraph"/>
        <w:numPr>
          <w:ilvl w:val="0"/>
          <w:numId w:val="1"/>
        </w:numPr>
        <w:spacing w:after="60"/>
      </w:pPr>
      <w:r>
        <w:t xml:space="preserve">Écrans : liste des dossiers consultables (selon la cascade pour le niveau 1), dossier par personne avec le statut de chaque champ, « Confirmer mes informations », « Signaler une erreur » (le DRH est notifié), fiche de poste téléchargeable par les lecteurs du niveau 1, historique de carrière en lecture seule. Le niveau 2 n'est jamais transmis au navigateur d'un chef ni du DN/DNA.</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2"/>
        <w:spacing w:after="150" w:before="300"/>
      </w:pPr>
      <w:r>
        <w:t xml:space="preserve">4.11 Module — Courrier et actes</w:t>
      </w:r>
    </w:p>
    <w:p>
      <w:pPr>
        <w:spacing w:after="120"/>
      </w:pPr>
      <w:r>
        <w:rPr>
          <w:i/>
          <w:iCs/>
          <w:color w:val="444444"/>
        </w:rPr>
        <w:t xml:space="preserve">Registres du courrier arrivée, des départs et des actes, de l'enregistrement à l'expédition.</w:t>
      </w:r>
    </w:p>
    <w:p>
      <w:pPr>
        <w:spacing w:after="60"/>
      </w:pPr>
      <w:r>
        <w:rPr>
          <w:b/>
          <w:bCs/>
        </w:rPr>
        <w:t xml:space="preserve">Fonctionnalités : </w:t>
      </w:r>
    </w:p>
    <w:p>
      <w:pPr>
        <w:pStyle w:val="ListParagraph"/>
        <w:numPr>
          <w:ilvl w:val="0"/>
          <w:numId w:val="1"/>
        </w:numPr>
        <w:spacing w:after="60"/>
      </w:pPr>
      <w:r>
        <w:t xml:space="preserve">Registres de portée Direction (numérotation DNPEC, imputés par DN/DNA) ou Unité (numérotation par Division ou Cellule, imputés par son chef ou DN/DNA), paramétrés par l'administrateur (format du numéro, reprise des numéros papier).</w:t>
      </w:r>
    </w:p>
    <w:p>
      <w:pPr>
        <w:pStyle w:val="ListParagraph"/>
        <w:numPr>
          <w:ilvl w:val="0"/>
          <w:numId w:val="1"/>
        </w:numPr>
        <w:spacing w:after="60"/>
      </w:pPr>
      <w:r>
        <w:t xml:space="preserve">Enregistrement par un secrétariat habilité sur un registre et une unité (habilitation courrier, distincte du rôle) ; numéro attribué par le système, séquentiel, sans trou ni doublon même en accès concurrent (compteur par registre, unité et année) ; scans joints. Intégrité du registre garantie en base : ni suppression ni renumérotation d'une entrée numérotée ; une annulation motivée consomme le numéro.</w:t>
      </w:r>
    </w:p>
    <w:p>
      <w:pPr>
        <w:pStyle w:val="ListParagraph"/>
        <w:numPr>
          <w:ilvl w:val="0"/>
          <w:numId w:val="1"/>
        </w:numPr>
        <w:spacing w:after="60"/>
      </w:pPr>
      <w:r>
        <w:t xml:space="preserve">Contrôle des dates : une réception dans le futur, ou un courrier daté après sa réception, est refusé sauf dérogation motivée (motif conservé et audité).</w:t>
      </w:r>
    </w:p>
    <w:p>
      <w:pPr>
        <w:pStyle w:val="ListParagraph"/>
        <w:numPr>
          <w:ilvl w:val="0"/>
          <w:numId w:val="1"/>
        </w:numPr>
        <w:spacing w:after="60"/>
      </w:pPr>
      <w:r>
        <w:t xml:space="preserve">Imputation (attribution, information, avis ; instructions ; échéance), sous-imputation dans le périmètre de l'imputé, traitement avec compte rendu, conversion en tâche liée, classement, correction tracée avant/après. Notification « nouveau courrier à imputer » ; rappels automatiques avant échéance (J-2) et en retard (J+1).</w:t>
      </w:r>
    </w:p>
    <w:p>
      <w:pPr>
        <w:pStyle w:val="ListParagraph"/>
        <w:numPr>
          <w:ilvl w:val="0"/>
          <w:numId w:val="1"/>
        </w:numPr>
        <w:spacing w:after="60"/>
      </w:pPr>
      <w:r>
        <w:t xml:space="preserve">Départs et actes : rédaction (annexes, réponse à un courrier arrivée, agent concerné avec prise de connaissance facultative) ; circuit de visa automatique (Chef de Section puis Chef de Division ou de Cellule, niveaux sans objet sautés) ; renvoi motivé ; signature par DN/DNA (Direction) ou par le chef de l'unité ou DN/DNA (Unité), jamais par le rédacteur ni le bénéficiaire ; numéro attribué à la signature ; expédition par le secrétariat habilité.</w:t>
      </w:r>
    </w:p>
    <w:p>
      <w:pPr>
        <w:pStyle w:val="ListParagraph"/>
        <w:numPr>
          <w:ilvl w:val="0"/>
          <w:numId w:val="1"/>
        </w:numPr>
        <w:spacing w:after="60"/>
      </w:pPr>
      <w:r>
        <w:t xml:space="preserve">Confidentialité (§2.2) : Ordinaire ; Confidentiel (le secrétariat ne voit que l'enregistrement) ; Pli personnel (visible de son seul destinataire, requalifiable par lui seul). Un confidentiel n'est jamais ouvert par un rôle emprunté en intérim ni par la vue héritée d'un assistant, sauf accès délégué ouvert courrier par courrier — valable tant que la personne qui l'a ouvert garde elle-même le droit d'accès.</w:t>
      </w:r>
    </w:p>
    <w:p>
      <w:pPr>
        <w:pStyle w:val="ListParagraph"/>
        <w:numPr>
          <w:ilvl w:val="0"/>
          <w:numId w:val="1"/>
        </w:numPr>
        <w:spacing w:after="60"/>
      </w:pPr>
      <w:r>
        <w:t xml:space="preserve">Suppléance (§4.10) : visa, signature et imputation possibles en intérim, tracés « au nom de ».</w:t>
      </w:r>
    </w:p>
    <w:p>
      <w:pPr>
        <w:pStyle w:val="ListParagraph"/>
        <w:numPr>
          <w:ilvl w:val="0"/>
          <w:numId w:val="1"/>
        </w:numPr>
        <w:spacing w:after="60"/>
      </w:pPr>
      <w:r>
        <w:t xml:space="preserve">Administrateur système : uniquement son courrier personnel (ses plis, ses actes, ceux dont il est bénéficiaire) ; jamais imputé, sous-imputé ni délégataire.</w:t>
      </w:r>
    </w:p>
    <w:p>
      <w:pPr>
        <w:pStyle w:val="ListParagraph"/>
        <w:numPr>
          <w:ilvl w:val="0"/>
          <w:numId w:val="1"/>
        </w:numPr>
        <w:spacing w:after="60"/>
      </w:pPr>
      <w:r>
        <w:t xml:space="preserve">Écrans : page Courrier (À faire, Arrivées, Départs et actes, compteurs, export Excel audité), fiches d'une arrivée et d'un acte, administration du courrier, carte sur le tableau de bord ; années : l'année en cours et tout ce qui est encore en cours.</w:t>
      </w:r>
    </w:p>
    <w:p>
      <w:pPr>
        <w:pStyle w:val="Heading2"/>
        <w:spacing w:after="150" w:before="300"/>
      </w:pPr>
      <w:r>
        <w:t xml:space="preserve">4.12 Module — Rotation des stagiaires</w:t>
      </w:r>
    </w:p>
    <w:p>
      <w:pPr>
        <w:spacing w:after="120"/>
      </w:pPr>
      <w:r>
        <w:rPr>
          <w:i/>
          <w:iCs/>
          <w:color w:val="444444"/>
        </w:rPr>
        <w:t xml:space="preserve">Plan de stage par unités successives, tutorat, évaluations et attestation de fin de stage.</w:t>
      </w:r>
    </w:p>
    <w:p>
      <w:pPr>
        <w:spacing w:after="60"/>
      </w:pPr>
      <w:r>
        <w:rPr>
          <w:b/>
          <w:bCs/>
        </w:rPr>
        <w:t xml:space="preserve">Fonctionnalités : </w:t>
      </w:r>
    </w:p>
    <w:p>
      <w:pPr>
        <w:pStyle w:val="ListParagraph"/>
        <w:numPr>
          <w:ilvl w:val="0"/>
          <w:numId w:val="1"/>
        </w:numPr>
        <w:spacing w:after="60"/>
      </w:pPr>
      <w:r>
        <w:t xml:space="preserve">Plan construit par le DRH : le stage (établissement, diplôme préparé, encadrant académique, dates) et ses périodes successives par unité (Division, Section ou Cellule), sans chevauchement, dans les dates du stage.</w:t>
      </w:r>
    </w:p>
    <w:p>
      <w:pPr>
        <w:pStyle w:val="ListParagraph"/>
        <w:numPr>
          <w:ilvl w:val="0"/>
          <w:numId w:val="1"/>
        </w:numPr>
        <w:spacing w:after="60"/>
      </w:pPr>
      <w:r>
        <w:t xml:space="preserve">Chaque période est acceptée ou refusée (motif) par le responsable de l'unité d'accueil, qui désigne le tuteur parmi les membres actifs de l'unité — liste fournie par le serveur, identique à ce qu'il accepte.</w:t>
      </w:r>
    </w:p>
    <w:p>
      <w:pPr>
        <w:pStyle w:val="ListParagraph"/>
        <w:numPr>
          <w:ilvl w:val="0"/>
          <w:numId w:val="1"/>
        </w:numPr>
        <w:spacing w:after="60"/>
      </w:pPr>
      <w:r>
        <w:t xml:space="preserve">Capacité d'accueil : nombre maximal de stagiaires simultanés par unité, fixé par le DRH ; une période en section compte aussi pour sa division. Un dépassement est refusé à la création ou au déplacement d'une période, y compris en accès concurrent.</w:t>
      </w:r>
    </w:p>
    <w:p>
      <w:pPr>
        <w:pStyle w:val="ListParagraph"/>
        <w:numPr>
          <w:ilvl w:val="0"/>
          <w:numId w:val="1"/>
        </w:numPr>
        <w:spacing w:after="60"/>
      </w:pPr>
      <w:r>
        <w:t xml:space="preserve">Changement d'unité automatique à la date prévue (traitement quotidien), enregistré dans l'historique de carrière ; rappel trois jours avant ; alerte au DRH si une période n'est pas acceptée à sa date, si l'unité est suspendue ou si le compte n'est plus actif.</w:t>
      </w:r>
    </w:p>
    <w:p>
      <w:pPr>
        <w:pStyle w:val="ListParagraph"/>
        <w:numPr>
          <w:ilvl w:val="0"/>
          <w:numId w:val="1"/>
        </w:numPr>
        <w:spacing w:after="60"/>
      </w:pPr>
      <w:r>
        <w:t xml:space="preserve">Évaluation de chaque période, au format choisi par le DRH et modifiable par le tuteur tant qu'elle n'est pas commencée : grille de quatre critères (assiduité, qualité du travail, autonomie, intégration) avec appréciation, texte libre, ou aucune évaluation. Rédigée par le tuteur, visée — ou renvoyée avec un motif — par le responsable de l'unité ; visible du stagiaire une fois visée.</w:t>
      </w:r>
    </w:p>
    <w:p>
      <w:pPr>
        <w:pStyle w:val="ListParagraph"/>
        <w:numPr>
          <w:ilvl w:val="0"/>
          <w:numId w:val="1"/>
        </w:numPr>
        <w:spacing w:after="60"/>
      </w:pPr>
      <w:r>
        <w:t xml:space="preserve">Encadreur principal (lot N3) : désigné par le DRH parmi les tuteurs du plan, il suit le stagiaire sur toute la durée du stage. Le stagiaire dépose son rapport pendant le stage ou à sa fin ; l'encadreur le valide ou demande une reprise motivée ; le stagiaire, l'encadreur et le DRH seuls peuvent le télécharger. Une fois validé, le DRH en est informé pour préparer l'attestation.</w:t>
      </w:r>
    </w:p>
    <w:p>
      <w:pPr>
        <w:pStyle w:val="ListParagraph"/>
        <w:numPr>
          <w:ilvl w:val="0"/>
          <w:numId w:val="1"/>
        </w:numPr>
        <w:spacing w:after="60"/>
      </w:pPr>
      <w:r>
        <w:t xml:space="preserve">Attestation : tant que la version finale n'existe pas, une version provisoire PDF marquée « Provisoire — non signée », sans numéro. La version finale est un acte du module Courrier (§4.11), dans un registre d'actes de la Direction : numérotée, signée par DN/DNA ; le stagiaire en est bénéficiaire et en prend connaissance depuis sa page de stage.</w:t>
      </w:r>
    </w:p>
    <w:p>
      <w:pPr>
        <w:pStyle w:val="ListParagraph"/>
        <w:numPr>
          <w:ilvl w:val="0"/>
          <w:numId w:val="1"/>
        </w:numPr>
        <w:spacing w:after="60"/>
      </w:pPr>
      <w:r>
        <w:t xml:space="preserve">Modèle d'attestation importable par le DRH : Word (champs entre doubles accolades) ou PDF à champs ; les champs disponibles sont affichés à l'import et remplis automatiquement ; le nom du stagiaire est toujours pris du compte à jour. Sans modèle, une mise en page standard est utilisée.</w:t>
      </w:r>
    </w:p>
    <w:p>
      <w:pPr>
        <w:pStyle w:val="ListParagraph"/>
        <w:numPr>
          <w:ilvl w:val="0"/>
          <w:numId w:val="1"/>
        </w:numPr>
        <w:spacing w:after="60"/>
      </w:pPr>
      <w:r>
        <w:t xml:space="preserve">Besoin d'en connaître : les données personnelles du stagiaire restent au niveau 2 du dossier du personnel (§4.9) ; un chef ne voit que le plan et les évaluations des périodes de son unité.</w:t>
      </w:r>
    </w:p>
    <w:p>
      <w:pPr>
        <w:pStyle w:val="ListParagraph"/>
        <w:numPr>
          <w:ilvl w:val="0"/>
          <w:numId w:val="1"/>
        </w:numPr>
        <w:spacing w:after="60"/>
      </w:pPr>
      <w:r>
        <w:t xml:space="preserve">Écrans : Stagiaires (DRH, DN/DNA, chefs) ou « Mon stage » (stagiaire), fiche du stage, « Planning, capacités et modèle d'attestation » (DRH), carte du tableau de bord.</w:t>
      </w:r>
    </w:p>
    <w:p>
      <w:pPr>
        <w:pStyle w:val="Heading2"/>
        <w:spacing w:after="150" w:before="300"/>
      </w:pPr>
      <w:r>
        <w:t xml:space="preserve">4.13 Module — Logistique</w:t>
      </w:r>
    </w:p>
    <w:p>
      <w:pPr>
        <w:spacing w:after="120"/>
      </w:pPr>
      <w:r>
        <w:rPr>
          <w:i/>
          <w:iCs/>
          <w:color w:val="444444"/>
        </w:rPr>
        <w:t xml:space="preserve">Inventaire des biens, demandes logistiques, fournitures et réservation des salles et du matériel de présentation, sans comptabilité.</w:t>
      </w:r>
    </w:p>
    <w:p>
      <w:pPr>
        <w:spacing w:after="60"/>
      </w:pPr>
      <w:r>
        <w:rPr>
          <w:b/>
          <w:bCs/>
        </w:rPr>
        <w:t xml:space="preserve">Fonctionnalités : </w:t>
      </w:r>
    </w:p>
    <w:p>
      <w:pPr>
        <w:pStyle w:val="ListParagraph"/>
        <w:numPr>
          <w:ilvl w:val="0"/>
          <w:numId w:val="1"/>
        </w:numPr>
        <w:spacing w:after="60"/>
      </w:pPr>
      <w:r>
        <w:t xml:space="preserve">Gestionnaire logistique : habilitation donnée et retirée par l'administrateur système à n'importe quel compte actif (sauf stagiaire) — pas un rôle. Elle est personnelle et ne se transmet pas en intérim.</w:t>
      </w:r>
    </w:p>
    <w:p>
      <w:pPr>
        <w:pStyle w:val="ListParagraph"/>
        <w:numPr>
          <w:ilvl w:val="0"/>
          <w:numId w:val="1"/>
        </w:numPr>
        <w:spacing w:after="60"/>
      </w:pPr>
      <w:r>
        <w:t xml:space="preserve">Catégories, paramétrées par l'administrateur : biens inventoriés ou fournitures, chacune avec le réglage « validation du chef requise ».</w:t>
      </w:r>
    </w:p>
    <w:p>
      <w:pPr>
        <w:pStyle w:val="ListParagraph"/>
        <w:numPr>
          <w:ilvl w:val="0"/>
          <w:numId w:val="1"/>
        </w:numPr>
        <w:spacing w:after="60"/>
      </w:pPr>
      <w:r>
        <w:t xml:space="preserve">Demandes (fournitures, matériel, intervention sur un bien) : si la catégorie l'exige, le chef direct du demandeur valide (DN/DNA à défaut), puis un gestionnaire traite ; sinon, la demande va directement aux gestionnaires. Le réglage est figé à la soumission. Refus motivé à chaque étape, annulation par le demandeur avant la prise en charge. Aucune auto-validation : ni un chef sur sa propre demande, ni un gestionnaire sur la sienne. Une intervention figure dans l'historique du bien.</w:t>
      </w:r>
    </w:p>
    <w:p>
      <w:pPr>
        <w:pStyle w:val="ListParagraph"/>
        <w:numPr>
          <w:ilvl w:val="0"/>
          <w:numId w:val="1"/>
        </w:numPr>
        <w:spacing w:after="60"/>
      </w:pPr>
      <w:r>
        <w:t xml:space="preserve">Inventaire sans aucun montant : numéro CODE-ANNÉE-RANG attribué par le système, sans trou ni doublon ; un bien n'est jamais supprimé ni renuméroté (garanti en base) — il est réformé, définitivement ; son historique (entrée, affectations, retours, états, modifications, interventions) n'est jamais effacé. Affectation à une personne ou à une unité active, une seule à la fois. Si le détenteur quitte la DNPEC, le bien reste affecté et les gestionnaires sont alertés.</w:t>
      </w:r>
    </w:p>
    <w:p>
      <w:pPr>
        <w:pStyle w:val="ListParagraph"/>
        <w:numPr>
          <w:ilvl w:val="0"/>
          <w:numId w:val="1"/>
        </w:numPr>
        <w:spacing w:after="60"/>
      </w:pPr>
      <w:r>
        <w:t xml:space="preserve">Fournitures : « suivi de stock » oui/non par article. Oui : entrées et sorties tenues par les gestionnaires, sortie automatique au traitement d'une demande, stock jamais négatif (refus), alerte aux gestionnaires sous le seuil. Non : traitement au cas par cas.</w:t>
      </w:r>
    </w:p>
    <w:p>
      <w:pPr>
        <w:pStyle w:val="ListParagraph"/>
        <w:numPr>
          <w:ilvl w:val="0"/>
          <w:numId w:val="1"/>
        </w:numPr>
        <w:spacing w:after="60"/>
      </w:pPr>
      <w:r>
        <w:t xml:space="preserve">Réservations des salles et du matériel de présentation : par ressource, confirmation immédiate si le créneau est libre ou validation d'un gestionnaire ; jamais deux réservations actives sur le même créneau (garanti en base). Une réunion peut réserver sa salle à sa création ; annuler la réunion libère la salle.</w:t>
      </w:r>
    </w:p>
    <w:p>
      <w:pPr>
        <w:pStyle w:val="ListParagraph"/>
        <w:numPr>
          <w:ilvl w:val="0"/>
          <w:numId w:val="1"/>
        </w:numPr>
        <w:spacing w:after="60"/>
      </w:pPr>
      <w:r>
        <w:t xml:space="preserve">Priorité hiérarchique : toute personne ayant autorité hiérarchique sur le titulaire d'une réservation (cascade ; DN et DNA sur tous les autres) peut prendre le créneau. La réservation déplacée passe « annulée pour priorité », son titulaire est notifié avec le nom du prioritaire, tout est audité. Jamais entre pairs ni vers le haut ; le DN et la DNA sont pairs : aucun des deux ne prend le créneau de l'autre. La salle d'une réunion déplacée est perdue, la réunion est conservée.</w:t>
      </w:r>
    </w:p>
    <w:p>
      <w:pPr>
        <w:pStyle w:val="ListParagraph"/>
        <w:numPr>
          <w:ilvl w:val="0"/>
          <w:numId w:val="1"/>
        </w:numPr>
        <w:spacing w:after="60"/>
      </w:pPr>
      <w:r>
        <w:t xml:space="preserve">Besoin d'en connaître : inventaire complet pour les gestionnaires et DN/DNA ; ailleurs, ses biens et ceux de son unité, et pour un chef ceux de son périmètre. L'objet d'une réservation n'est visible que de son titulaire, de sa hiérarchie et des gestionnaires.</w:t>
      </w:r>
    </w:p>
    <w:p>
      <w:pPr>
        <w:pStyle w:val="ListParagraph"/>
        <w:numPr>
          <w:ilvl w:val="0"/>
          <w:numId w:val="1"/>
        </w:numPr>
        <w:spacing w:after="60"/>
      </w:pPr>
      <w:r>
        <w:t xml:space="preserve">Écrans : Logistique (demandes, réservations, inventaire ou « Mes biens », fournitures pour les gestionnaires), Administration → Logistique, choix de la salle à la création d'une réunion, carte du tableau de bord ; exports Excel audités.</w:t>
      </w:r>
    </w:p>
    <w:p>
      <w:pPr>
        <w:pStyle w:val="Heading2"/>
        <w:spacing w:after="150" w:before="300"/>
      </w:pPr>
      <w:r>
        <w:t xml:space="preserve">4.14 Aide en ligne</w:t>
      </w:r>
    </w:p>
    <w:p>
      <w:pPr>
        <w:spacing w:after="120"/>
      </w:pPr>
      <w:r>
        <w:rPr>
          <w:i/>
          <w:iCs/>
          <w:color w:val="444444"/>
        </w:rPr>
        <w:t xml:space="preserve">Guides d'utilisation en français simple, intégrés à l'application et exportés en PDF.</w:t>
      </w:r>
    </w:p>
    <w:p>
      <w:pPr>
        <w:spacing w:after="60"/>
      </w:pPr>
      <w:r>
        <w:rPr>
          <w:b/>
          <w:bCs/>
        </w:rPr>
        <w:t xml:space="preserve">Fonctionnalités : </w:t>
      </w:r>
    </w:p>
    <w:p>
      <w:pPr>
        <w:pStyle w:val="ListParagraph"/>
        <w:numPr>
          <w:ilvl w:val="0"/>
          <w:numId w:val="1"/>
        </w:numPr>
        <w:spacing w:after="60"/>
      </w:pPr>
      <w:r>
        <w:t xml:space="preserve">Page « Aide » accessible à tous depuis le menu, stagiaires compris.</w:t>
      </w:r>
    </w:p>
    <w:p>
      <w:pPr>
        <w:pStyle w:val="ListParagraph"/>
        <w:numPr>
          <w:ilvl w:val="0"/>
          <w:numId w:val="1"/>
        </w:numPr>
        <w:spacing w:after="60"/>
      </w:pPr>
      <w:r>
        <w:t xml:space="preserve">Un guide par profil : Chargé d'Études, Chef de Section, Chef de Division ou de Cellule, DN/DNA, Assistant de direction, secrétariat courrier, DRH, gestionnaire logistique, Stagiaire, Administrateur système, plus des « Premiers pas » communs.</w:t>
      </w:r>
    </w:p>
    <w:p>
      <w:pPr>
        <w:pStyle w:val="ListParagraph"/>
        <w:numPr>
          <w:ilvl w:val="0"/>
          <w:numId w:val="1"/>
        </w:numPr>
        <w:spacing w:after="60"/>
      </w:pPr>
      <w:r>
        <w:t xml:space="preserve">Chacun ne voit que les guides de son profil : son rôle propre (jamais celui emprunté en intérim) et ses habilitations personnelles (secrétariat courrier, gestionnaire logistique), déterminés par le serveur.</w:t>
      </w:r>
    </w:p>
    <w:p>
      <w:pPr>
        <w:pStyle w:val="ListParagraph"/>
        <w:numPr>
          <w:ilvl w:val="0"/>
          <w:numId w:val="1"/>
        </w:numPr>
        <w:spacing w:after="60"/>
      </w:pPr>
      <w:r>
        <w:t xml:space="preserve">Étapes illustrées de captures d'écran de l'application ; le même contenu est fourni en PDF imprimable (docs/Guide_utilisateur_SI_DNPEC.pdf).</w:t>
      </w:r>
    </w:p>
    <w:p>
      <w:pPr>
        <w:pStyle w:val="Heading2"/>
        <w:spacing w:after="150" w:before="300"/>
      </w:pPr>
      <w:r>
        <w:t xml:space="preserve">4.15 Socle NIMBA — organigramme, agents et rôles fonctionnels (lot N1)</w:t>
      </w:r>
    </w:p>
    <w:p>
      <w:pPr>
        <w:spacing w:after="120"/>
      </w:pPr>
      <w:r>
        <w:rPr>
          <w:i/>
          <w:iCs/>
          <w:color w:val="444444"/>
        </w:rPr>
        <w:t xml:space="preserve">Premier lot du socle défini par le cahier des charges NIMBA v2.2 (Partie 0, Partie A, annexes 1 à 4). Les modules existants continuent de fonctionner à l'identique ; ils passeront sur ce socle au fil des lots suivants.</w:t>
      </w:r>
    </w:p>
    <w:p>
      <w:pPr>
        <w:spacing w:after="60"/>
      </w:pPr>
      <w:r>
        <w:rPr>
          <w:b/>
          <w:bCs/>
        </w:rPr>
        <w:t xml:space="preserve">Organigramme (Personnel → Organisation) : </w:t>
      </w:r>
    </w:p>
    <w:p>
      <w:pPr>
        <w:pStyle w:val="ListParagraph"/>
        <w:numPr>
          <w:ilvl w:val="0"/>
          <w:numId w:val="1"/>
        </w:numPr>
        <w:spacing w:after="60"/>
      </w:pPr>
      <w:r>
        <w:t xml:space="preserve">Lisible par tous : Direction, divisions, sections, cellules et instances, avec le responsable, l'éventuel suppléant en cours et l'effectif de chaque unité.</w:t>
      </w:r>
    </w:p>
    <w:p>
      <w:pPr>
        <w:pStyle w:val="ListParagraph"/>
        <w:numPr>
          <w:ilvl w:val="0"/>
          <w:numId w:val="1"/>
        </w:numPr>
        <w:spacing w:after="60"/>
      </w:pPr>
      <w:r>
        <w:t xml:space="preserve">Tenu par le DRH et l'administrateur système : création d'une sous-unité (Direction → division, cellule ou instance ; division → section), modification du code et du libellé (cellule ⇄ instance possible), fermeture datée avec motif, refusée tant qu'un agent, un compte ou une sous-unité ouverte y reste rattaché. Chaque changement est inscrit à l'historique de l'unité (auteur, date, avant/après).</w:t>
      </w:r>
    </w:p>
    <w:p>
      <w:pPr>
        <w:pStyle w:val="ListParagraph"/>
        <w:numPr>
          <w:ilvl w:val="0"/>
          <w:numId w:val="1"/>
        </w:numPr>
        <w:spacing w:after="60"/>
      </w:pPr>
      <w:r>
        <w:t xml:space="preserve">Le responsable d'une unité est déduit des nominations existantes (changement de rôle, chef de cellule) ; « Pas de responsable désigné » signale un poste vacant ou deux chefs en même temps.</w:t>
      </w:r>
    </w:p>
    <w:p>
      <w:pPr>
        <w:spacing w:after="60"/>
      </w:pPr>
      <w:r>
        <w:rPr>
          <w:b/>
          <w:bCs/>
        </w:rPr>
        <w:t xml:space="preserve">Agents (Personnel → Agents, DRH et gestionnaire RH) : </w:t>
      </w:r>
    </w:p>
    <w:p>
      <w:pPr>
        <w:pStyle w:val="ListParagraph"/>
        <w:numPr>
          <w:ilvl w:val="0"/>
          <w:numId w:val="1"/>
        </w:numPr>
        <w:spacing w:after="60"/>
      </w:pPr>
      <w:r>
        <w:t xml:space="preserve">L'agent (la personne : matricule, nom, unité, fonction, statut En activité / Suspendu / Parti) est distinct du compte de connexion. Tout compte est rattaché à un agent : à sa création ou à l'approbation d'une inscription, l'administrateur choisit l'agent existant ou indique son matricule ; à défaut, un matricule provisoire (P-000001…) est attribué, que le DRH remplace ensuite.</w:t>
      </w:r>
    </w:p>
    <w:p>
      <w:pPr>
        <w:pStyle w:val="ListParagraph"/>
        <w:numPr>
          <w:ilvl w:val="0"/>
          <w:numId w:val="1"/>
        </w:numPr>
        <w:spacing w:after="60"/>
      </w:pPr>
      <w:r>
        <w:t xml:space="preserve">Cycle de vie par le DRH seul, jamais sur lui-même, motif obligatoire : suspension (connexion bloquée aussitôt), réactivation, départ (compte désactivé, tâches en cours transférées au premier responsable actif en remontant l'organigramme, suppléances et rôles retirés, dossier conservé).</w:t>
      </w:r>
    </w:p>
    <w:p>
      <w:pPr>
        <w:pStyle w:val="ListParagraph"/>
        <w:numPr>
          <w:ilvl w:val="0"/>
          <w:numId w:val="1"/>
        </w:numPr>
        <w:spacing w:after="60"/>
      </w:pPr>
      <w:r>
        <w:t xml:space="preserve">Fin prévue d'un stage ou d'un contrat : alerte au DRH à J-15 puis rappel à J-3 (notification et email), avec « Prolonger » (nouvelle date, motif, tracé ; nouvelles alertes calculées sur la nouvelle date) ou « Confirmer la fin ». Sans décision, l'agent passe « Parti » le lendemain de la date de fin et son compte est désactivé ; le DRH en est prévenu le jour même. Dossier, évaluation et attestation toujours conservés ; réactivation possible par le DRH.</w:t>
      </w:r>
    </w:p>
    <w:p>
      <w:pPr>
        <w:spacing w:after="60"/>
      </w:pPr>
      <w:r>
        <w:rPr>
          <w:b/>
          <w:bCs/>
        </w:rPr>
        <w:t xml:space="preserve">Rôles fonctionnels (Administration → Utilisateurs → Rôles fonctionnels) : </w:t>
      </w:r>
    </w:p>
    <w:p>
      <w:pPr>
        <w:pStyle w:val="ListParagraph"/>
        <w:numPr>
          <w:ilvl w:val="0"/>
          <w:numId w:val="1"/>
        </w:numPr>
        <w:spacing w:after="60"/>
      </w:pPr>
      <w:r>
        <w:t xml:space="preserve">Deux axes d'autorisation : la position (rôle du compte et rattachement) fixe ce que la personne voit ; les rôles fonctionnels (DRH, Gestionnaire RH, Gestionnaire paie, Chef du SAF, Validateur, Encadreur de stage, Assistant, Agent du courrier, Gestionnaire logistique…) ajoutent des capacités, cumulables, sans jamais élargir ce périmètre. Le besoin d'en connaître (§2.2) prévaut toujours.</w:t>
      </w:r>
    </w:p>
    <w:p>
      <w:pPr>
        <w:pStyle w:val="ListParagraph"/>
        <w:numPr>
          <w:ilvl w:val="0"/>
          <w:numId w:val="1"/>
        </w:numPr>
        <w:spacing w:after="60"/>
      </w:pPr>
      <w:r>
        <w:t xml:space="preserve">Attribués et retirés par l'administrateur système seul (période facultative, motif au retrait, personne notifiée). Agent du courrier et Gestionnaire logistique restent attribués depuis leurs modules et y sont reflétés. En intérim, le suppléant emprunte la position et le périmètre du titulaire, jamais ses rôles fonctionnels.</w:t>
      </w:r>
    </w:p>
    <w:p>
      <w:pPr>
        <w:spacing w:after="60"/>
      </w:pPr>
      <w:r>
        <w:rPr>
          <w:b/>
          <w:bCs/>
        </w:rPr>
        <w:t xml:space="preserve">Traçabilité et conventions : </w:t>
      </w:r>
    </w:p>
    <w:p>
      <w:pPr>
        <w:pStyle w:val="ListParagraph"/>
        <w:numPr>
          <w:ilvl w:val="0"/>
          <w:numId w:val="1"/>
        </w:numPr>
        <w:spacing w:after="60"/>
      </w:pPr>
      <w:r>
        <w:t xml:space="preserve">Chaque refus d'accès (403) est journalisé : qui, quoi, à quelle étape du contrôle, avec un identifiant de trace renvoyé dans chaque réponse (en-tête X-Trace-Id).</w:t>
      </w:r>
    </w:p>
    <w:p>
      <w:pPr>
        <w:pStyle w:val="ListParagraph"/>
        <w:numPr>
          <w:ilvl w:val="0"/>
          <w:numId w:val="1"/>
        </w:numPr>
        <w:spacing w:after="60"/>
      </w:pPr>
      <w:r>
        <w:t xml:space="preserve">Nouvelles routes sous /api/v1, avec une forme d'erreur unique { code, message, details, trace_id } ; les routes existantes ne changent pas.</w:t>
      </w:r>
    </w:p>
    <w:p>
      <w:pPr>
        <w:pStyle w:val="ListParagraph"/>
        <w:numPr>
          <w:ilvl w:val="0"/>
          <w:numId w:val="1"/>
        </w:numPr>
        <w:spacing w:after="60"/>
      </w:pPr>
      <w:r>
        <w:t xml:space="preserve">Reprise automatique à la mise en service, sans modifier aucune donnée existante : unités, responsables, un agent par compte (matricule provisoire), rôles DRH et Assistant selon la position, Validateur pour le DN et la DNA, Chef du SAF pour le chef de la cellule SAF, Encadreur de stage pour les tuteurs de stages en cours, reflets des habilitations courrier et logistique. Retour arrière documenté (docs/Exploitation.md, § 3 bis).</w:t>
      </w:r>
    </w:p>
    <w:p>
      <w:pPr>
        <w:pStyle w:val="Heading2"/>
        <w:spacing w:after="150" w:before="300"/>
      </w:pPr>
      <w:r>
        <w:t xml:space="preserve">4.16 Socle NIMBA — sécurité, journal inaltérable, paramétrage et supervision (lot N2)</w:t>
      </w:r>
    </w:p>
    <w:p>
      <w:pPr>
        <w:spacing w:after="120"/>
      </w:pPr>
      <w:r>
        <w:rPr>
          <w:i/>
          <w:iCs/>
          <w:color w:val="444444"/>
        </w:rPr>
        <w:t xml:space="preserve">Deuxième lot du socle NIMBA (Partie 0 §3.2, §4.4, §13.6, SOC-SEC, SOC-SUP). La double authentification reste facultative et le mot de passe compte au moins 8 caractères (décision de la Direction).</w:t>
      </w:r>
    </w:p>
    <w:p>
      <w:pPr>
        <w:spacing w:after="60"/>
      </w:pPr>
      <w:r>
        <w:rPr>
          <w:b/>
          <w:bCs/>
        </w:rPr>
        <w:t xml:space="preserve">Réauthentification : </w:t>
      </w:r>
    </w:p>
    <w:p>
      <w:pPr>
        <w:pStyle w:val="ListParagraph"/>
        <w:numPr>
          <w:ilvl w:val="0"/>
          <w:numId w:val="1"/>
        </w:numPr>
        <w:spacing w:after="60"/>
      </w:pPr>
      <w:r>
        <w:t xml:space="preserve">Avant d'ouvrir un élément protégé — aujourd'hui les informations personnelles, diplômes, pièces et l'historique de carrière du dossier du personnel — la personne confirme son mot de passe (et le code de son application si la double authentification est active). La confirmation vaut 10 minutes ; chaque consultation d'un élément protégé est tracée.</w:t>
      </w:r>
    </w:p>
    <w:p>
      <w:pPr>
        <w:spacing w:after="60"/>
      </w:pPr>
      <w:r>
        <w:rPr>
          <w:b/>
          <w:bCs/>
        </w:rPr>
        <w:t xml:space="preserve">Journal d’audit : </w:t>
      </w:r>
    </w:p>
    <w:p>
      <w:pPr>
        <w:pStyle w:val="ListParagraph"/>
        <w:numPr>
          <w:ilvl w:val="0"/>
          <w:numId w:val="1"/>
        </w:numPr>
        <w:spacing w:after="60"/>
      </w:pPr>
      <w:r>
        <w:t xml:space="preserve">En écriture seule pour tous, administrateur compris, garanti par la base elle-même : aucune entrée ne peut être modifiée ni supprimée. Chaque entrée est scellée par une empreinte chaînée à la précédente ; « Vérifier l'intégrité » détecte toute altération directe en base.</w:t>
      </w:r>
    </w:p>
    <w:p>
      <w:pPr>
        <w:pStyle w:val="ListParagraph"/>
        <w:numPr>
          <w:ilvl w:val="0"/>
          <w:numId w:val="1"/>
        </w:numPr>
        <w:spacing w:after="60"/>
      </w:pPr>
      <w:r>
        <w:t xml:space="preserve">Lecture selon l'annexe 1 du cahier NIMBA : toute la Direction pour le DN, la DNA et l'administrateur ; son périmètre pour un responsable ; ses propres actions pour les autres. Jamais le contenu d'un élément protégé.</w:t>
      </w:r>
    </w:p>
    <w:p>
      <w:pPr>
        <w:spacing w:after="60"/>
      </w:pPr>
      <w:r>
        <w:rPr>
          <w:b/>
          <w:bCs/>
        </w:rPr>
        <w:t xml:space="preserve">Connexions : </w:t>
      </w:r>
    </w:p>
    <w:p>
      <w:pPr>
        <w:pStyle w:val="ListParagraph"/>
        <w:numPr>
          <w:ilvl w:val="0"/>
          <w:numId w:val="1"/>
        </w:numPr>
        <w:spacing w:after="60"/>
      </w:pPr>
      <w:r>
        <w:t xml:space="preserve">Réussites et échecs de connexion (adresse IP, navigateur) tenus dans un journal technique distinct, conservé 12 mois (paramètre) puis effacé automatiquement.</w:t>
      </w:r>
    </w:p>
    <w:p>
      <w:pPr>
        <w:spacing w:after="60"/>
      </w:pPr>
      <w:r>
        <w:rPr>
          <w:b/>
          <w:bCs/>
        </w:rPr>
        <w:t xml:space="preserve">Paramétrage et supervision (administrateur ; DN et DNA en lecture) : </w:t>
      </w:r>
    </w:p>
    <w:p>
      <w:pPr>
        <w:pStyle w:val="ListParagraph"/>
        <w:numPr>
          <w:ilvl w:val="0"/>
          <w:numId w:val="1"/>
        </w:numPr>
        <w:spacing w:after="60"/>
      </w:pPr>
      <w:r>
        <w:t xml:space="preserve">Paramètres bornés, appliqués aussitôt et tracés : longueur minimale du mot de passe (8 à 32), conservation des journaux de connexion (6 à 36 mois), expiration de session après inactivité (1 à 90 jours), alerte avant une fin de stage ou de contrat (5 à 60 jours).</w:t>
      </w:r>
    </w:p>
    <w:p>
      <w:pPr>
        <w:pStyle w:val="ListParagraph"/>
        <w:numPr>
          <w:ilvl w:val="0"/>
          <w:numId w:val="1"/>
        </w:numPr>
        <w:spacing w:after="60"/>
      </w:pPr>
      <w:r>
        <w:t xml:space="preserve">Supervision : état de la base, du stockage des fichiers, des emails, des tâches planifiées et du journal d'audit ; sessions ouvertes ; connexions ; comptes à surveiller ; accès refusés comptés ; sauvegardes et date du dernier test de restauration. L'administrateur est alerté dès qu'un service se dégrade. Aucun élément protégé n'y figure.</w:t>
      </w:r>
    </w:p>
    <w:p>
      <w:pPr>
        <w:spacing w:after="60"/>
      </w:pPr>
      <w:r>
        <w:rPr>
          <w:b/>
          <w:bCs/>
        </w:rPr>
        <w:t xml:space="preserve">Aucun compte sans agent : </w:t>
      </w:r>
    </w:p>
    <w:p>
      <w:pPr>
        <w:pStyle w:val="ListParagraph"/>
        <w:numPr>
          <w:ilvl w:val="0"/>
          <w:numId w:val="1"/>
        </w:numPr>
        <w:spacing w:after="60"/>
      </w:pPr>
      <w:r>
        <w:t xml:space="preserve">Garanti par la base : un compte actif reçoit toujours un agent (matricule provisoire à défaut), remplacé par l'agent choisi à la création du compte.</w:t>
      </w:r>
    </w:p>
    <w:p>
      <w:pPr>
        <w:pStyle w:val="Heading2"/>
        <w:spacing w:after="150" w:before="300"/>
      </w:pPr>
      <w:r>
        <w:t xml:space="preserve">4.17 Socle NIMBA — règles métier des congés, des tâches, des stages et de la conservation (lot N3)</w:t>
      </w:r>
    </w:p>
    <w:p>
      <w:pPr>
        <w:spacing w:after="120"/>
      </w:pPr>
      <w:r>
        <w:rPr>
          <w:i/>
          <w:iCs/>
          <w:color w:val="444444"/>
        </w:rPr>
        <w:t xml:space="preserve">Troisième lot du socle NIMBA (circuit A6.1, SIG-RF-STG-05/11, annexe 4 du cahier NIMBA). Il applique les règles transverses dans les modules existants, sans nouvel écran.</w:t>
      </w:r>
    </w:p>
    <w:p>
      <w:pPr>
        <w:spacing w:after="60"/>
      </w:pPr>
      <w:r>
        <w:rPr>
          <w:b/>
          <w:bCs/>
        </w:rPr>
        <w:t xml:space="preserve">Congés et absences : </w:t>
      </w:r>
    </w:p>
    <w:p>
      <w:pPr>
        <w:pStyle w:val="ListParagraph"/>
        <w:numPr>
          <w:ilvl w:val="0"/>
          <w:numId w:val="1"/>
        </w:numPr>
        <w:spacing w:after="60"/>
      </w:pPr>
      <w:r>
        <w:t xml:space="preserve">Avis du chef d'unité le plus proche (à défaut le DN ou la DNA) dans le délai paramétré (48 heures ouvrées par défaut, lundi à vendredi hors jours fériés) ; rappel 12 heures ouvrées avant l'échéance ; avis réputé favorable ensuite, avec information du DRH. Un avis défavorable est motivé.</w:t>
      </w:r>
    </w:p>
    <w:p>
      <w:pPr>
        <w:pStyle w:val="ListParagraph"/>
        <w:numPr>
          <w:ilvl w:val="0"/>
          <w:numId w:val="1"/>
        </w:numPr>
        <w:spacing w:after="60"/>
      </w:pPr>
      <w:r>
        <w:t xml:space="preserve">Décision par le DRH, après l'avis ; pour une demande d'un DRH, par le DN ou la DNA. Le chef, le DN et la DNA ne décident plus.</w:t>
      </w:r>
    </w:p>
    <w:p>
      <w:pPr>
        <w:pStyle w:val="ListParagraph"/>
        <w:numPr>
          <w:ilvl w:val="0"/>
          <w:numId w:val="1"/>
        </w:numPr>
        <w:spacing w:after="60"/>
      </w:pPr>
      <w:r>
        <w:t xml:space="preserve">Congé maladie : le chef qui donne l'avis voit le type, les dates, la durée et, après confirmation de son identité (§4.16), le motif ; le certificat médical est réservé au demandeur et au DRH (après confirmation d'identité) ; toute lecture est tracée au journal d'audit. Le DN, la DNA et le reste de la cascade voient « Absence — motif protégé » et les dates.</w:t>
      </w:r>
    </w:p>
    <w:p>
      <w:pPr>
        <w:pStyle w:val="ListParagraph"/>
        <w:numPr>
          <w:ilvl w:val="0"/>
          <w:numId w:val="1"/>
        </w:numPr>
        <w:spacing w:after="60"/>
      </w:pPr>
      <w:r>
        <w:t xml:space="preserve">Calendrier des jours fériés de Guinée, géré à l'écran (Congés et absences → Jours fériés) par l'administrateur système et le DRH, lu par tous. Fêtes fixes nationales pré-remplies (1er janvier, 1er mai, 25 mai, 15 août, 2 octobre, 25 décembre) ; fêtes religieuses saisies chaque année. Alerte à l'administrateur et au DRH à partir du 1er janvier si l'année suivante est vide ou si l'année en cours n'a aucune fête religieuse. Jours fériés exclus du délai d'avis et du décompte des jours de congé.</w:t>
      </w:r>
    </w:p>
    <w:p>
      <w:pPr>
        <w:pStyle w:val="ListParagraph"/>
        <w:numPr>
          <w:ilvl w:val="0"/>
          <w:numId w:val="1"/>
        </w:numPr>
        <w:spacing w:after="60"/>
      </w:pPr>
      <w:r>
        <w:t xml:space="preserve">Demandes en attente lors de la mise en service : échéance posée au premier passage du traitement (toutes les 15 minutes), à compter de ce passage ; aucun avis n'est inventé.</w:t>
      </w:r>
    </w:p>
    <w:p>
      <w:pPr>
        <w:spacing w:after="60"/>
      </w:pPr>
      <w:r>
        <w:rPr>
          <w:b/>
          <w:bCs/>
        </w:rPr>
        <w:t xml:space="preserve">Tâches : </w:t>
      </w:r>
    </w:p>
    <w:p>
      <w:pPr>
        <w:pStyle w:val="ListParagraph"/>
        <w:numPr>
          <w:ilvl w:val="0"/>
          <w:numId w:val="1"/>
        </w:numPr>
        <w:spacing w:after="60"/>
      </w:pPr>
      <w:r>
        <w:t xml:space="preserve">Avancement calculé par la base elle-même à chaque changement (sous-tâches terminées, sinon statut) ; la saisie manuelle est refusée.</w:t>
      </w:r>
    </w:p>
    <w:p>
      <w:pPr>
        <w:spacing w:after="60"/>
      </w:pPr>
      <w:r>
        <w:rPr>
          <w:b/>
          <w:bCs/>
        </w:rPr>
        <w:t xml:space="preserve">Stages : </w:t>
      </w:r>
    </w:p>
    <w:p>
      <w:pPr>
        <w:pStyle w:val="ListParagraph"/>
        <w:numPr>
          <w:ilvl w:val="0"/>
          <w:numId w:val="1"/>
        </w:numPr>
        <w:spacing w:after="60"/>
      </w:pPr>
      <w:r>
        <w:t xml:space="preserve">Encadreur principal et rapport de stage (§4.12).</w:t>
      </w:r>
    </w:p>
    <w:p>
      <w:pPr>
        <w:spacing w:after="60"/>
      </w:pPr>
      <w:r>
        <w:rPr>
          <w:b/>
          <w:bCs/>
        </w:rPr>
        <w:t xml:space="preserve">Conservation : </w:t>
      </w:r>
    </w:p>
    <w:p>
      <w:pPr>
        <w:pStyle w:val="ListParagraph"/>
        <w:numPr>
          <w:ilvl w:val="0"/>
          <w:numId w:val="1"/>
        </w:numPr>
        <w:spacing w:after="60"/>
      </w:pPr>
      <w:r>
        <w:t xml:space="preserve">Messages directs effacés, pièces jointes comprises, 3 ans après leur envoi (traitement quotidien). Le journal d'audit n'est jamais effacé.</w:t>
      </w:r>
    </w:p>
    <w:p>
      <w:pPr>
        <w:pStyle w:val="Heading2"/>
        <w:spacing w:after="150" w:before="300"/>
      </w:pPr>
      <w:r>
        <w:t xml:space="preserve">4.18 Socle NIMBA — statut de diffusion, GED et documents générés (lot N4)</w:t>
      </w:r>
    </w:p>
    <w:p>
      <w:pPr>
        <w:spacing w:after="120"/>
      </w:pPr>
      <w:r>
        <w:rPr>
          <w:i/>
          <w:iCs/>
          <w:color w:val="444444"/>
        </w:rPr>
        <w:t xml:space="preserve">Quatrième lot du socle NIMBA (Partie 0 §7 et §8, SIG-RF-GED, SIG-RF-DOC). Hors lot : durées de conservation, élimination, recherche en texte intégral (OCR).</w:t>
      </w:r>
    </w:p>
    <w:p>
      <w:pPr>
        <w:spacing w:after="60"/>
      </w:pPr>
      <w:r>
        <w:rPr>
          <w:b/>
          <w:bCs/>
        </w:rPr>
        <w:t xml:space="preserve">Statut de diffusion commun : </w:t>
      </w:r>
    </w:p>
    <w:p>
      <w:pPr>
        <w:pStyle w:val="ListParagraph"/>
        <w:numPr>
          <w:ilvl w:val="0"/>
          <w:numId w:val="1"/>
        </w:numPr>
        <w:spacing w:after="60"/>
      </w:pPr>
      <w:r>
        <w:t xml:space="preserve">Trois statuts, un seul vocabulaire : Brouillon (usage interne, non citable), Validé (vérifié par le responsable métier), Diffusable (autorisé hors de la Direction). Chaque changement est journalisé avec son auteur et son motif ; rien ne disparaît. Le même mécanisme servira aux simulations et rapports du domaine modélisation.</w:t>
      </w:r>
    </w:p>
    <w:p>
      <w:pPr>
        <w:pStyle w:val="ListParagraph"/>
        <w:numPr>
          <w:ilvl w:val="0"/>
          <w:numId w:val="1"/>
        </w:numPr>
        <w:spacing w:after="60"/>
      </w:pPr>
      <w:r>
        <w:t xml:space="preserve">Service d'export unique : tout fichier qui sort d'un objet à statut porte la mention visible de ce statut (bandeau en tête de chaque page d'un PDF, paragraphe en tête d'un document Word, statut dans le nom des autres fichiers).</w:t>
      </w:r>
    </w:p>
    <w:p>
      <w:pPr>
        <w:spacing w:after="60"/>
      </w:pPr>
      <w:r>
        <w:rPr>
          <w:b/>
          <w:bCs/>
        </w:rPr>
        <w:t xml:space="preserve">GED : </w:t>
      </w:r>
    </w:p>
    <w:p>
      <w:pPr>
        <w:pStyle w:val="ListParagraph"/>
        <w:numPr>
          <w:ilvl w:val="0"/>
          <w:numId w:val="1"/>
        </w:numPr>
        <w:spacing w:after="60"/>
      </w:pPr>
      <w:r>
        <w:t xml:space="preserve">Métadonnées obligatoires et lien vers l'objet d'origine (§4.3). Documents déposés avant le lot : type repris de leur catégorie, date = date de dépôt, période à compléter avant validation ; documents déjà publiés réputés Validés.</w:t>
      </w:r>
    </w:p>
    <w:p>
      <w:pPr>
        <w:spacing w:after="60"/>
      </w:pPr>
      <w:r>
        <w:rPr>
          <w:b/>
          <w:bCs/>
        </w:rPr>
        <w:t xml:space="preserve">Documents générés : </w:t>
      </w:r>
    </w:p>
    <w:p>
      <w:pPr>
        <w:pStyle w:val="ListParagraph"/>
        <w:numPr>
          <w:ilvl w:val="0"/>
          <w:numId w:val="1"/>
        </w:numPr>
        <w:spacing w:after="60"/>
      </w:pPr>
      <w:r>
        <w:t xml:space="preserve">Produits sans ressaisie à partir des données enregistrées, sur un modèle de page commun à l'en-tête « République de Guinée — Travail, Justice, Solidarité / Ministère de l'Économie, des Finances et du Budget / DNPEC » : attestation de travail (DRH), ordre de mission (chef direct, DN, DNA), rapport d'activité (chacun sur son périmètre : soi, son unité, la Direction, à partir des tâches de la période). L'attestation de stage utilise le même modèle quand aucun modèle n'est importé.</w:t>
      </w:r>
    </w:p>
    <w:p>
      <w:pPr>
        <w:pStyle w:val="ListParagraph"/>
        <w:numPr>
          <w:ilvl w:val="0"/>
          <w:numId w:val="1"/>
        </w:numPr>
        <w:spacing w:after="60"/>
      </w:pPr>
      <w:r>
        <w:t xml:space="preserve">Aperçu à l'écran identique au document imprimé (le même PDF), téléchargement PDF et Word, dépôt en GED (Brouillon), transmission par la messagerie (PDF joint).</w:t>
      </w:r>
    </w:p>
    <w:p>
      <w:pPr>
        <w:pStyle w:val="ListParagraph"/>
        <w:numPr>
          <w:ilvl w:val="0"/>
          <w:numId w:val="1"/>
        </w:numPr>
        <w:spacing w:after="60"/>
      </w:pPr>
      <w:r>
        <w:t xml:space="preserve">Documents opposables : l'attestation de travail et l'ordre de mission deviennent des actes du module Courrier (registre d'actes de la Direction, visa, signature du DN ou de la DNA, numéro) ; avant signature, la mention « PROJET — non signé » figure sur le document. Chaque édition d'un document signé est enregistrée ; les suivantes portent « DUPLICATA » et sont journalisées avec l'identité de qui les imprime.</w:t>
      </w:r>
    </w:p>
    <w:p>
      <w:pPr>
        <w:pStyle w:val="ListParagraph"/>
        <w:numPr>
          <w:ilvl w:val="0"/>
          <w:numId w:val="1"/>
        </w:numPr>
        <w:spacing w:after="60"/>
      </w:pPr>
      <w:r>
        <w:t xml:space="preserve">Montants en toutes lettres selon les accords du français (« cinq cent mille », « quatre-vingts mille », « quatre-vingt-un mille », « deux cents millions ») : frais d'un ordre de mission, bulletins de paie plus tard.</w:t>
      </w:r>
    </w:p>
    <w:p>
      <w:pPr>
        <w:pStyle w:val="Heading2"/>
        <w:spacing w:after="150" w:before="300"/>
      </w:pPr>
      <w:r>
        <w:t xml:space="preserve">4.19 Socle NIMBA — pilotage et collaboration (lot N5)</w:t>
      </w:r>
    </w:p>
    <w:p>
      <w:pPr>
        <w:spacing w:after="120"/>
      </w:pPr>
      <w:r>
        <w:rPr>
          <w:i/>
          <w:iCs/>
          <w:color w:val="444444"/>
        </w:rPr>
        <w:t xml:space="preserve">Cinquième lot du socle NIMBA (SIG-RF-PTA, SIG-RF-TAC, SIG-RF-MSG, §9 notifications, A2.8 recherche, SIG-RF-INS). Hors lot : SMS et WhatsApp, branche « paie » des instructions (D5).</w:t>
      </w:r>
    </w:p>
    <w:p>
      <w:pPr>
        <w:spacing w:after="60"/>
      </w:pPr>
      <w:r>
        <w:rPr>
          <w:b/>
          <w:bCs/>
        </w:rPr>
        <w:t xml:space="preserve">Plan de travail : </w:t>
      </w:r>
    </w:p>
    <w:p>
      <w:pPr>
        <w:pStyle w:val="ListParagraph"/>
        <w:numPr>
          <w:ilvl w:val="0"/>
          <w:numId w:val="1"/>
        </w:numPr>
        <w:spacing w:after="60"/>
      </w:pPr>
      <w:r>
        <w:t xml:space="preserve">Objectif de l'année (par unité : Direction, division, section, cellule) → activités datées (responsable membre de l'unité, début, fin, indicateur, cible) → tâches rattachées. Le chef de l'unité gère son plan (le chef de division aussi celui de ses sections), le DN et la DNA toute la Direction ; chacun lit le plan de son unité et des unités au-dessus, l'assistant comme son supérieur.</w:t>
      </w:r>
    </w:p>
    <w:p>
      <w:pPr>
        <w:pStyle w:val="ListParagraph"/>
        <w:numPr>
          <w:ilvl w:val="0"/>
          <w:numId w:val="1"/>
        </w:numPr>
        <w:spacing w:after="60"/>
      </w:pPr>
      <w:r>
        <w:t xml:space="preserve">Avancement calculé, jamais saisi : moyenne des tâches principales de l'activité, puis moyenne des activités de l'objectif ; activité « en retard » si sa fin est passée avant 100 %. Le rapport d'activité (§4.18) comporte une section « Activités du plan de travail ».</w:t>
      </w:r>
    </w:p>
    <w:p>
      <w:pPr>
        <w:spacing w:after="60"/>
      </w:pPr>
      <w:r>
        <w:rPr>
          <w:b/>
          <w:bCs/>
        </w:rPr>
        <w:t xml:space="preserve">Tâches : </w:t>
      </w:r>
    </w:p>
    <w:p>
      <w:pPr>
        <w:pStyle w:val="ListParagraph"/>
        <w:numPr>
          <w:ilvl w:val="0"/>
          <w:numId w:val="1"/>
        </w:numPr>
        <w:spacing w:after="60"/>
      </w:pPr>
      <w:r>
        <w:t xml:space="preserve">Vues Kanban et Calendrier sur le tableau de bord, « Mes tâches » et chaque activité. La veille de l'échéance, l'assigné est prévenu ; une fois l'échéance dépassée, le chef le plus proche de chaque assigné l'est (une seule fois par tâche).</w:t>
      </w:r>
    </w:p>
    <w:p>
      <w:pPr>
        <w:spacing w:after="60"/>
      </w:pPr>
      <w:r>
        <w:rPr>
          <w:b/>
          <w:bCs/>
        </w:rPr>
        <w:t xml:space="preserve">Messagerie : </w:t>
      </w:r>
    </w:p>
    <w:p>
      <w:pPr>
        <w:pStyle w:val="ListParagraph"/>
        <w:numPr>
          <w:ilvl w:val="0"/>
          <w:numId w:val="1"/>
        </w:numPr>
        <w:spacing w:after="60"/>
      </w:pPr>
      <w:r>
        <w:t xml:space="preserve">Fils de discussion : objet, plusieurs destinataires, messages successifs, accusé de lecture par destinataire. Pièce jointe = renvoi vers une tâche, un document, un courrier ou une réunion, ouvert seulement à qui a le droit de le voir ; un objet protégé (pli personnel ; dossier du personnel et congés ne sont pas citables) ne peut pas être joint. Conservation de 3 ans comme la messagerie directe, qui reste disponible.</w:t>
      </w:r>
    </w:p>
    <w:p>
      <w:pPr>
        <w:spacing w:after="60"/>
      </w:pPr>
      <w:r>
        <w:rPr>
          <w:b/>
          <w:bCs/>
        </w:rPr>
        <w:t xml:space="preserve">Notifications : </w:t>
      </w:r>
    </w:p>
    <w:p>
      <w:pPr>
        <w:pStyle w:val="ListParagraph"/>
        <w:numPr>
          <w:ilvl w:val="0"/>
          <w:numId w:val="1"/>
        </w:numPr>
        <w:spacing w:after="60"/>
      </w:pPr>
      <w:r>
        <w:t xml:space="preserve">La notification dans l'application est toujours immédiate. Par email : immédiat pour une liste fermée (sécurité du compte, décision sur une demande, acte à signer, instruction de la Direction, tâche ou imputation en retard, rappel ou annulation de réunion, alerte de supervision), non désactivable ; les autres sont regroupés dans un résumé quotidien à l'heure choisie par l'agent (7 h par défaut), ou envoyés immédiatement s'il le préfère. Aucun SMS ni WhatsApp.</w:t>
      </w:r>
    </w:p>
    <w:p>
      <w:pPr>
        <w:spacing w:after="60"/>
      </w:pPr>
      <w:r>
        <w:rPr>
          <w:b/>
          <w:bCs/>
        </w:rPr>
        <w:t xml:space="preserve">Recherche transverse : </w:t>
      </w:r>
    </w:p>
    <w:p>
      <w:pPr>
        <w:pStyle w:val="ListParagraph"/>
        <w:numPr>
          <w:ilvl w:val="0"/>
          <w:numId w:val="1"/>
        </w:numPr>
        <w:spacing w:after="60"/>
      </w:pPr>
      <w:r>
        <w:t xml:space="preserve">Barre du haut : tâches, documents, courrier, annuaire, réunions (3 caractères au moins, 5 résultats par catégorie), chaque catégorie passant par la requête de son module : jamais plus que ce que l'utilisateur voit à l'écran, administrateur compris ; aucun objet protégé. Les filtres de chaque module sont conservés.</w:t>
      </w:r>
    </w:p>
    <w:p>
      <w:pPr>
        <w:spacing w:after="60"/>
      </w:pPr>
      <w:r>
        <w:rPr>
          <w:b/>
          <w:bCs/>
        </w:rPr>
        <w:t xml:space="preserve">Instructions de la Direction : </w:t>
      </w:r>
    </w:p>
    <w:p>
      <w:pPr>
        <w:pStyle w:val="ListParagraph"/>
        <w:numPr>
          <w:ilvl w:val="0"/>
          <w:numId w:val="1"/>
        </w:numPr>
        <w:spacing w:after="60"/>
      </w:pPr>
      <w:r>
        <w:t xml:space="preserve">Émises par le DN ou la DNA seulement ; cycle Émise → Reçue (à l'ouverture) → Prise en compte → Exécutée ou Rejetée (motif obligatoire, émetteur prévenu). Relance du destinataire tous les 7 jours tant qu'elle reste ouverte. Une instruction qui concerne un agent est invisible pour lui avant son exécution et s'exécute par un acte signé du Courrier dont il est bénéficiaire.</w:t>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Les modules Courrier et actes (D7, §4.11), Rotation des stagiaires (D6, §4.12) et Logistique (D9, §4.13) sont construits. Restent hors périmètre de la logistique : achats, bons de commande, fournisseurs, budget, valeur et amortissement des biens, véhicules.</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Paramétrage initial de la production par un script en création seule (workflow manuel « Paramétrage initial ») : registres, catégories, capacités d'accueil, modèle d'attestation, ressources et articles de départ, sans aucun compte ; tout reste modifiable à l'écran et un élément supprimé n'est jamais recréé.</w:t>
      </w:r>
    </w:p>
    <w:p>
      <w:pPr>
        <w:pStyle w:val="ListParagraph"/>
        <w:numPr>
          <w:ilvl w:val="0"/>
          <w:numId w:val="1"/>
        </w:numPr>
        <w:spacing w:after="60"/>
      </w:pPr>
      <w:r>
        <w:t xml:space="preserve">Intégration continue : sur chaque pull request, la suite complète de tests de bout en bout (API et écrans sous navigateur, ordinateur et mobile, cas refusés 403/409 compris) tourne sur une base jetable ; elle ne touche jamais la production. Règle de mise à jour : pull request, tests verts, migration, fusion.</w:t>
      </w:r>
    </w:p>
    <w:p>
      <w:pPr>
        <w:pStyle w:val="ListParagraph"/>
        <w:numPr>
          <w:ilvl w:val="0"/>
          <w:numId w:val="1"/>
        </w:numPr>
        <w:spacing w:after="60"/>
      </w:pPr>
      <w:r>
        <w:t xml:space="preserve">Guide d'exploitation (docs/Exploitation.md) : sauvegardes, mise à jour, pannes, rotation des secrets, ajout d'un administrateur.</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trimestriel, docs/Securite_dependances.md) ; au 25/09/2026, aucune faille connue : PostCSS et uuid corrigés par surcharge de version, Next.js à jour dans sa version 15.</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Après le paramétrage initial par script : désigner les habilitations courrier et les gestionnaires logistiques (administrateur), saisir l'inventaire réel et renommer salles et matériel (gestionnaires), ajuster les capacités d'accueil (DRH).</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r>
        <w:tc>
          <w:tcPr>
            <w:tcW w:type="dxa" w:w="2600"/>
            <w:vAlign w:val="center"/>
          </w:tcPr>
          <w:p>
            <w:r>
              <w:rPr>
                <w:sz w:val="20"/>
                <w:szCs w:val="20"/>
              </w:rPr>
              <w:t xml:space="preserve">Stagiaire</w:t>
            </w:r>
          </w:p>
        </w:tc>
        <w:tc>
          <w:tcPr>
            <w:tcW w:type="dxa" w:w="6750"/>
            <w:vAlign w:val="center"/>
          </w:tcPr>
          <w:p>
            <w:r>
              <w:rPr>
                <w:sz w:val="20"/>
                <w:szCs w:val="20"/>
              </w:rPr>
              <w:t xml:space="preserve">Rôle sans droit par défaut : ses tâches, la messagerie, les annonces, son dossier et son plan de stage</w:t>
            </w:r>
          </w:p>
        </w:tc>
      </w:tr>
      <w:tr>
        <w:tc>
          <w:tcPr>
            <w:tcW w:type="dxa" w:w="2600"/>
            <w:vAlign w:val="center"/>
          </w:tcPr>
          <w:p>
            <w:r>
              <w:rPr>
                <w:sz w:val="20"/>
                <w:szCs w:val="20"/>
              </w:rPr>
              <w:t xml:space="preserve">Plan de rotation</w:t>
            </w:r>
          </w:p>
        </w:tc>
        <w:tc>
          <w:tcPr>
            <w:tcW w:type="dxa" w:w="6750"/>
            <w:vAlign w:val="center"/>
          </w:tcPr>
          <w:p>
            <w:r>
              <w:rPr>
                <w:sz w:val="20"/>
                <w:szCs w:val="20"/>
              </w:rPr>
              <w:t xml:space="preserve">Suite des périodes d'un stage, chacune dans une unité, avec son tuteur et son format d'évaluation</w:t>
            </w:r>
          </w:p>
        </w:tc>
      </w:tr>
      <w:tr>
        <w:tc>
          <w:tcPr>
            <w:tcW w:type="dxa" w:w="2600"/>
            <w:vAlign w:val="center"/>
          </w:tcPr>
          <w:p>
            <w:r>
              <w:rPr>
                <w:sz w:val="20"/>
                <w:szCs w:val="20"/>
              </w:rPr>
              <w:t xml:space="preserve">Capacité d'accueil</w:t>
            </w:r>
          </w:p>
        </w:tc>
        <w:tc>
          <w:tcPr>
            <w:tcW w:type="dxa" w:w="6750"/>
            <w:vAlign w:val="center"/>
          </w:tcPr>
          <w:p>
            <w:r>
              <w:rPr>
                <w:sz w:val="20"/>
                <w:szCs w:val="20"/>
              </w:rPr>
              <w:t xml:space="preserve">Nombre maximal de stagiaires simultanés dans une unité</w:t>
            </w:r>
          </w:p>
        </w:tc>
      </w:tr>
      <w:tr>
        <w:tc>
          <w:tcPr>
            <w:tcW w:type="dxa" w:w="2600"/>
            <w:vAlign w:val="center"/>
          </w:tcPr>
          <w:p>
            <w:r>
              <w:rPr>
                <w:sz w:val="20"/>
                <w:szCs w:val="20"/>
              </w:rPr>
              <w:t xml:space="preserve">Gestionnaire logistique</w:t>
            </w:r>
          </w:p>
        </w:tc>
        <w:tc>
          <w:tcPr>
            <w:tcW w:type="dxa" w:w="6750"/>
            <w:vAlign w:val="center"/>
          </w:tcPr>
          <w:p>
            <w:r>
              <w:rPr>
                <w:sz w:val="20"/>
                <w:szCs w:val="20"/>
              </w:rPr>
              <w:t xml:space="preserve">Habilitation (pas un rôle) permettant de tenir l'inventaire, les fournitures et les ressources, et de traiter les demandes</w:t>
            </w:r>
          </w:p>
        </w:tc>
      </w:tr>
      <w:tr>
        <w:tc>
          <w:tcPr>
            <w:tcW w:type="dxa" w:w="2600"/>
            <w:vAlign w:val="center"/>
          </w:tcPr>
          <w:p>
            <w:r>
              <w:rPr>
                <w:sz w:val="20"/>
                <w:szCs w:val="20"/>
              </w:rPr>
              <w:t xml:space="preserve">Numéro d'inventaire</w:t>
            </w:r>
          </w:p>
        </w:tc>
        <w:tc>
          <w:tcPr>
            <w:tcW w:type="dxa" w:w="6750"/>
            <w:vAlign w:val="center"/>
          </w:tcPr>
          <w:p>
            <w:r>
              <w:rPr>
                <w:sz w:val="20"/>
                <w:szCs w:val="20"/>
              </w:rPr>
              <w:t xml:space="preserve">Identifiant d'un bien, CODE-ANNÉE-RANG, attribué sans trou et jamais réattribué</w:t>
            </w:r>
          </w:p>
        </w:tc>
      </w:tr>
      <w:tr>
        <w:tc>
          <w:tcPr>
            <w:tcW w:type="dxa" w:w="2600"/>
            <w:vAlign w:val="center"/>
          </w:tcPr>
          <w:p>
            <w:r>
              <w:rPr>
                <w:sz w:val="20"/>
                <w:szCs w:val="20"/>
              </w:rPr>
              <w:t xml:space="preserve">Priorité hiérarchique</w:t>
            </w:r>
          </w:p>
        </w:tc>
        <w:tc>
          <w:tcPr>
            <w:tcW w:type="dxa" w:w="6750"/>
            <w:vAlign w:val="center"/>
          </w:tcPr>
          <w:p>
            <w:r>
              <w:rPr>
                <w:sz w:val="20"/>
                <w:szCs w:val="20"/>
              </w:rPr>
              <w:t xml:space="preserve">Droit de prendre le créneau réservé par une personne sur laquelle on a autorité hiérarchique</w:t>
            </w:r>
          </w:p>
        </w:tc>
      </w:tr>
      <w:tr>
        <w:tc>
          <w:tcPr>
            <w:tcW w:type="dxa" w:w="2600"/>
            <w:vAlign w:val="center"/>
          </w:tcPr>
          <w:p>
            <w:r>
              <w:rPr>
                <w:sz w:val="20"/>
                <w:szCs w:val="20"/>
              </w:rPr>
              <w:t xml:space="preserve">Registre (courrier)</w:t>
            </w:r>
          </w:p>
        </w:tc>
        <w:tc>
          <w:tcPr>
            <w:tcW w:type="dxa" w:w="6750"/>
            <w:vAlign w:val="center"/>
          </w:tcPr>
          <w:p>
            <w:r>
              <w:rPr>
                <w:sz w:val="20"/>
                <w:szCs w:val="20"/>
              </w:rPr>
              <w:t xml:space="preserve">Suite numérotée des arrivées, des départs ou des actes, de portée Direction ou Unité</w:t>
            </w:r>
          </w:p>
        </w:tc>
      </w:tr>
      <w:tr>
        <w:tc>
          <w:tcPr>
            <w:tcW w:type="dxa" w:w="2600"/>
            <w:vAlign w:val="center"/>
          </w:tcPr>
          <w:p>
            <w:r>
              <w:rPr>
                <w:sz w:val="20"/>
                <w:szCs w:val="20"/>
              </w:rPr>
              <w:t xml:space="preserve">Habilitation courrier</w:t>
            </w:r>
          </w:p>
        </w:tc>
        <w:tc>
          <w:tcPr>
            <w:tcW w:type="dxa" w:w="6750"/>
            <w:vAlign w:val="center"/>
          </w:tcPr>
          <w:p>
            <w:r>
              <w:rPr>
                <w:sz w:val="20"/>
                <w:szCs w:val="20"/>
              </w:rPr>
              <w:t xml:space="preserve">Droit d'enregistrer ou d'expédier sur un registre et une unité, donné à une personne indépendamment de son rôle</w:t>
            </w:r>
          </w:p>
        </w:tc>
      </w:tr>
      <w:tr>
        <w:tc>
          <w:tcPr>
            <w:tcW w:type="dxa" w:w="2600"/>
            <w:vAlign w:val="center"/>
          </w:tcPr>
          <w:p>
            <w:r>
              <w:rPr>
                <w:sz w:val="20"/>
                <w:szCs w:val="20"/>
              </w:rPr>
              <w:t xml:space="preserve">Imputation</w:t>
            </w:r>
          </w:p>
        </w:tc>
        <w:tc>
          <w:tcPr>
            <w:tcW w:type="dxa" w:w="6750"/>
            <w:vAlign w:val="center"/>
          </w:tcPr>
          <w:p>
            <w:r>
              <w:rPr>
                <w:sz w:val="20"/>
                <w:szCs w:val="20"/>
              </w:rPr>
              <w:t xml:space="preserve">Attribution d'un courrier arrivée à une personne pour attribution, information ou avis, avec échéance</w:t>
            </w:r>
          </w:p>
        </w:tc>
      </w:tr>
      <w:tr>
        <w:tc>
          <w:tcPr>
            <w:tcW w:type="dxa" w:w="2600"/>
            <w:vAlign w:val="center"/>
          </w:tcPr>
          <w:p>
            <w:r>
              <w:rPr>
                <w:sz w:val="20"/>
                <w:szCs w:val="20"/>
              </w:rPr>
              <w:t xml:space="preserve">Circuit de visa</w:t>
            </w:r>
          </w:p>
        </w:tc>
        <w:tc>
          <w:tcPr>
            <w:tcW w:type="dxa" w:w="6750"/>
            <w:vAlign w:val="center"/>
          </w:tcPr>
          <w:p>
            <w:r>
              <w:rPr>
                <w:sz w:val="20"/>
                <w:szCs w:val="20"/>
              </w:rPr>
              <w:t xml:space="preserve">Suite des visas (Chef de Section puis Chef de Division ou de Cellule) qu'un acte parcourt avant signature</w:t>
            </w:r>
          </w:p>
        </w:tc>
      </w:tr>
      <w:tr>
        <w:tc>
          <w:tcPr>
            <w:tcW w:type="dxa" w:w="2600"/>
            <w:vAlign w:val="center"/>
          </w:tcPr>
          <w:p>
            <w:r>
              <w:rPr>
                <w:sz w:val="20"/>
                <w:szCs w:val="20"/>
              </w:rPr>
              <w:t xml:space="preserve">Pli personnel</w:t>
            </w:r>
          </w:p>
        </w:tc>
        <w:tc>
          <w:tcPr>
            <w:tcW w:type="dxa" w:w="6750"/>
            <w:vAlign w:val="center"/>
          </w:tcPr>
          <w:p>
            <w:r>
              <w:rPr>
                <w:sz w:val="20"/>
                <w:szCs w:val="20"/>
              </w:rPr>
              <w:t xml:space="preserve">Courrier fermé, visible de son seul destinataire ; les autres n'en voient que l'existence</w:t>
            </w:r>
          </w:p>
        </w:tc>
      </w:tr>
      <w:tr>
        <w:tc>
          <w:tcPr>
            <w:tcW w:type="dxa" w:w="2600"/>
            <w:vAlign w:val="center"/>
          </w:tcPr>
          <w:p>
            <w:r>
              <w:rPr>
                <w:sz w:val="20"/>
                <w:szCs w:val="20"/>
              </w:rPr>
              <w:t xml:space="preserve">Accès délégué</w:t>
            </w:r>
          </w:p>
        </w:tc>
        <w:tc>
          <w:tcPr>
            <w:tcW w:type="dxa" w:w="6750"/>
            <w:vAlign w:val="center"/>
          </w:tcPr>
          <w:p>
            <w:r>
              <w:rPr>
                <w:sz w:val="20"/>
                <w:szCs w:val="20"/>
              </w:rPr>
              <w:t xml:space="preserve">Ouverture d'un courrier confidentiel à une personne précise, courrier par courrier</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(§4.10), avec emprunt d'autorité explicite par requête et traçabilité complète des actions posées au nom d'un titulaire — côté serveur uniquement à ce stade, sans écran.</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after="60"/>
      </w:pPr>
      <w:r>
        <w:rPr>
          <w:b/>
          <w:bCs/>
        </w:rPr>
        <w:t xml:space="preserve">Version 2.1 — Lot A (correctifs serveur) : </w:t>
      </w:r>
    </w:p>
    <w:p>
      <w:pPr>
        <w:pStyle w:val="ListParagraph"/>
        <w:numPr>
          <w:ilvl w:val="0"/>
          <w:numId w:val="1"/>
        </w:numPr>
        <w:spacing w:after="60"/>
      </w:pPr>
      <w:r>
        <w:t xml:space="preserve">Audit possible dans une transaction (annulé avec elle) ; violation d'unicité traduite en refus explicite (409) au lieu d'une erreur technique.</w:t>
      </w:r>
    </w:p>
    <w:p>
      <w:pPr>
        <w:pStyle w:val="ListParagraph"/>
        <w:numPr>
          <w:ilvl w:val="0"/>
          <w:numId w:val="1"/>
        </w:numPr>
        <w:spacing w:after="60"/>
      </w:pPr>
      <w:r>
        <w:t xml:space="preserve">Validation d'une tâche : par son créateur, ou par un chef ayant autorité sur tous les assignés — jamais par un assigné, y compris en intérim.</w:t>
      </w:r>
    </w:p>
    <w:p>
      <w:pPr>
        <w:pStyle w:val="ListParagraph"/>
        <w:numPr>
          <w:ilvl w:val="0"/>
          <w:numId w:val="1"/>
        </w:numPr>
        <w:spacing w:after="60"/>
      </w:pPr>
      <w:r>
        <w:t xml:space="preserve">Suppléance « de rang comparable » contrôlée à la désignation et à chaque utilisation ; une suppléance existante non conforme est bloquée à l'usage sans modification des données.</w:t>
      </w:r>
    </w:p>
    <w:p>
      <w:pPr>
        <w:pStyle w:val="ListParagraph"/>
        <w:numPr>
          <w:ilvl w:val="0"/>
          <w:numId w:val="1"/>
        </w:numPr>
        <w:spacing w:after="60"/>
      </w:pPr>
      <w:r>
        <w:t xml:space="preserve">Tâche issue d'une décision rattachée à l'unité de son responsable ; double conversion refusée. Unicité des chefs de Division/Section aussi au changement de rattachement et à la réactivation.</w:t>
      </w:r>
    </w:p>
    <w:p>
      <w:pPr>
        <w:pStyle w:val="ListParagraph"/>
        <w:numPr>
          <w:ilvl w:val="0"/>
          <w:numId w:val="1"/>
        </w:numPr>
        <w:spacing w:after="60"/>
      </w:pPr>
      <w:r>
        <w:t xml:space="preserve">Un échec d'envoi d'email n'annule plus l'action ; aucun fichier orphelin en cas d'échec d'écriture ; audit des types de congés.</w:t>
      </w:r>
    </w:p>
    <w:p>
      <w:pPr>
        <w:spacing w:after="60"/>
      </w:pPr>
      <w:r>
        <w:rPr>
          <w:b/>
          <w:bCs/>
        </w:rPr>
        <w:t xml:space="preserve">Lot B (suppléance dans l’interface) : </w:t>
      </w:r>
    </w:p>
    <w:p>
      <w:pPr>
        <w:pStyle w:val="ListParagraph"/>
        <w:numPr>
          <w:ilvl w:val="0"/>
          <w:numId w:val="1"/>
        </w:numPr>
        <w:spacing w:after="60"/>
      </w:pPr>
      <w:r>
        <w:t xml:space="preserve">Jusqu'ici la suppléance (§4.10) n'avait aucun écran : page Suppléances (désigner, suivre, révoquer ; statut « non conforme — à redésigner »), sélecteur « Agir en intérim pour… » avec bandeau permanent et sortie automatique si la suppléance est révoquée, expire ou n'est plus conforme.</w:t>
      </w:r>
    </w:p>
    <w:p>
      <w:pPr>
        <w:pStyle w:val="ListParagraph"/>
        <w:numPr>
          <w:ilvl w:val="0"/>
          <w:numId w:val="1"/>
        </w:numPr>
        <w:spacing w:after="60"/>
      </w:pPr>
      <w:r>
        <w:t xml:space="preserve">« Mes tâches » et lien direct /tasks/:id ; liens des emails de notification réparés (tâche, suppléance, message, annonce, congé).</w:t>
      </w:r>
    </w:p>
    <w:p>
      <w:pPr>
        <w:pStyle w:val="ListParagraph"/>
        <w:numPr>
          <w:ilvl w:val="0"/>
          <w:numId w:val="1"/>
        </w:numPr>
        <w:spacing w:after="60"/>
      </w:pPr>
      <w:r>
        <w:t xml:space="preserve">Rôle DRH attribuable par l'administrateur à la création et à l'approbation, jamais déclarable à l'auto-inscription.</w:t>
      </w:r>
    </w:p>
    <w:p>
      <w:pPr>
        <w:spacing w:after="60"/>
      </w:pPr>
      <w:r>
        <w:rPr>
          <w:b/>
          <w:bCs/>
        </w:rPr>
        <w:t xml:space="preserve">Lot C (module Courrier et actes, D7 — §4.11) : </w:t>
      </w:r>
    </w:p>
    <w:p>
      <w:pPr>
        <w:pStyle w:val="ListParagraph"/>
        <w:numPr>
          <w:ilvl w:val="0"/>
          <w:numId w:val="1"/>
        </w:numPr>
        <w:spacing w:after="60"/>
      </w:pPr>
      <w:r>
        <w:t xml:space="preserve">Registres, numérotation sans trou garantie en base, arrivées, imputations et sous-imputations, accès délégués, départs et actes avec circuit de visa, signature et expédition, rappels d'échéance, export Excel ; écrans Courrier et Administration → Courrier, carte du tableau de bord.</w:t>
      </w:r>
    </w:p>
    <w:p>
      <w:pPr>
        <w:pStyle w:val="ListParagraph"/>
        <w:numPr>
          <w:ilvl w:val="0"/>
          <w:numId w:val="1"/>
        </w:numPr>
        <w:spacing w:after="60"/>
      </w:pPr>
      <w:r>
        <w:t xml:space="preserve">Décisions de la Direction : l'administrateur système n'est jamais imputé, sous-imputé ni délégataire, mais peut recevoir un pli personnel, être bénéficiaire et rédiger ses propres actes ; contrôle des dates avec dérogation motivée.</w:t>
      </w:r>
    </w:p>
    <w:p>
      <w:pPr>
        <w:pStyle w:val="ListParagraph"/>
        <w:numPr>
          <w:ilvl w:val="0"/>
          <w:numId w:val="1"/>
        </w:numPr>
        <w:spacing w:after="60"/>
      </w:pPr>
      <w:r>
        <w:t xml:space="preserve">Le script de données de référence ne modifie plus jamais une cellule existante (il ne crée que les cellules officielles manquantes).</w:t>
      </w:r>
    </w:p>
    <w:p>
      <w:pPr>
        <w:spacing w:after="60"/>
      </w:pPr>
      <w:r>
        <w:rPr>
          <w:b/>
          <w:bCs/>
        </w:rPr>
        <w:t xml:space="preserve">Lot E (changement de rôle — §3.2) : </w:t>
      </w:r>
    </w:p>
    <w:p>
      <w:pPr>
        <w:pStyle w:val="ListParagraph"/>
        <w:numPr>
          <w:ilvl w:val="0"/>
          <w:numId w:val="1"/>
        </w:numPr>
        <w:spacing w:after="60"/>
      </w:pPr>
      <w:r>
        <w:t xml:space="preserve">Changement de rôle d'un compte existant par l'administrateur système (aperçu puis confirmation, motif obligatoire) ; nomination et retrait d'un Chef de Cellule par le même mécanisme ; décisions de la Direction détaillées au §3.2 (unicité DN/DNA et chefs, suppléances non conformes révoquées, assistants à réaffecter, habilitations conservées, sessions fermées, DRH notifiés).</w:t>
      </w:r>
    </w:p>
    <w:p>
      <w:pPr>
        <w:pStyle w:val="ListParagraph"/>
        <w:numPr>
          <w:ilvl w:val="0"/>
          <w:numId w:val="1"/>
        </w:numPr>
        <w:spacing w:after="60"/>
      </w:pPr>
      <w:r>
        <w:t xml:space="preserve">Correction générale : un accès délégué au courrier n'est valable que tant que la personne qui l'a ouvert garde elle-même le droit d'accès, vérifié à chaque lecture.</w:t>
      </w:r>
    </w:p>
    <w:p>
      <w:pPr>
        <w:spacing w:after="60"/>
      </w:pPr>
      <w:r>
        <w:rPr>
          <w:b/>
          <w:bCs/>
        </w:rPr>
        <w:t xml:space="preserve">Lot D (écrans D2 et D3) : </w:t>
      </w:r>
    </w:p>
    <w:p>
      <w:pPr>
        <w:pStyle w:val="ListParagraph"/>
        <w:numPr>
          <w:ilvl w:val="0"/>
          <w:numId w:val="1"/>
        </w:numPr>
        <w:spacing w:after="60"/>
      </w:pPr>
      <w:r>
        <w:t xml:space="preserve">Jusqu'ici les décisions de réunion (D2) et le dossier du personnel (D3) n'existaient que côté serveur, sans écran, et le lien /personnel/:id des emails menait à une page inexistante.</w:t>
      </w:r>
    </w:p>
    <w:p>
      <w:pPr>
        <w:pStyle w:val="ListParagraph"/>
        <w:numPr>
          <w:ilvl w:val="0"/>
          <w:numId w:val="1"/>
        </w:numPr>
        <w:spacing w:after="60"/>
      </w:pPr>
      <w:r>
        <w:t xml:space="preserve">D2 : relevé de décisions dans le détail d'une réunion (ajout, modification, conversion en tâche, clôture, relance, lien vers la tâche).</w:t>
      </w:r>
    </w:p>
    <w:p>
      <w:pPr>
        <w:pStyle w:val="ListParagraph"/>
        <w:numPr>
          <w:ilvl w:val="0"/>
          <w:numId w:val="1"/>
        </w:numPr>
        <w:spacing w:after="60"/>
      </w:pPr>
      <w:r>
        <w:t xml:space="preserve">D3 : pages Dossier du personnel et dossier par personne (§4.9) ; niveau 2 jamais transmis à un chef ni au DN/DNA, vérifié jusque dans les réponses reçues par leur navigateur.</w:t>
      </w:r>
    </w:p>
    <w:p>
      <w:pPr>
        <w:pStyle w:val="ListParagraph"/>
        <w:numPr>
          <w:ilvl w:val="0"/>
          <w:numId w:val="1"/>
        </w:numPr>
        <w:spacing w:after="60"/>
      </w:pPr>
      <w:r>
        <w:t xml:space="preserve">L'import Excel ne crée plus que des comptes de Chargé d'Études, avec les contrôles de la création manuelle (auparavant, n'importe quel rôle sans contrôle d'unicité ni de rattachement). Correction : modifier le contact d'urgence le repasse bien « à vérifier ».</w:t>
      </w:r>
    </w:p>
    <w:p>
      <w:pPr>
        <w:spacing w:after="60"/>
      </w:pPr>
      <w:r>
        <w:rPr>
          <w:b/>
          <w:bCs/>
        </w:rPr>
        <w:t xml:space="preserve">Lot F (finitions) : </w:t>
      </w:r>
    </w:p>
    <w:p>
      <w:pPr>
        <w:pStyle w:val="ListParagraph"/>
        <w:numPr>
          <w:ilvl w:val="0"/>
          <w:numId w:val="1"/>
        </w:numPr>
        <w:spacing w:after="60"/>
      </w:pPr>
      <w:r>
        <w:t xml:space="preserve">Cloche de notifications in-app (non lues, liste, marquage, ouverture de l'élément lié) ; le compteur ne double plus (copie email exclue).</w:t>
      </w:r>
    </w:p>
    <w:p>
      <w:pPr>
        <w:pStyle w:val="ListParagraph"/>
        <w:numPr>
          <w:ilvl w:val="0"/>
          <w:numId w:val="1"/>
        </w:numPr>
        <w:spacing w:after="60"/>
      </w:pPr>
      <w:r>
        <w:t xml:space="preserve">Retour à la page visée après (re)connexion depuis un lien d'email ; erreurs de chargement affichées avec « Réessayer » au lieu d'un chargement sans fin.</w:t>
      </w:r>
    </w:p>
    <w:p>
      <w:pPr>
        <w:pStyle w:val="ListParagraph"/>
        <w:numPr>
          <w:ilvl w:val="0"/>
          <w:numId w:val="1"/>
        </w:numPr>
        <w:spacing w:after="60"/>
      </w:pPr>
      <w:r>
        <w:t xml:space="preserve">Cahier des charges v2.1 et renvois de section du code alignés sur cette numérotation.</w:t>
      </w:r>
    </w:p>
    <w:p>
      <w:pPr>
        <w:spacing w:after="60"/>
      </w:pPr>
      <w:r>
        <w:rPr>
          <w:b/>
          <w:bCs/>
        </w:rPr>
        <w:t xml:space="preserve">Version 2.2 — D6 (rotation des stagiaires — §4.12) : </w:t>
      </w:r>
    </w:p>
    <w:p>
      <w:pPr>
        <w:pStyle w:val="ListParagraph"/>
        <w:numPr>
          <w:ilvl w:val="0"/>
          <w:numId w:val="1"/>
        </w:numPr>
        <w:spacing w:after="60"/>
      </w:pPr>
      <w:r>
        <w:t xml:space="preserve">Nouveau rôle Stagiaire intégré partout où les rôles sont énumérés ; aucun droit par défaut : chaque route du serveur lui est fermée sauf liste blanche (ses tâches, messagerie, annonces, dossier, stage), vérifié sur l'ensemble des routes.</w:t>
      </w:r>
    </w:p>
    <w:p>
      <w:pPr>
        <w:pStyle w:val="ListParagraph"/>
        <w:numPr>
          <w:ilvl w:val="0"/>
          <w:numId w:val="1"/>
        </w:numPr>
        <w:spacing w:after="60"/>
      </w:pPr>
      <w:r>
        <w:t xml:space="preserve">Décisions de la Direction : plan construit par le DRH, accepté ou refusé par chaque responsable d'unité qui désigne le tuteur ; changement d'unité automatique à la date prévue, inscrit dans l'historique de carrière ; format d'évaluation choisi par le DRH pour chaque période (grille de quatre critères et appréciation, texte libre, ou aucune), modifiable par le tuteur tant qu'elle n'est pas commencée ; rédaction par le tuteur, visa du chef, visible du stagiaire une fois visée.</w:t>
      </w:r>
    </w:p>
    <w:p>
      <w:pPr>
        <w:pStyle w:val="ListParagraph"/>
        <w:numPr>
          <w:ilvl w:val="0"/>
          <w:numId w:val="1"/>
        </w:numPr>
        <w:spacing w:after="60"/>
      </w:pPr>
      <w:r>
        <w:t xml:space="preserve">Décisions de la Direction (attestation) : version finale = acte du Courrier (registre d'attestations, numéroté, signé par DN/DNA, stagiaire bénéficiaire avec prise de connaissance) ; version provisoire non signée et sans numéro ; modèle Word ou PDF à champs importable, champs affichés à l'import, nom toujours tiré du compte à jour.</w:t>
      </w:r>
    </w:p>
    <w:p>
      <w:pPr>
        <w:pStyle w:val="ListParagraph"/>
        <w:numPr>
          <w:ilvl w:val="0"/>
          <w:numId w:val="1"/>
        </w:numPr>
        <w:spacing w:after="60"/>
      </w:pPr>
      <w:r>
        <w:t xml:space="preserve">Décision de la Direction : capacité maximale de stagiaires simultanés par unité, fixée par le DRH, bloquante à la création ou au déplacement d'une période. Données personnelles au niveau 2 du dossier du personnel.</w:t>
      </w:r>
    </w:p>
    <w:p>
      <w:pPr>
        <w:pStyle w:val="ListParagraph"/>
        <w:numPr>
          <w:ilvl w:val="0"/>
          <w:numId w:val="1"/>
        </w:numPr>
        <w:spacing w:after="60"/>
      </w:pPr>
      <w:r>
        <w:t xml:space="preserve">Choix techniques : la prise de connaissance de l'attestation se fait depuis la page du stage (le stagiaire n'a pas accès au Courrier) ; seuls les registres d'actes de la Direction actifs sont proposés pour l'attestation.</w:t>
      </w:r>
    </w:p>
    <w:p>
      <w:pPr>
        <w:spacing w:after="60"/>
      </w:pPr>
      <w:r>
        <w:rPr>
          <w:b/>
          <w:bCs/>
        </w:rPr>
        <w:t xml:space="preserve">D9 (logistique — §4.13) : </w:t>
      </w:r>
    </w:p>
    <w:p>
      <w:pPr>
        <w:pStyle w:val="ListParagraph"/>
        <w:numPr>
          <w:ilvl w:val="0"/>
          <w:numId w:val="1"/>
        </w:numPr>
        <w:spacing w:after="60"/>
      </w:pPr>
      <w:r>
        <w:t xml:space="preserve">Décisions de la Direction : gestionnaire logistique = habilitation attribuable par l'administrateur à n'importe quelle personne, sans nouveau rôle ; réglage « validation du chef requise » par catégorie ; pas d'auto-validation ; inventaire sans montant, numéro sans trou, historique jamais supprimé ; suivi de stock par article (stock jamais négatif, alerte sous le seuil) ; réservation des salles et du matériel de présentation, mode par ressource, liée aux réunions, avec priorité hiérarchique auditée et notifiée, jamais entre pairs ni vers le haut ; le DN et la DNA sont traités comme des pairs (aucun ne prend le créneau de l'autre) et gardent tous deux la priorité sur le reste de la DNPEC (décision de la Direction après la première livraison, qui laissait le DN prendre le créneau de la DNA).</w:t>
      </w:r>
    </w:p>
    <w:p>
      <w:pPr>
        <w:pStyle w:val="ListParagraph"/>
        <w:numPr>
          <w:ilvl w:val="0"/>
          <w:numId w:val="1"/>
        </w:numPr>
        <w:spacing w:after="60"/>
      </w:pPr>
      <w:r>
        <w:t xml:space="preserve">Choix techniques : un stagiaire ne peut pas être gestionnaire (validé par la Direction) ; l'habilitation ne se transmet pas en intérim ; la demande va au chef le plus proche (DN/DNA seulement à défaut) ; une réservation prise en priorité est confirmée d'emblée, même sur une ressource à validation (validé par la Direction) ; un créneau en attente de validation est tenu ; un créneau dure au plus 7 jours ; une salle réservée pour une réunion se libère en annulant la réunion.</w:t>
      </w:r>
    </w:p>
    <w:p>
      <w:pPr>
        <w:spacing w:after="60"/>
      </w:pPr>
      <w:r>
        <w:rPr>
          <w:b/>
          <w:bCs/>
        </w:rPr>
        <w:t xml:space="preserve">Version 2.3 — Lot G (pérennisation) : </w:t>
      </w:r>
    </w:p>
    <w:p>
      <w:pPr>
        <w:pStyle w:val="ListParagraph"/>
        <w:numPr>
          <w:ilvl w:val="0"/>
          <w:numId w:val="1"/>
        </w:numPr>
        <w:spacing w:after="60"/>
      </w:pPr>
      <w:r>
        <w:t xml:space="preserve">Paramétrage initial de la production par script, en création seule, sans compte de test : l'acteur est « Système » ; les réglages des stages (capacités, modèle d'attestation) deviennent modifiables par le DRH et par l'administrateur système, qui n'accède jamais au contenu des stages.</w:t>
      </w:r>
    </w:p>
    <w:p>
      <w:pPr>
        <w:pStyle w:val="ListParagraph"/>
        <w:numPr>
          <w:ilvl w:val="0"/>
          <w:numId w:val="1"/>
        </w:numPr>
        <w:spacing w:after="60"/>
      </w:pPr>
      <w:r>
        <w:t xml:space="preserve">Suite de tests de bout en bout versionnée dans le dépôt (plus de 1 500 contrôles : API, navigateur sur ordinateur et mobile, cas refusés) et exécutée automatiquement sur chaque pull request, sur une base jetable ; elle refuse de tourner sur une base autre que locale.</w:t>
      </w:r>
    </w:p>
    <w:p>
      <w:pPr>
        <w:pStyle w:val="ListParagraph"/>
        <w:numPr>
          <w:ilvl w:val="0"/>
          <w:numId w:val="1"/>
        </w:numPr>
        <w:spacing w:after="60"/>
      </w:pPr>
      <w:r>
        <w:t xml:space="preserve">Double authentification : écran « Sécurité du compte » pour l'activer et la désactiver soi-même ; reconfiguration refusée quand elle est active ; désactivation soumise à un code valide ; réinitialisation par l'administrateur (jamais sur soi-même), sessions fermées, auditée. Correction : après une connexion avec code, l'utilisateur arrive sur la page qu'il visait.</w:t>
      </w:r>
    </w:p>
    <w:p>
      <w:pPr>
        <w:pStyle w:val="ListParagraph"/>
        <w:numPr>
          <w:ilvl w:val="0"/>
          <w:numId w:val="1"/>
        </w:numPr>
        <w:spacing w:after="60"/>
      </w:pPr>
      <w:r>
        <w:t xml:space="preserve">Aide en ligne par profil (§4.14), profils déterminés par le serveur à partir du rôle propre et des habilitations personnelles ; guide PDF équivalent.</w:t>
      </w:r>
    </w:p>
    <w:p>
      <w:pPr>
        <w:pStyle w:val="ListParagraph"/>
        <w:numPr>
          <w:ilvl w:val="0"/>
          <w:numId w:val="1"/>
        </w:numPr>
        <w:spacing w:after="60"/>
      </w:pPr>
      <w:r>
        <w:t xml:space="preserve">Failles de dépendances : PostCSS (via Next.js) et uuid (via exceljs) corrigées par surcharge de version ; Next.js mis à jour dans sa version 15 ; aucune faille connue restante.</w:t>
      </w:r>
    </w:p>
    <w:p>
      <w:pPr>
        <w:pStyle w:val="ListParagraph"/>
        <w:numPr>
          <w:ilvl w:val="0"/>
          <w:numId w:val="1"/>
        </w:numPr>
        <w:spacing w:after="60"/>
      </w:pPr>
      <w:r>
        <w:t xml:space="preserve">Guide d'exploitation en langage simple : sauvegardes, procédure de mise à jour, pannes, rotation des secrets, ajout d'un administrateur.</w:t>
      </w:r>
    </w:p>
    <w:p>
      <w:pPr>
        <w:spacing w:after="60"/>
      </w:pPr>
      <w:r>
        <w:rPr>
          <w:b/>
          <w:bCs/>
        </w:rPr>
        <w:t xml:space="preserve">Version 2.4 — Socle NIMBA, lot N1 (§4.15) : </w:t>
      </w:r>
    </w:p>
    <w:p>
      <w:pPr>
        <w:pStyle w:val="ListParagraph"/>
        <w:numPr>
          <w:ilvl w:val="0"/>
          <w:numId w:val="1"/>
        </w:numPr>
        <w:spacing w:after="60"/>
      </w:pPr>
      <w:r>
        <w:t xml:space="preserve">Décisions de la Direction (reprise des rôles) : DN et DNA → Validateur ; chef de la cellule SAF → Chef du SAF ; Gestionnaire RH et Gestionnaire paie attribués à la main par l'administrateur.</w:t>
      </w:r>
    </w:p>
    <w:p>
      <w:pPr>
        <w:pStyle w:val="ListParagraph"/>
        <w:numPr>
          <w:ilvl w:val="0"/>
          <w:numId w:val="1"/>
        </w:numPr>
        <w:spacing w:after="60"/>
      </w:pPr>
      <w:r>
        <w:t xml:space="preserve">Décision de la Direction (intérim) : les rôles fonctionnels ne s'empruntent pas ; seuls la position et le périmètre du titulaire s'empruntent.</w:t>
      </w:r>
    </w:p>
    <w:p>
      <w:pPr>
        <w:pStyle w:val="ListParagraph"/>
        <w:numPr>
          <w:ilvl w:val="0"/>
          <w:numId w:val="1"/>
        </w:numPr>
        <w:spacing w:after="60"/>
      </w:pPr>
      <w:r>
        <w:t xml:space="preserve">Décision de la Direction (fin de stage) : passage automatique à « Parti » et désactivation du compte à l'échéance, avec alerte au DRH à J-15 puis rappel à J-3 et deux actions directes (prolonger avec motif, ou confirmer la fin) ; sans action, passage automatique et DRH notifié le jour même ; dossier, évaluation et attestation conservés ; réactivation par le DRH. Étendu aux fins de contrat.</w:t>
      </w:r>
    </w:p>
    <w:p>
      <w:pPr>
        <w:pStyle w:val="ListParagraph"/>
        <w:numPr>
          <w:ilvl w:val="0"/>
          <w:numId w:val="1"/>
        </w:numPr>
        <w:spacing w:after="60"/>
      </w:pPr>
      <w:r>
        <w:t xml:space="preserve">Décisions de la Direction (points techniques) : écarts avec l'annexe 1 du cahier NIMBA conservés en N1 puis alignés (liste dans docs/NIMBA_matrice_N1.md) ; motif médical et décision des congés en N3 ; lecture de l'audit et paramétrage en N2 ; contrainte « aucun compte sans agent » en base en N2 ; matricules provisoires remplacés ensuite par le DRH.</w:t>
      </w:r>
    </w:p>
    <w:p>
      <w:pPr>
        <w:pStyle w:val="ListParagraph"/>
        <w:numPr>
          <w:ilvl w:val="0"/>
          <w:numId w:val="1"/>
        </w:numPr>
        <w:spacing w:after="60"/>
      </w:pPr>
      <w:r>
        <w:t xml:space="preserve">Choix techniques : reprise faite par l'API à son démarrage (idempotente) plutôt que dans la migration ; passage à « Parti » le lendemain de la date de fin (le dernier jour reste travaillé) ; une unité ne change pas de parent en N1 ; l'administrateur ne voit que les agents sans compte (rapprochement) ; un changement de rôle aligne les rôles DRH et Assistant ; réactivation d'un agent dont la fin est passée seulement avec une nouvelle date ; la prolongation d'un stage prolonge aussi le stage ; menu « Organisation » dans le groupe Personnel, pour tous ; statut de compte « Supprimé » renommé « Désactivé ».</w:t>
      </w:r>
    </w:p>
    <w:p>
      <w:pPr>
        <w:spacing w:after="60"/>
      </w:pPr>
      <w:r>
        <w:rPr>
          <w:b/>
          <w:bCs/>
        </w:rPr>
        <w:t xml:space="preserve">Version 2.5 — Socle NIMBA, lot N2 (§4.16) : </w:t>
      </w:r>
    </w:p>
    <w:p>
      <w:pPr>
        <w:pStyle w:val="ListParagraph"/>
        <w:numPr>
          <w:ilvl w:val="0"/>
          <w:numId w:val="1"/>
        </w:numPr>
        <w:spacing w:after="60"/>
      </w:pPr>
      <w:r>
        <w:t xml:space="preserve">Décisions de la Direction : double authentification facultative et mot de passe de 8 caractères minimum conservés (écart assumé avec le §4.4 du cahier NIMBA) ; lecture de l'audit, paramétrage et contrainte « aucun compte sans agent » en base livrés en N2.</w:t>
      </w:r>
    </w:p>
    <w:p>
      <w:pPr>
        <w:pStyle w:val="ListParagraph"/>
        <w:numPr>
          <w:ilvl w:val="0"/>
          <w:numId w:val="1"/>
        </w:numPr>
        <w:spacing w:after="60"/>
      </w:pPr>
      <w:r>
        <w:t xml:space="preserve">Choix techniques : réauthentification valable 10 minutes, liée à l'identité réelle (jamais empruntée en intérim), demandée pour le niveau 2 du dossier du personnel ; une réauthentification demandée n'est pas comptée comme un refus d'accès ; journal d'audit scellé par une tâche chaque minute (empreinte chaînée), l'auteur d'une entrée restant connu même si une inscription en attente est supprimée ; connexions sorties du journal d'audit vers un journal purgeable ; lecture du journal par le DRH limitée à ses propres actions (écart documenté) ; sauvegardes gérées par l'hébergeur, test de restauration déclaré à l'écran ; alerte de supervision une fois par changement d'état ; sonde publique /health/dependances sans aucun détail.</w:t>
      </w:r>
    </w:p>
    <w:p>
      <w:pPr>
        <w:spacing w:after="60"/>
      </w:pPr>
      <w:r>
        <w:rPr>
          <w:b/>
          <w:bCs/>
        </w:rPr>
        <w:t xml:space="preserve">Version 2.6 — Socle NIMBA, lot N3 (§4.17) : </w:t>
      </w:r>
    </w:p>
    <w:p>
      <w:pPr>
        <w:pStyle w:val="ListParagraph"/>
        <w:numPr>
          <w:ilvl w:val="0"/>
          <w:numId w:val="1"/>
        </w:numPr>
        <w:spacing w:after="60"/>
      </w:pPr>
      <w:r>
        <w:t xml:space="preserve">Choix techniques : heures ouvrées du lundi au vendredi en heure de Conakry, hors jours fériés du calendrier ; chef le plus proche = responsable direct hors DN/DNA, à défaut le DN ou la DNA ; avis rendu une seule fois ; la demande d'un DRH est décidée par le DN ou la DNA.</w:t>
      </w:r>
    </w:p>
    <w:p>
      <w:pPr>
        <w:pStyle w:val="ListParagraph"/>
        <w:numPr>
          <w:ilvl w:val="0"/>
          <w:numId w:val="1"/>
        </w:numPr>
        <w:spacing w:after="60"/>
      </w:pPr>
      <w:r>
        <w:t xml:space="preserve">Décision de la Direction (congé maladie) : le chef qui donne l'avis voit le type, les dates, la durée et le motif, comme avant N3 ; il lit le motif après confirmation de son identité, comme le DRH (choix technique). Le certificat médical, ajouté au lot, est déposé par le demandeur et lu par le DRH seul. Le DN, la DNA et le reste de la cascade voient « Absence — motif protégé ».</w:t>
      </w:r>
    </w:p>
    <w:p>
      <w:pPr>
        <w:pStyle w:val="ListParagraph"/>
        <w:numPr>
          <w:ilvl w:val="0"/>
          <w:numId w:val="1"/>
        </w:numPr>
        <w:spacing w:after="60"/>
      </w:pPr>
      <w:r>
        <w:t xml:space="preserve">Décision de la Direction (jours fériés) : calendrier saisi par l'administrateur et le DRH. Choix techniques : fêtes fixes 2026 et 2027 pré-remplies par la migration, bouton « Ajouter les fêtes fixes » pour les autres années ; décompte = jours calendaires moins les jours fériés (les week-ends restent comptés, comme avant), recalculé à la décision ; une période qui ne contient que des jours fériés est refusée ; alerte une fois par an, à partir du 1er janvier.</w:t>
      </w:r>
    </w:p>
    <w:p>
      <w:pPr>
        <w:pStyle w:val="ListParagraph"/>
        <w:numPr>
          <w:ilvl w:val="0"/>
          <w:numId w:val="1"/>
        </w:numPr>
        <w:spacing w:after="60"/>
      </w:pPr>
      <w:r>
        <w:t xml:space="preserve">Avancement des tâches calculé par un déclencheur en base (sans sous-tâches : 0, 50, 90 ou 100 % selon le statut ; une tâche rejetée compte 50 %) ; route de saisie conservée mais refusée (409).</w:t>
      </w:r>
    </w:p>
    <w:p>
      <w:pPr>
        <w:pStyle w:val="ListParagraph"/>
        <w:numPr>
          <w:ilvl w:val="0"/>
          <w:numId w:val="1"/>
        </w:numPr>
        <w:spacing w:after="60"/>
      </w:pPr>
      <w:r>
        <w:t xml:space="preserve">Encadreur principal choisi parmi les tuteurs du plan ; rapport déposé par le stagiaire seul, pendant le stage ou à sa fin, validé ou renvoyé par l'encadreur ; encadreur non modifiable après validation.</w:t>
      </w:r>
    </w:p>
    <w:p>
      <w:pPr>
        <w:pStyle w:val="ListParagraph"/>
        <w:numPr>
          <w:ilvl w:val="0"/>
          <w:numId w:val="1"/>
        </w:numPr>
        <w:spacing w:after="60"/>
      </w:pPr>
      <w:r>
        <w:t xml:space="preserve">Messages directs conservés 3 ans (annexe 4 du cahier NIMBA) ; un fichier déjà absent ne bloque pas la purge.</w:t>
      </w:r>
    </w:p>
    <w:p>
      <w:pPr>
        <w:pStyle w:val="ListParagraph"/>
        <w:numPr>
          <w:ilvl w:val="0"/>
          <w:numId w:val="1"/>
        </w:numPr>
        <w:spacing w:after="60"/>
      </w:pPr>
      <w:r>
        <w:t xml:space="preserve">Onglet « Suivi » ajouté aux congés pour garder la vue des responsables sur leur périmètre en lecture.</w:t>
      </w:r>
    </w:p>
    <w:p>
      <w:pPr>
        <w:spacing w:after="60"/>
      </w:pPr>
      <w:r>
        <w:rPr>
          <w:b/>
          <w:bCs/>
        </w:rPr>
        <w:t xml:space="preserve">Version 2.7 — Socle NIMBA, lot N4 (§4.18) : </w:t>
      </w:r>
    </w:p>
    <w:p>
      <w:pPr>
        <w:pStyle w:val="ListParagraph"/>
        <w:numPr>
          <w:ilvl w:val="0"/>
          <w:numId w:val="1"/>
        </w:numPr>
        <w:spacing w:after="60"/>
      </w:pPr>
      <w:r>
        <w:t xml:space="preserve">Choix techniques : validation par le chef de l'unité productrice (division ou cellule rattachée à la Direction), le DN ou la DNA ; diffusion par le DN ou la DNA seulement ; retrait d'un cran avec motif ; nouvelle version = retour à Brouillon ; le DN et la DNA n'agissent que sur les documents qu'ils voient (publiés ou de leur division).</w:t>
      </w:r>
    </w:p>
    <w:p>
      <w:pPr>
        <w:pStyle w:val="ListParagraph"/>
        <w:numPr>
          <w:ilvl w:val="0"/>
          <w:numId w:val="1"/>
        </w:numPr>
        <w:spacing w:after="60"/>
      </w:pPr>
      <w:r>
        <w:t xml:space="preserve">Décision de la Direction (documents de cellule) : le chef de cellule valide les documents produits par sa cellule, le DN et la DNA en recours. Choix techniques : espace documentaire propre à chaque cellule (sans dossiers), unité productrice unique contrôlée en base, retour arrière du lot refusé tant qu'un document de cellule existe.</w:t>
      </w:r>
    </w:p>
    <w:p>
      <w:pPr>
        <w:pStyle w:val="ListParagraph"/>
        <w:numPr>
          <w:ilvl w:val="0"/>
          <w:numId w:val="1"/>
        </w:numPr>
        <w:spacing w:after="60"/>
      </w:pPr>
      <w:r>
        <w:t xml:space="preserve">Mention du statut apposée sur la copie remise (le fichier déposé n'est jamais modifié) ; un PDF illisible reçoit le statut dans son nom.</w:t>
      </w:r>
    </w:p>
    <w:p>
      <w:pPr>
        <w:pStyle w:val="ListParagraph"/>
        <w:numPr>
          <w:ilvl w:val="0"/>
          <w:numId w:val="1"/>
        </w:numPr>
        <w:spacing w:after="60"/>
      </w:pPr>
      <w:r>
        <w:t xml:space="preserve">Unité productrice = division de dépôt (inchangé) ; lien d'origine vers une tâche ou une réunion (l'activité viendra avec le plan de travail, lot N5).</w:t>
      </w:r>
    </w:p>
    <w:p>
      <w:pPr>
        <w:pStyle w:val="ListParagraph"/>
        <w:numPr>
          <w:ilvl w:val="0"/>
          <w:numId w:val="1"/>
        </w:numPr>
        <w:spacing w:after="60"/>
      </w:pPr>
      <w:r>
        <w:t xml:space="preserve">Ordre de mission saisi une fois (agent, objet, destination, dates, transport, frais), puis généré et signé comme un acte ; attestation de travail : une par demande, préparée par le DRH.</w:t>
      </w:r>
    </w:p>
    <w:p>
      <w:pPr>
        <w:pStyle w:val="ListParagraph"/>
        <w:numPr>
          <w:ilvl w:val="0"/>
          <w:numId w:val="1"/>
        </w:numPr>
        <w:spacing w:after="60"/>
      </w:pPr>
      <w:r>
        <w:t xml:space="preserve">Rapport d'activité : tâches du périmètre et de la période visibles de l'auteur, circulant comme un Brouillon ; un rapport déposé en GED suit ensuite le circuit de validation.</w:t>
      </w:r>
    </w:p>
    <w:p>
      <w:pPr>
        <w:pStyle w:val="ListParagraph"/>
        <w:numPr>
          <w:ilvl w:val="0"/>
          <w:numId w:val="1"/>
        </w:numPr>
        <w:spacing w:after="60"/>
      </w:pPr>
      <w:r>
        <w:t xml:space="preserve">Duplicata : l'aperçu n'enregistre aucune édition ; le téléchargement et la transmission d'un document signé en enregistrent une.</w:t>
      </w:r>
    </w:p>
    <w:p>
      <w:pPr>
        <w:pStyle w:val="ListParagraph"/>
        <w:numPr>
          <w:ilvl w:val="0"/>
          <w:numId w:val="1"/>
        </w:numPr>
        <w:spacing w:after="60"/>
      </w:pPr>
      <w:r>
        <w:t xml:space="preserve">Montants : « quatre-vingts » garde son s devant « mille » (règle donnée par la Direction), « cent » le perd.</w:t>
      </w:r>
    </w:p>
    <w:p>
      <w:pPr>
        <w:spacing w:after="60"/>
      </w:pPr>
      <w:r>
        <w:rPr>
          <w:b/>
          <w:bCs/>
        </w:rPr>
        <w:t xml:space="preserve">Version 2.8 — Socle NIMBA, lot N5 (§4.19) : </w:t>
      </w:r>
    </w:p>
    <w:p>
      <w:pPr>
        <w:pStyle w:val="ListParagraph"/>
        <w:numPr>
          <w:ilvl w:val="0"/>
          <w:numId w:val="1"/>
        </w:numPr>
        <w:spacing w:after="60"/>
      </w:pPr>
      <w:r>
        <w:t xml:space="preserve">Plan de travail géré par unité (chef de l'unité ; chef de division aussi pour ses sections ; DN, DNA partout) ; lecture de son unité et des unités au-dessus ; l'assistant lit comme son supérieur, sans gérer.</w:t>
      </w:r>
    </w:p>
    <w:p>
      <w:pPr>
        <w:pStyle w:val="ListParagraph"/>
        <w:numPr>
          <w:ilvl w:val="0"/>
          <w:numId w:val="1"/>
        </w:numPr>
        <w:spacing w:after="60"/>
      </w:pPr>
      <w:r>
        <w:t xml:space="preserve">Suppression d'un objectif refusée s'il a des activités, d'une activité si des tâches y sont rattachées (409).</w:t>
      </w:r>
    </w:p>
    <w:p>
      <w:pPr>
        <w:pStyle w:val="ListParagraph"/>
        <w:numPr>
          <w:ilvl w:val="0"/>
          <w:numId w:val="1"/>
        </w:numPr>
        <w:spacing w:after="60"/>
      </w:pPr>
      <w:r>
        <w:t xml:space="preserve">Alertes d'échéance à 7 h ; « chef le plus proche » = même règle que l'avis sur les congés (supérieur désigné, cellule, section, division, puis DN et DNA). Reprise : les tâches déjà en retard au passage de N5 sont réputées signalées (pas d'avalanche d'alertes).</w:t>
      </w:r>
    </w:p>
    <w:p>
      <w:pPr>
        <w:pStyle w:val="ListParagraph"/>
        <w:numPr>
          <w:ilvl w:val="0"/>
          <w:numId w:val="1"/>
        </w:numPr>
        <w:spacing w:after="60"/>
      </w:pPr>
      <w:r>
        <w:t xml:space="preserve">Liste des emails immédiats : sécurité, décisions sur une demande (congé, logistique, réservation, stage), acte à signer, tâche ou imputation en retard, rappel ou annulation de réunion, instruction, supervision. Résumé à 7 h par défaut ; changer d'heure reprogramme les emails en attente.</w:t>
      </w:r>
    </w:p>
    <w:p>
      <w:pPr>
        <w:pStyle w:val="ListParagraph"/>
        <w:numPr>
          <w:ilvl w:val="0"/>
          <w:numId w:val="1"/>
        </w:numPr>
        <w:spacing w:after="60"/>
      </w:pPr>
      <w:r>
        <w:t xml:space="preserve">Fils : participants fixés à la création ; ouvrir un fil vaut lecture ; un non-participant reçoit « introuvable ». Joindre un objet passe par la recherche transverse, donc par les droits de l'auteur ; la recherche est fermée aux stagiaires.</w:t>
      </w:r>
    </w:p>
    <w:p>
      <w:pPr>
        <w:pStyle w:val="ListParagraph"/>
        <w:numPr>
          <w:ilvl w:val="0"/>
          <w:numId w:val="1"/>
        </w:numPr>
        <w:spacing w:after="60"/>
      </w:pPr>
      <w:r>
        <w:t xml:space="preserve">Instructions : destinataire = tout compte actif hors stagiaire ; les actes proposés à l'exécution sont les actes signés rédigés par le destinataire dont l'agent concerné est bénéficiaire ; l'agent concerné ne voit jamais le motif d'un rejet (ni une instruction rejetée).</w:t>
      </w:r>
    </w:p>
    <w:p>
      <w:pPr>
        <w:pStyle w:val="ListParagraph"/>
        <w:numPr>
          <w:ilvl w:val="0"/>
          <w:numId w:val="1"/>
        </w:numPr>
        <w:spacing w:after="60"/>
      </w:pPr>
      <w:r>
        <w:t xml:space="preserve">Démonstration : un plan de travail et un fil ; pas d'instruction (aucun DN de démonstration n'agit au nom de la Direction réelle).</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