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2.4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r>
        <w:tc>
          <w:tcPr>
            <w:tcW w:type="dxa" w:w="1200"/>
            <w:vAlign w:val="center"/>
          </w:tcPr>
          <w:p>
            <w:r>
              <w:rPr>
                <w:sz w:val="20"/>
                <w:szCs w:val="20"/>
              </w:rPr>
              <w:t xml:space="preserve">2.3</w:t>
            </w:r>
          </w:p>
        </w:tc>
        <w:tc>
          <w:tcPr>
            <w:tcW w:type="dxa" w:w="1500"/>
            <w:vAlign w:val="center"/>
          </w:tcPr>
          <w:p>
            <w:r>
              <w:rPr>
                <w:sz w:val="20"/>
                <w:szCs w:val="20"/>
              </w:rPr>
              <w:t xml:space="preserve">25/09/2026</w:t>
            </w:r>
          </w:p>
        </w:tc>
        <w:tc>
          <w:tcPr>
            <w:tcW w:type="dxa" w:w="6650"/>
            <w:vAlign w:val="center"/>
          </w:tcPr>
          <w:p>
            <w:r>
              <w:rPr>
                <w:sz w:val="20"/>
                <w:szCs w:val="20"/>
              </w:rPr>
              <w:t xml:space="preserve">Lot G « Pérennisation » : suite de tests de bout en bout dans le dépôt, exécutée automatiquement sur chaque pull request ; double authentification gérable à l'écran et réinitialisable par l'administrateur ; aide en ligne par profil (§4.14) ; paramétrage initial par script ; failles de dépendances corrigées ; guide d'exploitation. Annexe B complétée.</w:t>
            </w:r>
          </w:p>
        </w:tc>
      </w:tr>
      <w:tr>
        <w:tc>
          <w:tcPr>
            <w:tcW w:type="dxa" w:w="1200"/>
            <w:vAlign w:val="center"/>
          </w:tcPr>
          <w:p>
            <w:r>
              <w:rPr>
                <w:sz w:val="20"/>
                <w:szCs w:val="20"/>
              </w:rPr>
              <w:t xml:space="preserve">2.4</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N1 (§4.15) : organigramme modifiable (unités, fermeture datée, historique), agent distinct du compte (matricule, cycle de vie, fins de stage et de contrat), rôles fonctionnels distincts de la position, refus d'accès journalisés, conventions d'API v1. Annexe B complétée.</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le motif d'un congé maladie (le DN/DNA voit qu'une absence existe, jamais sa nature médicale, sauf s'il est exceptionnellement le seul validateur direct),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la désactiver lui-même à tout moment, depuis l'écran « Sécurité du compte » (cadenas en bas du menu) : QR code ou clé à saisir dans l'application d'authentification, activation confirmée par un premier code, désactivation qui exige un code valide.</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Téléphone perdu : l'administrateur système réinitialise la double authentification d'un compte (jamais du sien) depuis Utilisateurs ; les sessions de la personne sont fermées et l'opération est tracée au journal d'audit.</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manuel pour les tâches sans sous-tâches, remplacé automatiquement dès qu'une sous-tâche existe.</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Heading2"/>
        <w:spacing w:after="150" w:before="300"/>
      </w:pPr>
      <w:r>
        <w:t xml:space="preserve">4.4 Module — Congés et absences</w:t>
      </w:r>
    </w:p>
    <w:p>
      <w:pPr>
        <w:spacing w:after="120"/>
      </w:pPr>
      <w:r>
        <w:rPr>
          <w:i/>
          <w:iCs/>
          <w:color w:val="444444"/>
        </w:rPr>
        <w:t xml:space="preserve">Demande, validation en cascade,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Pour un congé maladie : le DN/DNA voit l'existence et la durée de l'absence, jamais le type ni le motif détaillé — sauf s'il est exceptionnellement l'unique validateur direct de cette demande précise.</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2"/>
        <w:spacing w:after="150" w:before="300"/>
      </w:pPr>
      <w:r>
        <w:t xml:space="preserve">4.14 Aide en ligne</w:t>
      </w:r>
    </w:p>
    <w:p>
      <w:pPr>
        <w:spacing w:after="120"/>
      </w:pPr>
      <w:r>
        <w:rPr>
          <w:i/>
          <w:iCs/>
          <w:color w:val="444444"/>
        </w:rPr>
        <w:t xml:space="preserve">Guides d'utilisation en français simple, intégrés à l'application et exportés en PDF.</w:t>
      </w:r>
    </w:p>
    <w:p>
      <w:pPr>
        <w:spacing w:after="60"/>
      </w:pPr>
      <w:r>
        <w:rPr>
          <w:b/>
          <w:bCs/>
        </w:rPr>
        <w:t xml:space="preserve">Fonctionnalités : </w:t>
      </w:r>
    </w:p>
    <w:p>
      <w:pPr>
        <w:pStyle w:val="ListParagraph"/>
        <w:numPr>
          <w:ilvl w:val="0"/>
          <w:numId w:val="1"/>
        </w:numPr>
        <w:spacing w:after="60"/>
      </w:pPr>
      <w:r>
        <w:t xml:space="preserve">Page « Aide » accessible à tous depuis le menu, stagiaires compris.</w:t>
      </w:r>
    </w:p>
    <w:p>
      <w:pPr>
        <w:pStyle w:val="ListParagraph"/>
        <w:numPr>
          <w:ilvl w:val="0"/>
          <w:numId w:val="1"/>
        </w:numPr>
        <w:spacing w:after="60"/>
      </w:pPr>
      <w:r>
        <w:t xml:space="preserve">Un guide par profil : Chargé d'Études, Chef de Section, Chef de Division ou de Cellule, DN/DNA, Assistant de direction, secrétariat courrier, DRH, gestionnaire logistique, Stagiaire, Administrateur système, plus des « Premiers pas » communs.</w:t>
      </w:r>
    </w:p>
    <w:p>
      <w:pPr>
        <w:pStyle w:val="ListParagraph"/>
        <w:numPr>
          <w:ilvl w:val="0"/>
          <w:numId w:val="1"/>
        </w:numPr>
        <w:spacing w:after="60"/>
      </w:pPr>
      <w:r>
        <w:t xml:space="preserve">Chacun ne voit que les guides de son profil : son rôle propre (jamais celui emprunté en intérim) et ses habilitations personnelles (secrétariat courrier, gestionnaire logistique), déterminés par le serveur.</w:t>
      </w:r>
    </w:p>
    <w:p>
      <w:pPr>
        <w:pStyle w:val="ListParagraph"/>
        <w:numPr>
          <w:ilvl w:val="0"/>
          <w:numId w:val="1"/>
        </w:numPr>
        <w:spacing w:after="60"/>
      </w:pPr>
      <w:r>
        <w:t xml:space="preserve">Étapes illustrées de captures d'écran de l'application ; le même contenu est fourni en PDF imprimable (docs/Guide_utilisateur_SI_DNPEC.pdf).</w:t>
      </w:r>
    </w:p>
    <w:p>
      <w:pPr>
        <w:pStyle w:val="Heading2"/>
        <w:spacing w:after="150" w:before="300"/>
      </w:pPr>
      <w:r>
        <w:t xml:space="preserve">4.15 Socle NIMBA — organigramme, agents et rôles fonctionnels (lot N1)</w:t>
      </w:r>
    </w:p>
    <w:p>
      <w:pPr>
        <w:spacing w:after="120"/>
      </w:pPr>
      <w:r>
        <w:rPr>
          <w:i/>
          <w:iCs/>
          <w:color w:val="444444"/>
        </w:rPr>
        <w:t xml:space="preserve">Premier lot du socle défini par le cahier des charges NIMBA v2.2 (Partie 0, Partie A, annexes 1 à 4). Les modules existants continuent de fonctionner à l'identique ; ils passeront sur ce socle au fil des lots suivants.</w:t>
      </w:r>
    </w:p>
    <w:p>
      <w:pPr>
        <w:spacing w:after="60"/>
      </w:pPr>
      <w:r>
        <w:rPr>
          <w:b/>
          <w:bCs/>
        </w:rPr>
        <w:t xml:space="preserve">Organigramme (Personnel → Organisation) : </w:t>
      </w:r>
    </w:p>
    <w:p>
      <w:pPr>
        <w:pStyle w:val="ListParagraph"/>
        <w:numPr>
          <w:ilvl w:val="0"/>
          <w:numId w:val="1"/>
        </w:numPr>
        <w:spacing w:after="60"/>
      </w:pPr>
      <w:r>
        <w:t xml:space="preserve">Lisible par tous : Direction, divisions, sections, cellules et instances, avec le responsable, l'éventuel suppléant en cours et l'effectif de chaque unité.</w:t>
      </w:r>
    </w:p>
    <w:p>
      <w:pPr>
        <w:pStyle w:val="ListParagraph"/>
        <w:numPr>
          <w:ilvl w:val="0"/>
          <w:numId w:val="1"/>
        </w:numPr>
        <w:spacing w:after="60"/>
      </w:pPr>
      <w:r>
        <w:t xml:space="preserve">Tenu par le DRH et l'administrateur système : création d'une sous-unité (Direction → division, cellule ou instance ; division → section), modification du code et du libellé (cellule ⇄ instance possible), fermeture datée avec motif, refusée tant qu'un agent, un compte ou une sous-unité ouverte y reste rattaché. Chaque changement est inscrit à l'historique de l'unité (auteur, date, avant/après).</w:t>
      </w:r>
    </w:p>
    <w:p>
      <w:pPr>
        <w:pStyle w:val="ListParagraph"/>
        <w:numPr>
          <w:ilvl w:val="0"/>
          <w:numId w:val="1"/>
        </w:numPr>
        <w:spacing w:after="60"/>
      </w:pPr>
      <w:r>
        <w:t xml:space="preserve">Le responsable d'une unité est déduit des nominations existantes (changement de rôle, chef de cellule) ; « Pas de responsable désigné » signale un poste vacant ou deux chefs en même temps.</w:t>
      </w:r>
    </w:p>
    <w:p>
      <w:pPr>
        <w:spacing w:after="60"/>
      </w:pPr>
      <w:r>
        <w:rPr>
          <w:b/>
          <w:bCs/>
        </w:rPr>
        <w:t xml:space="preserve">Agents (Personnel → Agents, DRH et gestionnaire RH) : </w:t>
      </w:r>
    </w:p>
    <w:p>
      <w:pPr>
        <w:pStyle w:val="ListParagraph"/>
        <w:numPr>
          <w:ilvl w:val="0"/>
          <w:numId w:val="1"/>
        </w:numPr>
        <w:spacing w:after="60"/>
      </w:pPr>
      <w:r>
        <w:t xml:space="preserve">L'agent (la personne : matricule, nom, unité, fonction, statut En activité / Suspendu / Parti) est distinct du compte de connexion. Tout compte est rattaché à un agent : à sa création ou à l'approbation d'une inscription, l'administrateur choisit l'agent existant ou indique son matricule ; à défaut, un matricule provisoire (P-000001…) est attribué, que le DRH remplace ensuite.</w:t>
      </w:r>
    </w:p>
    <w:p>
      <w:pPr>
        <w:pStyle w:val="ListParagraph"/>
        <w:numPr>
          <w:ilvl w:val="0"/>
          <w:numId w:val="1"/>
        </w:numPr>
        <w:spacing w:after="60"/>
      </w:pPr>
      <w:r>
        <w:t xml:space="preserve">Cycle de vie par le DRH seul, jamais sur lui-même, motif obligatoire : suspension (connexion bloquée aussitôt), réactivation, départ (compte désactivé, tâches en cours transférées au premier responsable actif en remontant l'organigramme, suppléances et rôles retirés, dossier conservé).</w:t>
      </w:r>
    </w:p>
    <w:p>
      <w:pPr>
        <w:pStyle w:val="ListParagraph"/>
        <w:numPr>
          <w:ilvl w:val="0"/>
          <w:numId w:val="1"/>
        </w:numPr>
        <w:spacing w:after="60"/>
      </w:pPr>
      <w:r>
        <w:t xml:space="preserve">Fin prévue d'un stage ou d'un contrat : alerte au DRH à J-15 puis rappel à J-3 (notification et email), avec « Prolonger » (nouvelle date, motif, tracé ; nouvelles alertes calculées sur la nouvelle date) ou « Confirmer la fin ». Sans décision, l'agent passe « Parti » le lendemain de la date de fin et son compte est désactivé ; le DRH en est prévenu le jour même. Dossier, évaluation et attestation toujours conservés ; réactivation possible par le DRH.</w:t>
      </w:r>
    </w:p>
    <w:p>
      <w:pPr>
        <w:spacing w:after="60"/>
      </w:pPr>
      <w:r>
        <w:rPr>
          <w:b/>
          <w:bCs/>
        </w:rPr>
        <w:t xml:space="preserve">Rôles fonctionnels (Administration → Utilisateurs → Rôles fonctionnels) : </w:t>
      </w:r>
    </w:p>
    <w:p>
      <w:pPr>
        <w:pStyle w:val="ListParagraph"/>
        <w:numPr>
          <w:ilvl w:val="0"/>
          <w:numId w:val="1"/>
        </w:numPr>
        <w:spacing w:after="60"/>
      </w:pPr>
      <w:r>
        <w:t xml:space="preserve">Deux axes d'autorisation : la position (rôle du compte et rattachement) fixe ce que la personne voit ; les rôles fonctionnels (DRH, Gestionnaire RH, Gestionnaire paie, Chef du SAF, Validateur, Encadreur de stage, Assistant, Agent du courrier, Gestionnaire logistique…) ajoutent des capacités, cumulables, sans jamais élargir ce périmètre. Le besoin d'en connaître (§2.2) prévaut toujours.</w:t>
      </w:r>
    </w:p>
    <w:p>
      <w:pPr>
        <w:pStyle w:val="ListParagraph"/>
        <w:numPr>
          <w:ilvl w:val="0"/>
          <w:numId w:val="1"/>
        </w:numPr>
        <w:spacing w:after="60"/>
      </w:pPr>
      <w:r>
        <w:t xml:space="preserve">Attribués et retirés par l'administrateur système seul (période facultative, motif au retrait, personne notifiée). Agent du courrier et Gestionnaire logistique restent attribués depuis leurs modules et y sont reflétés. En intérim, le suppléant emprunte la position et le périmètre du titulaire, jamais ses rôles fonctionnels.</w:t>
      </w:r>
    </w:p>
    <w:p>
      <w:pPr>
        <w:spacing w:after="60"/>
      </w:pPr>
      <w:r>
        <w:rPr>
          <w:b/>
          <w:bCs/>
        </w:rPr>
        <w:t xml:space="preserve">Traçabilité et conventions : </w:t>
      </w:r>
    </w:p>
    <w:p>
      <w:pPr>
        <w:pStyle w:val="ListParagraph"/>
        <w:numPr>
          <w:ilvl w:val="0"/>
          <w:numId w:val="1"/>
        </w:numPr>
        <w:spacing w:after="60"/>
      </w:pPr>
      <w:r>
        <w:t xml:space="preserve">Chaque refus d'accès (403) est journalisé : qui, quoi, à quelle étape du contrôle, avec un identifiant de trace renvoyé dans chaque réponse (en-tête X-Trace-Id).</w:t>
      </w:r>
    </w:p>
    <w:p>
      <w:pPr>
        <w:pStyle w:val="ListParagraph"/>
        <w:numPr>
          <w:ilvl w:val="0"/>
          <w:numId w:val="1"/>
        </w:numPr>
        <w:spacing w:after="60"/>
      </w:pPr>
      <w:r>
        <w:t xml:space="preserve">Nouvelles routes sous /api/v1, avec une forme d'erreur unique { code, message, details, trace_id } ; les routes existantes ne changent pas.</w:t>
      </w:r>
    </w:p>
    <w:p>
      <w:pPr>
        <w:pStyle w:val="ListParagraph"/>
        <w:numPr>
          <w:ilvl w:val="0"/>
          <w:numId w:val="1"/>
        </w:numPr>
        <w:spacing w:after="60"/>
      </w:pPr>
      <w:r>
        <w:t xml:space="preserve">Reprise automatique à la mise en service, sans modifier aucune donnée existante : unités, responsables, un agent par compte (matricule provisoire), rôles DRH et Assistant selon la position, Validateur pour le DN et la DNA, Chef du SAF pour le chef de la cellule SAF, Encadreur de stage pour les tuteurs de stages en cours, reflets des habilitations courrier et logistique. Retour arrière documenté (docs/Exploitation.md, § 3 bis).</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Paramétrage initial de la production par un script en création seule (workflow manuel « Paramétrage initial ») : registres, catégories, capacités d'accueil, modèle d'attestation, ressources et articles de départ, sans aucun compte ; tout reste modifiable à l'écran et un élément supprimé n'est jamais recréé.</w:t>
      </w:r>
    </w:p>
    <w:p>
      <w:pPr>
        <w:pStyle w:val="ListParagraph"/>
        <w:numPr>
          <w:ilvl w:val="0"/>
          <w:numId w:val="1"/>
        </w:numPr>
        <w:spacing w:after="60"/>
      </w:pPr>
      <w:r>
        <w:t xml:space="preserve">Intégration continue : sur chaque pull request, la suite complète de tests de bout en bout (API et écrans sous navigateur, ordinateur et mobile, cas refusés 403/409 compris) tourne sur une base jetable ; elle ne touche jamais la production. Règle de mise à jour : pull request, tests verts, migration, fusion.</w:t>
      </w:r>
    </w:p>
    <w:p>
      <w:pPr>
        <w:pStyle w:val="ListParagraph"/>
        <w:numPr>
          <w:ilvl w:val="0"/>
          <w:numId w:val="1"/>
        </w:numPr>
        <w:spacing w:after="60"/>
      </w:pPr>
      <w:r>
        <w:t xml:space="preserve">Guide d'exploitation (docs/Exploitation.md) : sauvegardes, mise à jour, pannes, rotation des secrets, ajout d'un administrateur.</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trimestriel, docs/Securite_dependances.md) ; au 25/09/2026, aucune faille connue : PostCSS et uuid corrigés par surcharge de version, Next.js à jour dans sa version 15.</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Après le paramétrage initial par script : désigner les habilitations courrier et les gestionnaires logistiques (administrateur), saisir l'inventaire réel et renommer salles et matériel (gestionnaires), ajuster les capacités d'accueil (DRH).</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after="60"/>
      </w:pPr>
      <w:r>
        <w:rPr>
          <w:b/>
          <w:bCs/>
        </w:rPr>
        <w:t xml:space="preserve">Version 2.3 — Lot G (pérennisation) : </w:t>
      </w:r>
    </w:p>
    <w:p>
      <w:pPr>
        <w:pStyle w:val="ListParagraph"/>
        <w:numPr>
          <w:ilvl w:val="0"/>
          <w:numId w:val="1"/>
        </w:numPr>
        <w:spacing w:after="60"/>
      </w:pPr>
      <w:r>
        <w:t xml:space="preserve">Paramétrage initial de la production par script, en création seule, sans compte de test : l'acteur est « Système » ; les réglages des stages (capacités, modèle d'attestation) deviennent modifiables par le DRH et par l'administrateur système, qui n'accède jamais au contenu des stages.</w:t>
      </w:r>
    </w:p>
    <w:p>
      <w:pPr>
        <w:pStyle w:val="ListParagraph"/>
        <w:numPr>
          <w:ilvl w:val="0"/>
          <w:numId w:val="1"/>
        </w:numPr>
        <w:spacing w:after="60"/>
      </w:pPr>
      <w:r>
        <w:t xml:space="preserve">Suite de tests de bout en bout versionnée dans le dépôt (plus de 1 500 contrôles : API, navigateur sur ordinateur et mobile, cas refusés) et exécutée automatiquement sur chaque pull request, sur une base jetable ; elle refuse de tourner sur une base autre que locale.</w:t>
      </w:r>
    </w:p>
    <w:p>
      <w:pPr>
        <w:pStyle w:val="ListParagraph"/>
        <w:numPr>
          <w:ilvl w:val="0"/>
          <w:numId w:val="1"/>
        </w:numPr>
        <w:spacing w:after="60"/>
      </w:pPr>
      <w:r>
        <w:t xml:space="preserve">Double authentification : écran « Sécurité du compte » pour l'activer et la désactiver soi-même ; reconfiguration refusée quand elle est active ; désactivation soumise à un code valide ; réinitialisation par l'administrateur (jamais sur soi-même), sessions fermées, auditée. Correction : après une connexion avec code, l'utilisateur arrive sur la page qu'il visait.</w:t>
      </w:r>
    </w:p>
    <w:p>
      <w:pPr>
        <w:pStyle w:val="ListParagraph"/>
        <w:numPr>
          <w:ilvl w:val="0"/>
          <w:numId w:val="1"/>
        </w:numPr>
        <w:spacing w:after="60"/>
      </w:pPr>
      <w:r>
        <w:t xml:space="preserve">Aide en ligne par profil (§4.14), profils déterminés par le serveur à partir du rôle propre et des habilitations personnelles ; guide PDF équivalent.</w:t>
      </w:r>
    </w:p>
    <w:p>
      <w:pPr>
        <w:pStyle w:val="ListParagraph"/>
        <w:numPr>
          <w:ilvl w:val="0"/>
          <w:numId w:val="1"/>
        </w:numPr>
        <w:spacing w:after="60"/>
      </w:pPr>
      <w:r>
        <w:t xml:space="preserve">Failles de dépendances : PostCSS (via Next.js) et uuid (via exceljs) corrigées par surcharge de version ; Next.js mis à jour dans sa version 15 ; aucune faille connue restante.</w:t>
      </w:r>
    </w:p>
    <w:p>
      <w:pPr>
        <w:pStyle w:val="ListParagraph"/>
        <w:numPr>
          <w:ilvl w:val="0"/>
          <w:numId w:val="1"/>
        </w:numPr>
        <w:spacing w:after="60"/>
      </w:pPr>
      <w:r>
        <w:t xml:space="preserve">Guide d'exploitation en langage simple : sauvegardes, procédure de mise à jour, pannes, rotation des secrets, ajout d'un administrateur.</w:t>
      </w:r>
    </w:p>
    <w:p>
      <w:pPr>
        <w:spacing w:after="60"/>
      </w:pPr>
      <w:r>
        <w:rPr>
          <w:b/>
          <w:bCs/>
        </w:rPr>
        <w:t xml:space="preserve">Version 2.4 — Socle NIMBA, lot N1 (§4.15) : </w:t>
      </w:r>
    </w:p>
    <w:p>
      <w:pPr>
        <w:pStyle w:val="ListParagraph"/>
        <w:numPr>
          <w:ilvl w:val="0"/>
          <w:numId w:val="1"/>
        </w:numPr>
        <w:spacing w:after="60"/>
      </w:pPr>
      <w:r>
        <w:t xml:space="preserve">Décisions de la Direction (reprise des rôles) : DN et DNA → Validateur ; chef de la cellule SAF → Chef du SAF ; Gestionnaire RH et Gestionnaire paie attribués à la main par l'administrateur.</w:t>
      </w:r>
    </w:p>
    <w:p>
      <w:pPr>
        <w:pStyle w:val="ListParagraph"/>
        <w:numPr>
          <w:ilvl w:val="0"/>
          <w:numId w:val="1"/>
        </w:numPr>
        <w:spacing w:after="60"/>
      </w:pPr>
      <w:r>
        <w:t xml:space="preserve">Décision de la Direction (intérim) : les rôles fonctionnels ne s'empruntent pas ; seuls la position et le périmètre du titulaire s'empruntent.</w:t>
      </w:r>
    </w:p>
    <w:p>
      <w:pPr>
        <w:pStyle w:val="ListParagraph"/>
        <w:numPr>
          <w:ilvl w:val="0"/>
          <w:numId w:val="1"/>
        </w:numPr>
        <w:spacing w:after="60"/>
      </w:pPr>
      <w:r>
        <w:t xml:space="preserve">Décision de la Direction (fin de stage) : passage automatique à « Parti » et désactivation du compte à l'échéance, avec alerte au DRH à J-15 puis rappel à J-3 et deux actions directes (prolonger avec motif, ou confirmer la fin) ; sans action, passage automatique et DRH notifié le jour même ; dossier, évaluation et attestation conservés ; réactivation par le DRH. Étendu aux fins de contrat.</w:t>
      </w:r>
    </w:p>
    <w:p>
      <w:pPr>
        <w:pStyle w:val="ListParagraph"/>
        <w:numPr>
          <w:ilvl w:val="0"/>
          <w:numId w:val="1"/>
        </w:numPr>
        <w:spacing w:after="60"/>
      </w:pPr>
      <w:r>
        <w:t xml:space="preserve">Décisions de la Direction (points techniques) : écarts avec l'annexe 1 du cahier NIMBA conservés en N1 puis alignés (liste dans docs/NIMBA_matrice_N1.md) ; motif médical et décision des congés en N3 ; lecture de l'audit et paramétrage en N2 ; contrainte « aucun compte sans agent » en base en N2 ; matricules provisoires remplacés ensuite par le DRH.</w:t>
      </w:r>
    </w:p>
    <w:p>
      <w:pPr>
        <w:pStyle w:val="ListParagraph"/>
        <w:numPr>
          <w:ilvl w:val="0"/>
          <w:numId w:val="1"/>
        </w:numPr>
        <w:spacing w:after="60"/>
      </w:pPr>
      <w:r>
        <w:t xml:space="preserve">Choix techniques : reprise faite par l'API à son démarrage (idempotente) plutôt que dans la migration ; passage à « Parti » le lendemain de la date de fin (le dernier jour reste travaillé) ; une unité ne change pas de parent en N1 ; l'administrateur ne voit que les agents sans compte (rapprochement) ; un changement de rôle aligne les rôles DRH et Assistant ; réactivation d'un agent dont la fin est passée seulement avec une nouvelle date ; la prolongation d'un stage prolonge aussi le stage ; menu « Organisation » dans le groupe Personnel, pour tous ; statut de compte « Supprimé » renommé « Désactivé ».</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