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DNPEC.xml" ContentType="application/vnd.openxmlformats-officedocument.wordprocessingml.footer+xml"/>
  <Override PartName="/word/media/rId43.png" ContentType="image/png"/>
  <Override PartName="/word/media/rId68.png" ContentType="image/png"/>
  <Override PartName="/word/media/rId163.png" ContentType="image/png"/>
  <Override PartName="/word/media/rId178.png" ContentType="image/png"/>
  <Override PartName="/word/media/rId181.png" ContentType="image/png"/>
  <Override PartName="/word/media/rId184.png" ContentType="image/png"/>
  <Override PartName="/word/media/rId187.png" ContentType="image/png"/>
  <Override PartName="/word/media/rId190.png" ContentType="image/png"/>
  <Override PartName="/word/media/rId260.png" ContentType="image/png"/>
  <Override PartName="/word/media/rId263.png" ContentType="image/png"/>
  <Override PartName="/word/media/rId266.png" ContentType="image/png"/>
  <Override PartName="/word/media/rId269.png" ContentType="image/png"/>
  <Override PartName="/word/media/rId272.png" ContentType="image/png"/>
  <Override PartName="/word/media/rId275.png" ContentType="image/png"/>
  <Override PartName="/word/media/rId278.png" ContentType="image/png"/>
  <Override PartName="/word/media/rId282.png" ContentType="image/png"/>
  <Override PartName="/word/media/rId285.png" ContentType="image/png"/>
  <Override PartName="/word/media/rId288.png" ContentType="image/png"/>
  <Override PartName="/word/media/rId291.png" ContentType="image/png"/>
  <Override PartName="/word/media/rId29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Cahier</w:t>
      </w:r>
      <w:r>
        <w:t xml:space="preserve"> </w:t>
      </w:r>
      <w:r>
        <w:t xml:space="preserve">des</w:t>
      </w:r>
      <w:r>
        <w:t xml:space="preserve"> </w:t>
      </w:r>
      <w:r>
        <w:t xml:space="preserve">charges</w:t>
      </w:r>
      <w:r>
        <w:t xml:space="preserve"> </w:t>
      </w:r>
      <w:r>
        <w:t xml:space="preserve">unifié</w:t>
      </w:r>
    </w:p>
    <w:p>
      <w:pPr>
        <w:pStyle w:val="Subtitle"/>
      </w:pPr>
      <w:r>
        <w:t xml:space="preserve">NIMBA</w:t>
      </w:r>
      <w:r>
        <w:t xml:space="preserve"> </w:t>
      </w:r>
      <w:r>
        <w:t xml:space="preserve">—</w:t>
      </w:r>
      <w:r>
        <w:t xml:space="preserve"> </w:t>
      </w:r>
      <w:r>
        <w:t xml:space="preserve">Plateforme</w:t>
      </w:r>
      <w:r>
        <w:t xml:space="preserve"> </w:t>
      </w:r>
      <w:r>
        <w:t xml:space="preserve">intégrée</w:t>
      </w:r>
      <w:r>
        <w:t xml:space="preserve"> </w:t>
      </w:r>
      <w:r>
        <w:t xml:space="preserve">de</w:t>
      </w:r>
      <w:r>
        <w:t xml:space="preserve"> </w:t>
      </w:r>
      <w:r>
        <w:t xml:space="preserve">la</w:t>
      </w:r>
      <w:r>
        <w:t xml:space="preserve"> </w:t>
      </w:r>
      <w:r>
        <w:t xml:space="preserve">DNPEC</w:t>
      </w:r>
      <w:r>
        <w:t xml:space="preserve"> </w:t>
      </w:r>
      <w:r>
        <w:t xml:space="preserve">—</w:t>
      </w:r>
      <w:r>
        <w:t xml:space="preserve"> </w:t>
      </w:r>
      <w:r>
        <w:t xml:space="preserve">gestion</w:t>
      </w:r>
      <w:r>
        <w:t xml:space="preserve"> </w:t>
      </w:r>
      <w:r>
        <w:t xml:space="preserve">interne</w:t>
      </w:r>
      <w:r>
        <w:t xml:space="preserve"> </w:t>
      </w:r>
      <w:r>
        <w:t xml:space="preserve">de</w:t>
      </w:r>
      <w:r>
        <w:t xml:space="preserve"> </w:t>
      </w:r>
      <w:r>
        <w:t xml:space="preserve">la</w:t>
      </w:r>
      <w:r>
        <w:t xml:space="preserve"> </w:t>
      </w:r>
      <w:r>
        <w:t xml:space="preserve">Direction</w:t>
      </w:r>
      <w:r>
        <w:t xml:space="preserve"> </w:t>
      </w:r>
      <w:r>
        <w:t xml:space="preserve">et</w:t>
      </w:r>
      <w:r>
        <w:t xml:space="preserve"> </w:t>
      </w:r>
      <w:r>
        <w:t xml:space="preserve">modélisation</w:t>
      </w:r>
      <w:r>
        <w:t xml:space="preserve"> </w:t>
      </w:r>
      <w:r>
        <w:t xml:space="preserve">macroéconomique</w:t>
      </w:r>
    </w:p>
    <w:p>
      <w:pPr>
        <w:pStyle w:val="Author"/>
      </w:pPr>
      <w:r>
        <w:t xml:space="preserve">Direction</w:t>
      </w:r>
      <w:r>
        <w:t xml:space="preserve"> </w:t>
      </w:r>
      <w:r>
        <w:t xml:space="preserve">Nationale</w:t>
      </w:r>
      <w:r>
        <w:t xml:space="preserve"> </w:t>
      </w:r>
      <w:r>
        <w:t xml:space="preserve">des</w:t>
      </w:r>
      <w:r>
        <w:t xml:space="preserve"> </w:t>
      </w:r>
      <w:r>
        <w:t xml:space="preserve">Prévisions</w:t>
      </w:r>
      <w:r>
        <w:t xml:space="preserve"> </w:t>
      </w:r>
      <w:r>
        <w:t xml:space="preserve">Économiques</w:t>
      </w:r>
      <w:r>
        <w:t xml:space="preserve"> </w:t>
      </w:r>
      <w:r>
        <w:t xml:space="preserve">et</w:t>
      </w:r>
      <w:r>
        <w:t xml:space="preserve"> </w:t>
      </w:r>
      <w:r>
        <w:t xml:space="preserve">de</w:t>
      </w:r>
      <w:r>
        <w:t xml:space="preserve"> </w:t>
      </w:r>
      <w:r>
        <w:t xml:space="preserve">la</w:t>
      </w:r>
      <w:r>
        <w:t xml:space="preserve"> </w:t>
      </w:r>
      <w:r>
        <w:t xml:space="preserve">Conjoncture</w:t>
      </w:r>
      <w:r>
        <w:t xml:space="preserve"> </w:t>
      </w:r>
      <w:r>
        <w:t xml:space="preserve">—</w:t>
      </w:r>
      <w:r>
        <w:t xml:space="preserve"> </w:t>
      </w:r>
      <w:r>
        <w:t xml:space="preserve">Ministère</w:t>
      </w:r>
      <w:r>
        <w:t xml:space="preserve"> </w:t>
      </w:r>
      <w:r>
        <w:t xml:space="preserve">de</w:t>
      </w:r>
      <w:r>
        <w:t xml:space="preserve"> </w:t>
      </w:r>
      <w:r>
        <w:t xml:space="preserve">l’Économie,</w:t>
      </w:r>
      <w:r>
        <w:t xml:space="preserve"> </w:t>
      </w:r>
      <w:r>
        <w:t xml:space="preserve">des</w:t>
      </w:r>
      <w:r>
        <w:t xml:space="preserve"> </w:t>
      </w:r>
      <w:r>
        <w:t xml:space="preserve">Finances</w:t>
      </w:r>
      <w:r>
        <w:t xml:space="preserve"> </w:t>
      </w:r>
      <w:r>
        <w:t xml:space="preserve">et</w:t>
      </w:r>
      <w:r>
        <w:t xml:space="preserve"> </w:t>
      </w:r>
      <w:r>
        <w:t xml:space="preserve">du</w:t>
      </w:r>
      <w:r>
        <w:t xml:space="preserve"> </w:t>
      </w:r>
      <w:r>
        <w:t xml:space="preserve">Budget</w:t>
      </w:r>
    </w:p>
    <w:p>
      <w:pPr>
        <w:pStyle w:val="Date"/>
      </w:pPr>
      <w:r>
        <w:t xml:space="preserve">Version</w:t>
      </w:r>
      <w:r>
        <w:t xml:space="preserve"> </w:t>
      </w:r>
      <w:r>
        <w:t xml:space="preserve">2.2</w:t>
      </w:r>
      <w:r>
        <w:t xml:space="preserve"> </w:t>
      </w:r>
      <w:r>
        <w:t xml:space="preserve">—</w:t>
      </w:r>
      <w:r>
        <w:t xml:space="preserve"> </w:t>
      </w:r>
      <w:r>
        <w:t xml:space="preserve">19</w:t>
      </w:r>
      <w:r>
        <w:t xml:space="preserve"> </w:t>
      </w:r>
      <w:r>
        <w:t xml:space="preserve">septembre</w:t>
      </w:r>
      <w:r>
        <w:t xml:space="preserve"> </w:t>
      </w:r>
      <w:r>
        <w:t xml:space="preserve">2026</w:t>
      </w:r>
      <w:r>
        <w:t xml:space="preserve"> </w:t>
      </w:r>
      <w:r>
        <w:t xml:space="preserve">—</w:t>
      </w:r>
      <w:r>
        <w:t xml:space="preserve"> </w:t>
      </w:r>
      <w:r>
        <w:t xml:space="preserve">version</w:t>
      </w:r>
      <w:r>
        <w:t xml:space="preserve"> </w:t>
      </w:r>
      <w:r>
        <w:t xml:space="preserve">de</w:t>
      </w:r>
      <w:r>
        <w:t xml:space="preserve"> </w:t>
      </w:r>
      <w:r>
        <w:t xml:space="preserve">diffusion</w:t>
      </w:r>
      <w:r>
        <w:t xml:space="preserve"> </w:t>
      </w:r>
      <w:r>
        <w:t xml:space="preserve">à</w:t>
      </w:r>
      <w:r>
        <w:t xml:space="preserve"> </w:t>
      </w:r>
      <w:r>
        <w:t xml:space="preserve">la</w:t>
      </w:r>
      <w:r>
        <w:t xml:space="preserve"> </w:t>
      </w:r>
      <w:r>
        <w:t xml:space="preserve">maîtrise</w:t>
      </w:r>
      <w:r>
        <w:t xml:space="preserve"> </w:t>
      </w:r>
      <w:r>
        <w:t xml:space="preserve">d’œuvre</w:t>
      </w:r>
    </w:p>
    <w:p>
      <w:pPr>
        <w:pStyle w:val="Heading1"/>
      </w:pPr>
      <w:r>
        <w:t xml:space="preserve">Sommaire</w:t>
      </w:r>
    </w:p>
    <w:p>
      <w:pPr>
        <w:spacing w:before="120"/>
        <w:ind w:left="0" w:right="0"/>
        <w:tabs>
          <w:tab w:val="right" w:leader="dot" w:pos="9354"/>
        </w:tabs>
      </w:pPr>
      <w:r>
        <w:rPr>
          <w:b/>
          <w:sz w:val="20"/>
        </w:rPr>
        <w:t xml:space="preserve">Identification du dossier</w:t>
      </w:r>
      <w:r>
        <w:tab/>
      </w:r>
      <w:r>
        <w:rPr>
          <w:b/>
          <w:sz w:val="20"/>
        </w:rPr>
        <w:t>12</w:t>
      </w:r>
    </w:p>
    <w:p>
      <w:pPr>
        <w:spacing w:before="120"/>
        <w:ind w:left="0" w:right="0"/>
        <w:tabs>
          <w:tab w:val="right" w:leader="dot" w:pos="9354"/>
        </w:tabs>
      </w:pPr>
      <w:r>
        <w:rPr>
          <w:b/>
          <w:sz w:val="20"/>
        </w:rPr>
        <w:t xml:space="preserve">Partie 0 — Socle commun</w:t>
      </w:r>
      <w:r>
        <w:tab/>
      </w:r>
      <w:r>
        <w:rPr>
          <w:b/>
          <w:sz w:val="20"/>
        </w:rPr>
        <w:t>15</w:t>
      </w:r>
    </w:p>
    <w:p>
      <w:pPr>
        <w:ind w:left="284" w:right="0"/>
        <w:tabs>
          <w:tab w:val="right" w:leader="dot" w:pos="9354"/>
        </w:tabs>
      </w:pPr>
      <w:r>
        <w:rPr>
          <w:sz w:val="20"/>
        </w:rPr>
        <w:t xml:space="preserve">1. Objet et articulation du dossier</w:t>
      </w:r>
      <w:r>
        <w:tab/>
      </w:r>
      <w:r>
        <w:rPr>
          <w:sz w:val="20"/>
        </w:rPr>
        <w:t>15</w:t>
      </w:r>
    </w:p>
    <w:p>
      <w:pPr>
        <w:ind w:left="284" w:right="0"/>
        <w:tabs>
          <w:tab w:val="right" w:leader="dot" w:pos="9354"/>
        </w:tabs>
      </w:pPr>
      <w:r>
        <w:rPr>
          <w:sz w:val="20"/>
        </w:rPr>
        <w:t xml:space="preserve">2. Périmètre du produit unique</w:t>
      </w:r>
      <w:r>
        <w:tab/>
      </w:r>
      <w:r>
        <w:rPr>
          <w:sz w:val="20"/>
        </w:rPr>
        <w:t>15</w:t>
      </w:r>
    </w:p>
    <w:p>
      <w:pPr>
        <w:ind w:left="284" w:right="0"/>
        <w:tabs>
          <w:tab w:val="right" w:leader="dot" w:pos="9354"/>
        </w:tabs>
      </w:pPr>
      <w:r>
        <w:rPr>
          <w:sz w:val="20"/>
        </w:rPr>
        <w:t xml:space="preserve">3. Organisation de référence et principe de cascade</w:t>
      </w:r>
      <w:r>
        <w:tab/>
      </w:r>
      <w:r>
        <w:rPr>
          <w:sz w:val="20"/>
        </w:rPr>
        <w:t>16</w:t>
      </w:r>
    </w:p>
    <w:p>
      <w:pPr>
        <w:ind w:left="568" w:right="0"/>
        <w:tabs>
          <w:tab w:val="right" w:leader="dot" w:pos="9354"/>
        </w:tabs>
      </w:pPr>
      <w:r>
        <w:rPr>
          <w:sz w:val="20"/>
        </w:rPr>
        <w:t xml:space="preserve">3.1 Principe de cascade</w:t>
      </w:r>
      <w:r>
        <w:tab/>
      </w:r>
      <w:r>
        <w:rPr>
          <w:sz w:val="20"/>
        </w:rPr>
        <w:t>17</w:t>
      </w:r>
    </w:p>
    <w:p>
      <w:pPr>
        <w:ind w:left="568" w:right="0"/>
        <w:tabs>
          <w:tab w:val="right" w:leader="dot" w:pos="9354"/>
        </w:tabs>
      </w:pPr>
      <w:r>
        <w:rPr>
          <w:sz w:val="20"/>
        </w:rPr>
        <w:t xml:space="preserve">3.2 Exception — besoin d'en connaître</w:t>
      </w:r>
      <w:r>
        <w:tab/>
      </w:r>
      <w:r>
        <w:rPr>
          <w:sz w:val="20"/>
        </w:rPr>
        <w:t>17</w:t>
      </w:r>
    </w:p>
    <w:p>
      <w:pPr>
        <w:ind w:left="568" w:right="0"/>
        <w:tabs>
          <w:tab w:val="right" w:leader="dot" w:pos="9354"/>
        </w:tabs>
      </w:pPr>
      <w:r>
        <w:rPr>
          <w:sz w:val="20"/>
        </w:rPr>
        <w:t xml:space="preserve">3.3 Suppléance et intérim</w:t>
      </w:r>
      <w:r>
        <w:tab/>
      </w:r>
      <w:r>
        <w:rPr>
          <w:sz w:val="20"/>
        </w:rPr>
        <w:t>17</w:t>
      </w:r>
    </w:p>
    <w:p>
      <w:pPr>
        <w:ind w:left="284" w:right="0"/>
        <w:tabs>
          <w:tab w:val="right" w:leader="dot" w:pos="9354"/>
        </w:tabs>
      </w:pPr>
      <w:r>
        <w:rPr>
          <w:sz w:val="20"/>
        </w:rPr>
        <w:t xml:space="preserve">4. Comptes, identité et authentification</w:t>
      </w:r>
      <w:r>
        <w:tab/>
      </w:r>
      <w:r>
        <w:rPr>
          <w:sz w:val="20"/>
        </w:rPr>
        <w:t>17</w:t>
      </w:r>
    </w:p>
    <w:p>
      <w:pPr>
        <w:ind w:left="568" w:right="0"/>
        <w:tabs>
          <w:tab w:val="right" w:leader="dot" w:pos="9354"/>
        </w:tabs>
      </w:pPr>
      <w:r>
        <w:rPr>
          <w:sz w:val="20"/>
        </w:rPr>
        <w:t xml:space="preserve">4.1 Cycle de vie des comptes</w:t>
      </w:r>
      <w:r>
        <w:tab/>
      </w:r>
      <w:r>
        <w:rPr>
          <w:sz w:val="20"/>
        </w:rPr>
        <w:t>18</w:t>
      </w:r>
    </w:p>
    <w:p>
      <w:pPr>
        <w:ind w:left="568" w:right="0"/>
        <w:tabs>
          <w:tab w:val="right" w:leader="dot" w:pos="9354"/>
        </w:tabs>
      </w:pPr>
      <w:r>
        <w:rPr>
          <w:sz w:val="20"/>
        </w:rPr>
        <w:t xml:space="preserve">4.2 Création des comptes internes</w:t>
      </w:r>
      <w:r>
        <w:tab/>
      </w:r>
      <w:r>
        <w:rPr>
          <w:sz w:val="20"/>
        </w:rPr>
        <w:t>18</w:t>
      </w:r>
    </w:p>
    <w:p>
      <w:pPr>
        <w:ind w:left="568" w:right="0"/>
        <w:tabs>
          <w:tab w:val="right" w:leader="dot" w:pos="9354"/>
        </w:tabs>
      </w:pPr>
      <w:r>
        <w:rPr>
          <w:sz w:val="20"/>
        </w:rPr>
        <w:t xml:space="preserve">4.3 Comptes externes</w:t>
      </w:r>
      <w:r>
        <w:tab/>
      </w:r>
      <w:r>
        <w:rPr>
          <w:sz w:val="20"/>
        </w:rPr>
        <w:t>18</w:t>
      </w:r>
    </w:p>
    <w:p>
      <w:pPr>
        <w:ind w:left="568" w:right="0"/>
        <w:tabs>
          <w:tab w:val="right" w:leader="dot" w:pos="9354"/>
        </w:tabs>
      </w:pPr>
      <w:r>
        <w:rPr>
          <w:sz w:val="20"/>
        </w:rPr>
        <w:t xml:space="preserve">4.4 Authentification</w:t>
      </w:r>
      <w:r>
        <w:tab/>
      </w:r>
      <w:r>
        <w:rPr>
          <w:sz w:val="20"/>
        </w:rPr>
        <w:t>18</w:t>
      </w:r>
    </w:p>
    <w:p>
      <w:pPr>
        <w:ind w:left="284" w:right="0"/>
        <w:tabs>
          <w:tab w:val="right" w:leader="dot" w:pos="9354"/>
        </w:tabs>
      </w:pPr>
      <w:r>
        <w:rPr>
          <w:sz w:val="20"/>
        </w:rPr>
        <w:t xml:space="preserve">5. Modèle d'habilitation à deux axes</w:t>
      </w:r>
      <w:r>
        <w:tab/>
      </w:r>
      <w:r>
        <w:rPr>
          <w:sz w:val="20"/>
        </w:rPr>
        <w:t>19</w:t>
      </w:r>
    </w:p>
    <w:p>
      <w:pPr>
        <w:ind w:left="568" w:right="0"/>
        <w:tabs>
          <w:tab w:val="right" w:leader="dot" w:pos="9354"/>
        </w:tabs>
      </w:pPr>
      <w:r>
        <w:rPr>
          <w:sz w:val="20"/>
        </w:rPr>
        <w:t xml:space="preserve">5.1 Périmètres</w:t>
      </w:r>
      <w:r>
        <w:tab/>
      </w:r>
      <w:r>
        <w:rPr>
          <w:sz w:val="20"/>
        </w:rPr>
        <w:t>19</w:t>
      </w:r>
    </w:p>
    <w:p>
      <w:pPr>
        <w:ind w:left="568" w:right="0"/>
        <w:tabs>
          <w:tab w:val="right" w:leader="dot" w:pos="9354"/>
        </w:tabs>
      </w:pPr>
      <w:r>
        <w:rPr>
          <w:sz w:val="20"/>
        </w:rPr>
        <w:t xml:space="preserve">5.2 Rôles fonctionnels</w:t>
      </w:r>
      <w:r>
        <w:tab/>
      </w:r>
      <w:r>
        <w:rPr>
          <w:sz w:val="20"/>
        </w:rPr>
        <w:t>20</w:t>
      </w:r>
    </w:p>
    <w:p>
      <w:pPr>
        <w:ind w:left="568" w:right="0"/>
        <w:tabs>
          <w:tab w:val="right" w:leader="dot" w:pos="9354"/>
        </w:tabs>
      </w:pPr>
      <w:r>
        <w:rPr>
          <w:sz w:val="20"/>
        </w:rPr>
        <w:t xml:space="preserve">5.3 Règles de composition</w:t>
      </w:r>
      <w:r>
        <w:tab/>
      </w:r>
      <w:r>
        <w:rPr>
          <w:sz w:val="20"/>
        </w:rPr>
        <w:t>20</w:t>
      </w:r>
    </w:p>
    <w:p>
      <w:pPr>
        <w:ind w:left="568" w:right="0"/>
        <w:tabs>
          <w:tab w:val="right" w:leader="dot" w:pos="9354"/>
        </w:tabs>
      </w:pPr>
      <w:r>
        <w:rPr>
          <w:sz w:val="20"/>
        </w:rPr>
        <w:t xml:space="preserve">5.4 Cumul des rôles : cas d'usage</w:t>
      </w:r>
      <w:r>
        <w:tab/>
      </w:r>
      <w:r>
        <w:rPr>
          <w:sz w:val="20"/>
        </w:rPr>
        <w:t>21</w:t>
      </w:r>
    </w:p>
    <w:p>
      <w:pPr>
        <w:ind w:left="568" w:right="0"/>
        <w:tabs>
          <w:tab w:val="right" w:leader="dot" w:pos="9354"/>
        </w:tabs>
      </w:pPr>
      <w:r>
        <w:rPr>
          <w:sz w:val="20"/>
        </w:rPr>
        <w:t xml:space="preserve">5.5 Ordre d'évaluation d'un accès</w:t>
      </w:r>
      <w:r>
        <w:tab/>
      </w:r>
      <w:r>
        <w:rPr>
          <w:sz w:val="20"/>
        </w:rPr>
        <w:t>22</w:t>
      </w:r>
    </w:p>
    <w:p>
      <w:pPr>
        <w:ind w:left="284" w:right="0"/>
        <w:tabs>
          <w:tab w:val="right" w:leader="dot" w:pos="9354"/>
        </w:tabs>
      </w:pPr>
      <w:r>
        <w:rPr>
          <w:sz w:val="20"/>
        </w:rPr>
        <w:t xml:space="preserve">6. Modèle de données consolidé</w:t>
      </w:r>
      <w:r>
        <w:tab/>
      </w:r>
      <w:r>
        <w:rPr>
          <w:sz w:val="20"/>
        </w:rPr>
        <w:t>22</w:t>
      </w:r>
    </w:p>
    <w:p>
      <w:pPr>
        <w:ind w:left="568" w:right="0"/>
        <w:tabs>
          <w:tab w:val="right" w:leader="dot" w:pos="9354"/>
        </w:tabs>
      </w:pPr>
      <w:r>
        <w:rPr>
          <w:sz w:val="20"/>
        </w:rPr>
        <w:t xml:space="preserve">6.1 Objets du socle</w:t>
      </w:r>
      <w:r>
        <w:tab/>
      </w:r>
      <w:r>
        <w:rPr>
          <w:sz w:val="20"/>
        </w:rPr>
        <w:t>22</w:t>
      </w:r>
    </w:p>
    <w:p>
      <w:pPr>
        <w:ind w:left="568" w:right="0"/>
        <w:tabs>
          <w:tab w:val="right" w:leader="dot" w:pos="9354"/>
        </w:tabs>
      </w:pPr>
      <w:r>
        <w:rPr>
          <w:sz w:val="20"/>
        </w:rPr>
        <w:t xml:space="preserve">6.2 Recouvrements tranchés</w:t>
      </w:r>
      <w:r>
        <w:tab/>
      </w:r>
      <w:r>
        <w:rPr>
          <w:sz w:val="20"/>
        </w:rPr>
        <w:t>23</w:t>
      </w:r>
    </w:p>
    <w:p>
      <w:pPr>
        <w:ind w:left="568" w:right="0"/>
        <w:tabs>
          <w:tab w:val="right" w:leader="dot" w:pos="9354"/>
        </w:tabs>
      </w:pPr>
      <w:r>
        <w:rPr>
          <w:sz w:val="20"/>
        </w:rPr>
        <w:t xml:space="preserve">6.3 Objets de domaine</w:t>
      </w:r>
      <w:r>
        <w:tab/>
      </w:r>
      <w:r>
        <w:rPr>
          <w:sz w:val="20"/>
        </w:rPr>
        <w:t>23</w:t>
      </w:r>
    </w:p>
    <w:p>
      <w:pPr>
        <w:ind w:left="568" w:right="0"/>
        <w:tabs>
          <w:tab w:val="right" w:leader="dot" w:pos="9354"/>
        </w:tabs>
      </w:pPr>
      <w:r>
        <w:rPr>
          <w:sz w:val="20"/>
        </w:rPr>
        <w:t xml:space="preserve">6.4 Contraintes d'intégrité communes</w:t>
      </w:r>
      <w:r>
        <w:tab/>
      </w:r>
      <w:r>
        <w:rPr>
          <w:sz w:val="20"/>
        </w:rPr>
        <w:t>24</w:t>
      </w:r>
    </w:p>
    <w:p>
      <w:pPr>
        <w:ind w:left="284" w:right="0"/>
        <w:tabs>
          <w:tab w:val="right" w:leader="dot" w:pos="9354"/>
        </w:tabs>
      </w:pPr>
      <w:r>
        <w:rPr>
          <w:sz w:val="20"/>
        </w:rPr>
        <w:t xml:space="preserve">7. États, statuts et sortie d'un objet</w:t>
      </w:r>
      <w:r>
        <w:tab/>
      </w:r>
      <w:r>
        <w:rPr>
          <w:sz w:val="20"/>
        </w:rPr>
        <w:t>24</w:t>
      </w:r>
    </w:p>
    <w:p>
      <w:pPr>
        <w:ind w:left="568" w:right="0"/>
        <w:tabs>
          <w:tab w:val="right" w:leader="dot" w:pos="9354"/>
        </w:tabs>
      </w:pPr>
      <w:r>
        <w:rPr>
          <w:sz w:val="20"/>
        </w:rPr>
        <w:t xml:space="preserve">7.1 Statut de diffusion, commun aux deux domaines</w:t>
      </w:r>
      <w:r>
        <w:tab/>
      </w:r>
      <w:r>
        <w:rPr>
          <w:sz w:val="20"/>
        </w:rPr>
        <w:t>24</w:t>
      </w:r>
    </w:p>
    <w:p>
      <w:pPr>
        <w:ind w:left="568" w:right="0"/>
        <w:tabs>
          <w:tab w:val="right" w:leader="dot" w:pos="9354"/>
        </w:tabs>
      </w:pPr>
      <w:r>
        <w:rPr>
          <w:sz w:val="20"/>
        </w:rPr>
        <w:t xml:space="preserve">7.2 Règles de propagation</w:t>
      </w:r>
      <w:r>
        <w:tab/>
      </w:r>
      <w:r>
        <w:rPr>
          <w:sz w:val="20"/>
        </w:rPr>
        <w:t>25</w:t>
      </w:r>
    </w:p>
    <w:p>
      <w:pPr>
        <w:ind w:left="568" w:right="0"/>
        <w:tabs>
          <w:tab w:val="right" w:leader="dot" w:pos="9354"/>
        </w:tabs>
      </w:pPr>
      <w:r>
        <w:rPr>
          <w:sz w:val="20"/>
        </w:rPr>
        <w:t xml:space="preserve">7.3 Visa et numérotation</w:t>
      </w:r>
      <w:r>
        <w:tab/>
      </w:r>
      <w:r>
        <w:rPr>
          <w:sz w:val="20"/>
        </w:rPr>
        <w:t>25</w:t>
      </w:r>
    </w:p>
    <w:p>
      <w:pPr>
        <w:ind w:left="568" w:right="0"/>
        <w:tabs>
          <w:tab w:val="right" w:leader="dot" w:pos="9354"/>
        </w:tabs>
      </w:pPr>
      <w:r>
        <w:rPr>
          <w:sz w:val="20"/>
        </w:rPr>
        <w:t xml:space="preserve">7.4 Gabarits</w:t>
      </w:r>
      <w:r>
        <w:tab/>
      </w:r>
      <w:r>
        <w:rPr>
          <w:sz w:val="20"/>
        </w:rPr>
        <w:t>26</w:t>
      </w:r>
    </w:p>
    <w:p>
      <w:pPr>
        <w:ind w:left="284" w:right="0"/>
        <w:tabs>
          <w:tab w:val="right" w:leader="dot" w:pos="9354"/>
        </w:tabs>
      </w:pPr>
      <w:r>
        <w:rPr>
          <w:sz w:val="20"/>
        </w:rPr>
        <w:t xml:space="preserve">8. GED unique</w:t>
      </w:r>
      <w:r>
        <w:tab/>
      </w:r>
      <w:r>
        <w:rPr>
          <w:sz w:val="20"/>
        </w:rPr>
        <w:t>26</w:t>
      </w:r>
    </w:p>
    <w:p>
      <w:pPr>
        <w:ind w:left="284" w:right="0"/>
        <w:tabs>
          <w:tab w:val="right" w:leader="dot" w:pos="9354"/>
        </w:tabs>
      </w:pPr>
      <w:r>
        <w:rPr>
          <w:sz w:val="20"/>
        </w:rPr>
        <w:t xml:space="preserve">9. Notifications</w:t>
      </w:r>
      <w:r>
        <w:tab/>
      </w:r>
      <w:r>
        <w:rPr>
          <w:sz w:val="20"/>
        </w:rPr>
        <w:t>26</w:t>
      </w:r>
    </w:p>
    <w:p>
      <w:pPr>
        <w:ind w:left="284" w:right="0"/>
        <w:tabs>
          <w:tab w:val="right" w:leader="dot" w:pos="9354"/>
        </w:tabs>
      </w:pPr>
      <w:r>
        <w:rPr>
          <w:sz w:val="20"/>
        </w:rPr>
        <w:t xml:space="preserve">10. Exigences non fonctionnelles transverses</w:t>
      </w:r>
      <w:r>
        <w:tab/>
      </w:r>
      <w:r>
        <w:rPr>
          <w:sz w:val="20"/>
        </w:rPr>
        <w:t>27</w:t>
      </w:r>
    </w:p>
    <w:p>
      <w:pPr>
        <w:ind w:left="568" w:right="0"/>
        <w:tabs>
          <w:tab w:val="right" w:leader="dot" w:pos="9354"/>
        </w:tabs>
      </w:pPr>
      <w:r>
        <w:rPr>
          <w:sz w:val="20"/>
        </w:rPr>
        <w:t xml:space="preserve">10.1 Classification des données</w:t>
      </w:r>
      <w:r>
        <w:tab/>
      </w:r>
      <w:r>
        <w:rPr>
          <w:sz w:val="20"/>
        </w:rPr>
        <w:t>28</w:t>
      </w:r>
    </w:p>
    <w:p>
      <w:pPr>
        <w:ind w:left="568" w:right="0"/>
        <w:tabs>
          <w:tab w:val="right" w:leader="dot" w:pos="9354"/>
        </w:tabs>
      </w:pPr>
      <w:r>
        <w:rPr>
          <w:sz w:val="20"/>
        </w:rPr>
        <w:t xml:space="preserve">10.2 Sécurité</w:t>
      </w:r>
      <w:r>
        <w:tab/>
      </w:r>
      <w:r>
        <w:rPr>
          <w:sz w:val="20"/>
        </w:rPr>
        <w:t>28</w:t>
      </w:r>
    </w:p>
    <w:p>
      <w:pPr>
        <w:ind w:left="568" w:right="0"/>
        <w:tabs>
          <w:tab w:val="right" w:leader="dot" w:pos="9354"/>
        </w:tabs>
      </w:pPr>
      <w:r>
        <w:rPr>
          <w:sz w:val="20"/>
        </w:rPr>
        <w:t xml:space="preserve">10.3 Protection des données personnelles</w:t>
      </w:r>
      <w:r>
        <w:tab/>
      </w:r>
      <w:r>
        <w:rPr>
          <w:sz w:val="20"/>
        </w:rPr>
        <w:t>29</w:t>
      </w:r>
    </w:p>
    <w:p>
      <w:pPr>
        <w:ind w:left="568" w:right="0"/>
        <w:tabs>
          <w:tab w:val="right" w:leader="dot" w:pos="9354"/>
        </w:tabs>
      </w:pPr>
      <w:r>
        <w:rPr>
          <w:sz w:val="20"/>
        </w:rPr>
        <w:t xml:space="preserve">10.4 Recours à l'intelligence artificielle</w:t>
      </w:r>
      <w:r>
        <w:tab/>
      </w:r>
      <w:r>
        <w:rPr>
          <w:sz w:val="20"/>
        </w:rPr>
        <w:t>30</w:t>
      </w:r>
    </w:p>
    <w:p>
      <w:pPr>
        <w:ind w:left="568" w:right="0"/>
        <w:tabs>
          <w:tab w:val="right" w:leader="dot" w:pos="9354"/>
        </w:tabs>
      </w:pPr>
      <w:r>
        <w:rPr>
          <w:sz w:val="20"/>
        </w:rPr>
        <w:t xml:space="preserve">10.5 Dimensionnement, performance et capacité</w:t>
      </w:r>
      <w:r>
        <w:tab/>
      </w:r>
      <w:r>
        <w:rPr>
          <w:sz w:val="20"/>
        </w:rPr>
        <w:t>30</w:t>
      </w:r>
    </w:p>
    <w:p>
      <w:pPr>
        <w:ind w:left="568" w:right="0"/>
        <w:tabs>
          <w:tab w:val="right" w:leader="dot" w:pos="9354"/>
        </w:tabs>
      </w:pPr>
      <w:r>
        <w:rPr>
          <w:sz w:val="20"/>
        </w:rPr>
        <w:t xml:space="preserve">10.6 Disponibilité, sauvegarde et continuité</w:t>
      </w:r>
      <w:r>
        <w:tab/>
      </w:r>
      <w:r>
        <w:rPr>
          <w:sz w:val="20"/>
        </w:rPr>
        <w:t>32</w:t>
      </w:r>
    </w:p>
    <w:p>
      <w:pPr>
        <w:ind w:left="568" w:right="0"/>
        <w:tabs>
          <w:tab w:val="right" w:leader="dot" w:pos="9354"/>
        </w:tabs>
      </w:pPr>
      <w:r>
        <w:rPr>
          <w:sz w:val="20"/>
        </w:rPr>
        <w:t xml:space="preserve">10.7 Hébergement</w:t>
      </w:r>
      <w:r>
        <w:tab/>
      </w:r>
      <w:r>
        <w:rPr>
          <w:sz w:val="20"/>
        </w:rPr>
        <w:t>33</w:t>
      </w:r>
    </w:p>
    <w:p>
      <w:pPr>
        <w:ind w:left="568" w:right="0"/>
        <w:tabs>
          <w:tab w:val="right" w:leader="dot" w:pos="9354"/>
        </w:tabs>
      </w:pPr>
      <w:r>
        <w:rPr>
          <w:sz w:val="20"/>
        </w:rPr>
        <w:t xml:space="preserve">10.8 Plateformes et accessibilité</w:t>
      </w:r>
      <w:r>
        <w:tab/>
      </w:r>
      <w:r>
        <w:rPr>
          <w:sz w:val="20"/>
        </w:rPr>
        <w:t>33</w:t>
      </w:r>
    </w:p>
    <w:p>
      <w:pPr>
        <w:ind w:left="568" w:right="0"/>
        <w:tabs>
          <w:tab w:val="right" w:leader="dot" w:pos="9354"/>
        </w:tabs>
      </w:pPr>
      <w:r>
        <w:rPr>
          <w:sz w:val="20"/>
        </w:rPr>
        <w:t xml:space="preserve">10.9 Mode hors-ligne</w:t>
      </w:r>
      <w:r>
        <w:tab/>
      </w:r>
      <w:r>
        <w:rPr>
          <w:sz w:val="20"/>
        </w:rPr>
        <w:t>34</w:t>
      </w:r>
    </w:p>
    <w:p>
      <w:pPr>
        <w:ind w:left="568" w:right="0"/>
        <w:tabs>
          <w:tab w:val="right" w:leader="dot" w:pos="9354"/>
        </w:tabs>
      </w:pPr>
      <w:r>
        <w:rPr>
          <w:sz w:val="20"/>
        </w:rPr>
        <w:t xml:space="preserve">10.10 Interopérabilité et réversibilité</w:t>
      </w:r>
      <w:r>
        <w:tab/>
      </w:r>
      <w:r>
        <w:rPr>
          <w:sz w:val="20"/>
        </w:rPr>
        <w:t>35</w:t>
      </w:r>
    </w:p>
    <w:p>
      <w:pPr>
        <w:ind w:left="568" w:right="0"/>
        <w:tabs>
          <w:tab w:val="right" w:leader="dot" w:pos="9354"/>
        </w:tabs>
      </w:pPr>
      <w:r>
        <w:rPr>
          <w:sz w:val="20"/>
        </w:rPr>
        <w:t xml:space="preserve">10.11 Environnements</w:t>
      </w:r>
      <w:r>
        <w:tab/>
      </w:r>
      <w:r>
        <w:rPr>
          <w:sz w:val="20"/>
        </w:rPr>
        <w:t>35</w:t>
      </w:r>
    </w:p>
    <w:p>
      <w:pPr>
        <w:ind w:left="568" w:right="0"/>
        <w:tabs>
          <w:tab w:val="right" w:leader="dot" w:pos="9354"/>
        </w:tabs>
      </w:pPr>
      <w:r>
        <w:rPr>
          <w:sz w:val="20"/>
        </w:rPr>
        <w:t xml:space="preserve">10.12 Maintenabilité</w:t>
      </w:r>
      <w:r>
        <w:tab/>
      </w:r>
      <w:r>
        <w:rPr>
          <w:sz w:val="20"/>
        </w:rPr>
        <w:t>36</w:t>
      </w:r>
    </w:p>
    <w:p>
      <w:pPr>
        <w:ind w:left="284" w:right="0"/>
        <w:tabs>
          <w:tab w:val="right" w:leader="dot" w:pos="9354"/>
        </w:tabs>
      </w:pPr>
      <w:r>
        <w:rPr>
          <w:sz w:val="20"/>
        </w:rPr>
        <w:t xml:space="preserve">11. Architecture du socle</w:t>
      </w:r>
      <w:r>
        <w:tab/>
      </w:r>
      <w:r>
        <w:rPr>
          <w:sz w:val="20"/>
        </w:rPr>
        <w:t>36</w:t>
      </w:r>
    </w:p>
    <w:p>
      <w:pPr>
        <w:ind w:left="568" w:right="0"/>
        <w:tabs>
          <w:tab w:val="right" w:leader="dot" w:pos="9354"/>
        </w:tabs>
      </w:pPr>
      <w:r>
        <w:rPr>
          <w:sz w:val="20"/>
        </w:rPr>
        <w:t xml:space="preserve">11.1 Règle de langage</w:t>
      </w:r>
      <w:r>
        <w:tab/>
      </w:r>
      <w:r>
        <w:rPr>
          <w:sz w:val="20"/>
        </w:rPr>
        <w:t>36</w:t>
      </w:r>
    </w:p>
    <w:p>
      <w:pPr>
        <w:ind w:left="568" w:right="0"/>
        <w:tabs>
          <w:tab w:val="right" w:leader="dot" w:pos="9354"/>
        </w:tabs>
      </w:pPr>
      <w:r>
        <w:rPr>
          <w:sz w:val="20"/>
        </w:rPr>
        <w:t xml:space="preserve">11.2 Briques</w:t>
      </w:r>
      <w:r>
        <w:tab/>
      </w:r>
      <w:r>
        <w:rPr>
          <w:sz w:val="20"/>
        </w:rPr>
        <w:t>37</w:t>
      </w:r>
    </w:p>
    <w:p>
      <w:pPr>
        <w:ind w:left="568" w:right="0"/>
        <w:tabs>
          <w:tab w:val="right" w:leader="dot" w:pos="9354"/>
        </w:tabs>
      </w:pPr>
      <w:r>
        <w:rPr>
          <w:sz w:val="20"/>
        </w:rPr>
        <w:t xml:space="preserve">11.3 Contrat d'exécution et frontière applicative</w:t>
      </w:r>
      <w:r>
        <w:tab/>
      </w:r>
      <w:r>
        <w:rPr>
          <w:sz w:val="20"/>
        </w:rPr>
        <w:t>38</w:t>
      </w:r>
    </w:p>
    <w:p>
      <w:pPr>
        <w:ind w:left="568" w:right="0"/>
        <w:tabs>
          <w:tab w:val="right" w:leader="dot" w:pos="9354"/>
        </w:tabs>
      </w:pPr>
      <w:r>
        <w:rPr>
          <w:sz w:val="20"/>
        </w:rPr>
        <w:t xml:space="preserve">11.4 Conventions d'API</w:t>
      </w:r>
      <w:r>
        <w:tab/>
      </w:r>
      <w:r>
        <w:rPr>
          <w:sz w:val="20"/>
        </w:rPr>
        <w:t>39</w:t>
      </w:r>
    </w:p>
    <w:p>
      <w:pPr>
        <w:ind w:left="568" w:right="0"/>
        <w:tabs>
          <w:tab w:val="right" w:leader="dot" w:pos="9354"/>
        </w:tabs>
      </w:pPr>
      <w:r>
        <w:rPr>
          <w:sz w:val="20"/>
        </w:rPr>
        <w:t xml:space="preserve">11.5 Interfaces applicatives de référence</w:t>
      </w:r>
      <w:r>
        <w:tab/>
      </w:r>
      <w:r>
        <w:rPr>
          <w:sz w:val="20"/>
        </w:rPr>
        <w:t>39</w:t>
      </w:r>
    </w:p>
    <w:p>
      <w:pPr>
        <w:ind w:left="284" w:right="0"/>
        <w:tabs>
          <w:tab w:val="right" w:leader="dot" w:pos="9354"/>
        </w:tabs>
      </w:pPr>
      <w:r>
        <w:rPr>
          <w:sz w:val="20"/>
        </w:rPr>
        <w:t xml:space="preserve">12. Lotissement</w:t>
      </w:r>
      <w:r>
        <w:tab/>
      </w:r>
      <w:r>
        <w:rPr>
          <w:sz w:val="20"/>
        </w:rPr>
        <w:t>41</w:t>
      </w:r>
    </w:p>
    <w:p>
      <w:pPr>
        <w:ind w:left="568" w:right="0"/>
        <w:tabs>
          <w:tab w:val="right" w:leader="dot" w:pos="9354"/>
        </w:tabs>
      </w:pPr>
      <w:r>
        <w:rPr>
          <w:sz w:val="20"/>
        </w:rPr>
        <w:t xml:space="preserve">12.1 Travaux à lancer sans attendre</w:t>
      </w:r>
      <w:r>
        <w:tab/>
      </w:r>
      <w:r>
        <w:rPr>
          <w:sz w:val="20"/>
        </w:rPr>
        <w:t>42</w:t>
      </w:r>
    </w:p>
    <w:p>
      <w:pPr>
        <w:ind w:left="568" w:right="0"/>
        <w:tabs>
          <w:tab w:val="right" w:leader="dot" w:pos="9354"/>
        </w:tabs>
      </w:pPr>
      <w:r>
        <w:rPr>
          <w:sz w:val="20"/>
        </w:rPr>
        <w:t xml:space="preserve">12.2 Reprise de l'existant</w:t>
      </w:r>
      <w:r>
        <w:tab/>
      </w:r>
      <w:r>
        <w:rPr>
          <w:sz w:val="20"/>
        </w:rPr>
        <w:t>43</w:t>
      </w:r>
    </w:p>
    <w:p>
      <w:pPr>
        <w:ind w:left="284" w:right="0"/>
        <w:tabs>
          <w:tab w:val="right" w:leader="dot" w:pos="9354"/>
        </w:tabs>
      </w:pPr>
      <w:r>
        <w:rPr>
          <w:sz w:val="20"/>
        </w:rPr>
        <w:t xml:space="preserve">13. Gouvernance et réception</w:t>
      </w:r>
      <w:r>
        <w:tab/>
      </w:r>
      <w:r>
        <w:rPr>
          <w:sz w:val="20"/>
        </w:rPr>
        <w:t>43</w:t>
      </w:r>
    </w:p>
    <w:p>
      <w:pPr>
        <w:ind w:left="568" w:right="0"/>
        <w:tabs>
          <w:tab w:val="right" w:leader="dot" w:pos="9354"/>
        </w:tabs>
      </w:pPr>
      <w:r>
        <w:rPr>
          <w:sz w:val="20"/>
        </w:rPr>
        <w:t xml:space="preserve">13.1 Acteurs</w:t>
      </w:r>
      <w:r>
        <w:tab/>
      </w:r>
      <w:r>
        <w:rPr>
          <w:sz w:val="20"/>
        </w:rPr>
        <w:t>43</w:t>
      </w:r>
    </w:p>
    <w:p>
      <w:pPr>
        <w:ind w:left="568" w:right="0"/>
        <w:tabs>
          <w:tab w:val="right" w:leader="dot" w:pos="9354"/>
        </w:tabs>
      </w:pPr>
      <w:r>
        <w:rPr>
          <w:sz w:val="20"/>
        </w:rPr>
        <w:t xml:space="preserve">13.2 Instances</w:t>
      </w:r>
      <w:r>
        <w:tab/>
      </w:r>
      <w:r>
        <w:rPr>
          <w:sz w:val="20"/>
        </w:rPr>
        <w:t>43</w:t>
      </w:r>
    </w:p>
    <w:p>
      <w:pPr>
        <w:ind w:left="568" w:right="0"/>
        <w:tabs>
          <w:tab w:val="right" w:leader="dot" w:pos="9354"/>
        </w:tabs>
      </w:pPr>
      <w:r>
        <w:rPr>
          <w:sz w:val="20"/>
        </w:rPr>
        <w:t xml:space="preserve">13.3 Réception</w:t>
      </w:r>
      <w:r>
        <w:tab/>
      </w:r>
      <w:r>
        <w:rPr>
          <w:sz w:val="20"/>
        </w:rPr>
        <w:t>43</w:t>
      </w:r>
    </w:p>
    <w:p>
      <w:pPr>
        <w:ind w:left="568" w:right="0"/>
        <w:tabs>
          <w:tab w:val="right" w:leader="dot" w:pos="9354"/>
        </w:tabs>
      </w:pPr>
      <w:r>
        <w:rPr>
          <w:sz w:val="20"/>
        </w:rPr>
        <w:t xml:space="preserve">13.4 Marché et titulaire</w:t>
      </w:r>
      <w:r>
        <w:tab/>
      </w:r>
      <w:r>
        <w:rPr>
          <w:sz w:val="20"/>
        </w:rPr>
        <w:t>44</w:t>
      </w:r>
    </w:p>
    <w:p>
      <w:pPr>
        <w:ind w:left="568" w:right="0"/>
        <w:tabs>
          <w:tab w:val="right" w:leader="dot" w:pos="9354"/>
        </w:tabs>
      </w:pPr>
      <w:r>
        <w:rPr>
          <w:sz w:val="20"/>
        </w:rPr>
        <w:t xml:space="preserve">13.5 Mission de l'administrateur</w:t>
      </w:r>
      <w:r>
        <w:tab/>
      </w:r>
      <w:r>
        <w:rPr>
          <w:sz w:val="20"/>
        </w:rPr>
        <w:t>44</w:t>
      </w:r>
    </w:p>
    <w:p>
      <w:pPr>
        <w:ind w:left="568" w:right="0"/>
        <w:tabs>
          <w:tab w:val="right" w:leader="dot" w:pos="9354"/>
        </w:tabs>
      </w:pPr>
      <w:r>
        <w:rPr>
          <w:sz w:val="20"/>
        </w:rPr>
        <w:t xml:space="preserve">13.6 Paramétrage</w:t>
      </w:r>
      <w:r>
        <w:tab/>
      </w:r>
      <w:r>
        <w:rPr>
          <w:sz w:val="20"/>
        </w:rPr>
        <w:t>46</w:t>
      </w:r>
    </w:p>
    <w:p>
      <w:pPr>
        <w:ind w:left="568" w:right="0"/>
        <w:tabs>
          <w:tab w:val="right" w:leader="dot" w:pos="9354"/>
        </w:tabs>
      </w:pPr>
      <w:r>
        <w:rPr>
          <w:sz w:val="20"/>
        </w:rPr>
        <w:t xml:space="preserve">13.7 Consultation et jugement des offres</w:t>
      </w:r>
      <w:r>
        <w:tab/>
      </w:r>
      <w:r>
        <w:rPr>
          <w:sz w:val="20"/>
        </w:rPr>
        <w:t>47</w:t>
      </w:r>
    </w:p>
    <w:p>
      <w:pPr>
        <w:ind w:left="568" w:right="0"/>
        <w:tabs>
          <w:tab w:val="right" w:leader="dot" w:pos="9354"/>
        </w:tabs>
      </w:pPr>
      <w:r>
        <w:rPr>
          <w:sz w:val="20"/>
        </w:rPr>
        <w:t xml:space="preserve">13.8 Évolutions d'exigences</w:t>
      </w:r>
      <w:r>
        <w:tab/>
      </w:r>
      <w:r>
        <w:rPr>
          <w:sz w:val="20"/>
        </w:rPr>
        <w:t>48</w:t>
      </w:r>
    </w:p>
    <w:p>
      <w:pPr>
        <w:ind w:left="284" w:right="0"/>
        <w:tabs>
          <w:tab w:val="right" w:leader="dot" w:pos="9354"/>
        </w:tabs>
      </w:pPr>
      <w:r>
        <w:rPr>
          <w:sz w:val="20"/>
        </w:rPr>
        <w:t xml:space="preserve">14. Registre des décisions</w:t>
      </w:r>
      <w:r>
        <w:tab/>
      </w:r>
      <w:r>
        <w:rPr>
          <w:sz w:val="20"/>
        </w:rPr>
        <w:t>48</w:t>
      </w:r>
    </w:p>
    <w:p>
      <w:pPr>
        <w:ind w:left="568" w:right="0"/>
        <w:tabs>
          <w:tab w:val="right" w:leader="dot" w:pos="9354"/>
        </w:tabs>
      </w:pPr>
      <w:r>
        <w:rPr>
          <w:sz w:val="20"/>
        </w:rPr>
        <w:t xml:space="preserve">14.1 Décisions bloquantes</w:t>
      </w:r>
      <w:r>
        <w:tab/>
      </w:r>
      <w:r>
        <w:rPr>
          <w:sz w:val="20"/>
        </w:rPr>
        <w:t>48</w:t>
      </w:r>
    </w:p>
    <w:p>
      <w:pPr>
        <w:ind w:left="568" w:right="0"/>
        <w:tabs>
          <w:tab w:val="right" w:leader="dot" w:pos="9354"/>
        </w:tabs>
      </w:pPr>
      <w:r>
        <w:rPr>
          <w:sz w:val="20"/>
        </w:rPr>
        <w:t xml:space="preserve">14.2 Décisions à rendre avant un lot donné</w:t>
      </w:r>
      <w:r>
        <w:tab/>
      </w:r>
      <w:r>
        <w:rPr>
          <w:sz w:val="20"/>
        </w:rPr>
        <w:t>49</w:t>
      </w:r>
    </w:p>
    <w:p>
      <w:pPr>
        <w:ind w:left="568" w:right="0"/>
        <w:tabs>
          <w:tab w:val="right" w:leader="dot" w:pos="9354"/>
        </w:tabs>
      </w:pPr>
      <w:r>
        <w:rPr>
          <w:sz w:val="20"/>
        </w:rPr>
        <w:t xml:space="preserve">14.3 Informations à fournir</w:t>
      </w:r>
      <w:r>
        <w:tab/>
      </w:r>
      <w:r>
        <w:rPr>
          <w:sz w:val="20"/>
        </w:rPr>
        <w:t>51</w:t>
      </w:r>
    </w:p>
    <w:p>
      <w:pPr>
        <w:ind w:left="284" w:right="0"/>
        <w:tabs>
          <w:tab w:val="right" w:leader="dot" w:pos="9354"/>
        </w:tabs>
      </w:pPr>
      <w:r>
        <w:rPr>
          <w:sz w:val="20"/>
        </w:rPr>
        <w:t xml:space="preserve">15. Traçabilité et correspondance avec les cahiers sources</w:t>
      </w:r>
      <w:r>
        <w:tab/>
      </w:r>
      <w:r>
        <w:rPr>
          <w:sz w:val="20"/>
        </w:rPr>
        <w:t>51</w:t>
      </w:r>
    </w:p>
    <w:p>
      <w:pPr>
        <w:ind w:left="568" w:right="0"/>
        <w:tabs>
          <w:tab w:val="right" w:leader="dot" w:pos="9354"/>
        </w:tabs>
      </w:pPr>
      <w:r>
        <w:rPr>
          <w:sz w:val="20"/>
        </w:rPr>
        <w:t xml:space="preserve">15.1 Convention d'identifiants</w:t>
      </w:r>
      <w:r>
        <w:tab/>
      </w:r>
      <w:r>
        <w:rPr>
          <w:sz w:val="20"/>
        </w:rPr>
        <w:t>51</w:t>
      </w:r>
    </w:p>
    <w:p>
      <w:pPr>
        <w:ind w:left="568" w:right="0"/>
        <w:tabs>
          <w:tab w:val="right" w:leader="dot" w:pos="9354"/>
        </w:tabs>
      </w:pPr>
      <w:r>
        <w:rPr>
          <w:sz w:val="20"/>
        </w:rPr>
        <w:t xml:space="preserve">15.2 Correspondance des sections</w:t>
      </w:r>
      <w:r>
        <w:tab/>
      </w:r>
      <w:r>
        <w:rPr>
          <w:sz w:val="20"/>
        </w:rPr>
        <w:t>51</w:t>
      </w:r>
    </w:p>
    <w:p>
      <w:pPr>
        <w:ind w:left="568" w:right="0"/>
        <w:tabs>
          <w:tab w:val="right" w:leader="dot" w:pos="9354"/>
        </w:tabs>
      </w:pPr>
      <w:r>
        <w:rPr>
          <w:sz w:val="20"/>
        </w:rPr>
        <w:t xml:space="preserve">15.3 Exigences des cahiers sources supprimées par la fusion</w:t>
      </w:r>
      <w:r>
        <w:tab/>
      </w:r>
      <w:r>
        <w:rPr>
          <w:sz w:val="20"/>
        </w:rPr>
        <w:t>52</w:t>
      </w:r>
    </w:p>
    <w:p>
      <w:pPr>
        <w:ind w:left="568" w:right="0"/>
        <w:tabs>
          <w:tab w:val="right" w:leader="dot" w:pos="9354"/>
        </w:tabs>
      </w:pPr>
      <w:r>
        <w:rPr>
          <w:sz w:val="20"/>
        </w:rPr>
        <w:t xml:space="preserve">15.4 Correspondance des points ouverts</w:t>
      </w:r>
      <w:r>
        <w:tab/>
      </w:r>
      <w:r>
        <w:rPr>
          <w:sz w:val="20"/>
        </w:rPr>
        <w:t>52</w:t>
      </w:r>
    </w:p>
    <w:p>
      <w:pPr>
        <w:ind w:left="568" w:right="0"/>
        <w:tabs>
          <w:tab w:val="right" w:leader="dot" w:pos="9354"/>
        </w:tabs>
      </w:pPr>
      <w:r>
        <w:rPr>
          <w:sz w:val="20"/>
        </w:rPr>
        <w:t xml:space="preserve">15.5 Matrice de traçabilité</w:t>
      </w:r>
      <w:r>
        <w:tab/>
      </w:r>
      <w:r>
        <w:rPr>
          <w:sz w:val="20"/>
        </w:rPr>
        <w:t>53</w:t>
      </w:r>
    </w:p>
    <w:p>
      <w:pPr>
        <w:ind w:left="284" w:right="0"/>
        <w:tabs>
          <w:tab w:val="right" w:leader="dot" w:pos="9354"/>
        </w:tabs>
      </w:pPr>
      <w:r>
        <w:rPr>
          <w:sz w:val="20"/>
        </w:rPr>
        <w:t xml:space="preserve">16. Risques et facteurs de succès</w:t>
      </w:r>
      <w:r>
        <w:tab/>
      </w:r>
      <w:r>
        <w:rPr>
          <w:sz w:val="20"/>
        </w:rPr>
        <w:t>53</w:t>
      </w:r>
    </w:p>
    <w:p>
      <w:pPr>
        <w:ind w:left="568" w:right="0"/>
        <w:tabs>
          <w:tab w:val="right" w:leader="dot" w:pos="9354"/>
        </w:tabs>
      </w:pPr>
      <w:r>
        <w:rPr>
          <w:sz w:val="20"/>
        </w:rPr>
        <w:t xml:space="preserve">16.1 Risques propres à la fusion</w:t>
      </w:r>
      <w:r>
        <w:tab/>
      </w:r>
      <w:r>
        <w:rPr>
          <w:sz w:val="20"/>
        </w:rPr>
        <w:t>53</w:t>
      </w:r>
    </w:p>
    <w:p>
      <w:pPr>
        <w:ind w:left="568" w:right="0"/>
        <w:tabs>
          <w:tab w:val="right" w:leader="dot" w:pos="9354"/>
        </w:tabs>
      </w:pPr>
      <w:r>
        <w:rPr>
          <w:sz w:val="20"/>
        </w:rPr>
        <w:t xml:space="preserve">16.2 Risques du domaine A</w:t>
      </w:r>
      <w:r>
        <w:tab/>
      </w:r>
      <w:r>
        <w:rPr>
          <w:sz w:val="20"/>
        </w:rPr>
        <w:t>54</w:t>
      </w:r>
    </w:p>
    <w:p>
      <w:pPr>
        <w:ind w:left="568" w:right="0"/>
        <w:tabs>
          <w:tab w:val="right" w:leader="dot" w:pos="9354"/>
        </w:tabs>
      </w:pPr>
      <w:r>
        <w:rPr>
          <w:sz w:val="20"/>
        </w:rPr>
        <w:t xml:space="preserve">16.3 Risques du domaine B</w:t>
      </w:r>
      <w:r>
        <w:tab/>
      </w:r>
      <w:r>
        <w:rPr>
          <w:sz w:val="20"/>
        </w:rPr>
        <w:t>54</w:t>
      </w:r>
    </w:p>
    <w:p>
      <w:pPr>
        <w:ind w:left="568" w:right="0"/>
        <w:tabs>
          <w:tab w:val="right" w:leader="dot" w:pos="9354"/>
        </w:tabs>
      </w:pPr>
      <w:r>
        <w:rPr>
          <w:sz w:val="20"/>
        </w:rPr>
        <w:t xml:space="preserve">16.4 Risques communs</w:t>
      </w:r>
      <w:r>
        <w:tab/>
      </w:r>
      <w:r>
        <w:rPr>
          <w:sz w:val="20"/>
        </w:rPr>
        <w:t>55</w:t>
      </w:r>
    </w:p>
    <w:p>
      <w:pPr>
        <w:ind w:left="568" w:right="0"/>
        <w:tabs>
          <w:tab w:val="right" w:leader="dot" w:pos="9354"/>
        </w:tabs>
      </w:pPr>
      <w:r>
        <w:rPr>
          <w:sz w:val="20"/>
        </w:rPr>
        <w:t xml:space="preserve">16.5 Facteurs de succès</w:t>
      </w:r>
      <w:r>
        <w:tab/>
      </w:r>
      <w:r>
        <w:rPr>
          <w:sz w:val="20"/>
        </w:rPr>
        <w:t>55</w:t>
      </w:r>
    </w:p>
    <w:p>
      <w:pPr>
        <w:ind w:left="284" w:right="0"/>
        <w:tabs>
          <w:tab w:val="right" w:leader="dot" w:pos="9354"/>
        </w:tabs>
      </w:pPr>
      <w:r>
        <w:rPr>
          <w:sz w:val="20"/>
        </w:rPr>
        <w:t xml:space="preserve">17. Cadre juridique, licences et coûts</w:t>
      </w:r>
      <w:r>
        <w:tab/>
      </w:r>
      <w:r>
        <w:rPr>
          <w:sz w:val="20"/>
        </w:rPr>
        <w:t>55</w:t>
      </w:r>
    </w:p>
    <w:p>
      <w:pPr>
        <w:ind w:left="568" w:right="0"/>
        <w:tabs>
          <w:tab w:val="right" w:leader="dot" w:pos="9354"/>
        </w:tabs>
      </w:pPr>
      <w:r>
        <w:rPr>
          <w:sz w:val="20"/>
        </w:rPr>
        <w:t xml:space="preserve">17.1 Licences GAMS</w:t>
      </w:r>
      <w:r>
        <w:tab/>
      </w:r>
      <w:r>
        <w:rPr>
          <w:sz w:val="20"/>
        </w:rPr>
        <w:t>55</w:t>
      </w:r>
    </w:p>
    <w:p>
      <w:pPr>
        <w:ind w:left="568" w:right="0"/>
        <w:tabs>
          <w:tab w:val="right" w:leader="dot" w:pos="9354"/>
        </w:tabs>
      </w:pPr>
      <w:r>
        <w:rPr>
          <w:sz w:val="20"/>
        </w:rPr>
        <w:t xml:space="preserve">17.2 Textes applicables</w:t>
      </w:r>
      <w:r>
        <w:tab/>
      </w:r>
      <w:r>
        <w:rPr>
          <w:sz w:val="20"/>
        </w:rPr>
        <w:t>55</w:t>
      </w:r>
    </w:p>
    <w:p>
      <w:pPr>
        <w:ind w:left="568" w:right="0"/>
        <w:tabs>
          <w:tab w:val="right" w:leader="dot" w:pos="9354"/>
        </w:tabs>
      </w:pPr>
      <w:r>
        <w:rPr>
          <w:sz w:val="20"/>
        </w:rPr>
        <w:t xml:space="preserve">17.3 Propriété intellectuelle et réversibilité</w:t>
      </w:r>
      <w:r>
        <w:tab/>
      </w:r>
      <w:r>
        <w:rPr>
          <w:sz w:val="20"/>
        </w:rPr>
        <w:t>56</w:t>
      </w:r>
    </w:p>
    <w:p>
      <w:pPr>
        <w:ind w:left="568" w:right="0"/>
        <w:tabs>
          <w:tab w:val="right" w:leader="dot" w:pos="9354"/>
        </w:tabs>
      </w:pPr>
      <w:r>
        <w:rPr>
          <w:sz w:val="20"/>
        </w:rPr>
        <w:t xml:space="preserve">17.4 Fournisseur d'intelligence artificielle</w:t>
      </w:r>
      <w:r>
        <w:tab/>
      </w:r>
      <w:r>
        <w:rPr>
          <w:sz w:val="20"/>
        </w:rPr>
        <w:t>56</w:t>
      </w:r>
    </w:p>
    <w:p>
      <w:pPr>
        <w:ind w:left="568" w:right="0"/>
        <w:tabs>
          <w:tab w:val="right" w:leader="dot" w:pos="9354"/>
        </w:tabs>
      </w:pPr>
      <w:r>
        <w:rPr>
          <w:sz w:val="20"/>
        </w:rPr>
        <w:t xml:space="preserve">17.5 Investissement — à chiffrer par la maîtrise d'œuvre</w:t>
      </w:r>
      <w:r>
        <w:tab/>
      </w:r>
      <w:r>
        <w:rPr>
          <w:sz w:val="20"/>
        </w:rPr>
        <w:t>56</w:t>
      </w:r>
    </w:p>
    <w:p>
      <w:pPr>
        <w:ind w:left="568" w:right="0"/>
        <w:tabs>
          <w:tab w:val="right" w:leader="dot" w:pos="9354"/>
        </w:tabs>
      </w:pPr>
      <w:r>
        <w:rPr>
          <w:sz w:val="20"/>
        </w:rPr>
        <w:t xml:space="preserve">17.6 Fonctionnement annuel</w:t>
      </w:r>
      <w:r>
        <w:tab/>
      </w:r>
      <w:r>
        <w:rPr>
          <w:sz w:val="20"/>
        </w:rPr>
        <w:t>57</w:t>
      </w:r>
    </w:p>
    <w:p>
      <w:pPr>
        <w:ind w:left="284" w:right="0"/>
        <w:tabs>
          <w:tab w:val="right" w:leader="dot" w:pos="9354"/>
        </w:tabs>
      </w:pPr>
      <w:r>
        <w:rPr>
          <w:sz w:val="20"/>
        </w:rPr>
        <w:t xml:space="preserve">18. Note de lecture à la maîtrise d'œuvre</w:t>
      </w:r>
      <w:r>
        <w:tab/>
      </w:r>
      <w:r>
        <w:rPr>
          <w:sz w:val="20"/>
        </w:rPr>
        <w:t>57</w:t>
      </w:r>
    </w:p>
    <w:p>
      <w:pPr>
        <w:ind w:left="568" w:right="0"/>
        <w:tabs>
          <w:tab w:val="right" w:leader="dot" w:pos="9354"/>
        </w:tabs>
      </w:pPr>
      <w:r>
        <w:rPr>
          <w:sz w:val="20"/>
        </w:rPr>
        <w:t xml:space="preserve">18.1 Ce qui est contractuel</w:t>
      </w:r>
      <w:r>
        <w:tab/>
      </w:r>
      <w:r>
        <w:rPr>
          <w:sz w:val="20"/>
        </w:rPr>
        <w:t>57</w:t>
      </w:r>
    </w:p>
    <w:p>
      <w:pPr>
        <w:ind w:left="568" w:right="0"/>
        <w:tabs>
          <w:tab w:val="right" w:leader="dot" w:pos="9354"/>
        </w:tabs>
      </w:pPr>
      <w:r>
        <w:rPr>
          <w:sz w:val="20"/>
        </w:rPr>
        <w:t xml:space="preserve">18.2 Ce qui est indicatif</w:t>
      </w:r>
      <w:r>
        <w:tab/>
      </w:r>
      <w:r>
        <w:rPr>
          <w:sz w:val="20"/>
        </w:rPr>
        <w:t>58</w:t>
      </w:r>
    </w:p>
    <w:p>
      <w:pPr>
        <w:ind w:left="568" w:right="0"/>
        <w:tabs>
          <w:tab w:val="right" w:leader="dot" w:pos="9354"/>
        </w:tabs>
      </w:pPr>
      <w:r>
        <w:rPr>
          <w:sz w:val="20"/>
        </w:rPr>
        <w:t xml:space="preserve">18.3 Ce qui n'est pas encore décidé</w:t>
      </w:r>
      <w:r>
        <w:tab/>
      </w:r>
      <w:r>
        <w:rPr>
          <w:sz w:val="20"/>
        </w:rPr>
        <w:t>58</w:t>
      </w:r>
    </w:p>
    <w:p>
      <w:pPr>
        <w:ind w:left="568" w:right="0"/>
        <w:tabs>
          <w:tab w:val="right" w:leader="dot" w:pos="9354"/>
        </w:tabs>
      </w:pPr>
      <w:r>
        <w:rPr>
          <w:sz w:val="20"/>
        </w:rPr>
        <w:t xml:space="preserve">18.4 Ordre de lecture conseillé</w:t>
      </w:r>
      <w:r>
        <w:tab/>
      </w:r>
      <w:r>
        <w:rPr>
          <w:sz w:val="20"/>
        </w:rPr>
        <w:t>58</w:t>
      </w:r>
    </w:p>
    <w:p>
      <w:pPr>
        <w:ind w:left="568" w:right="0"/>
        <w:tabs>
          <w:tab w:val="right" w:leader="dot" w:pos="9354"/>
        </w:tabs>
      </w:pPr>
      <w:r>
        <w:rPr>
          <w:sz w:val="20"/>
        </w:rPr>
        <w:t xml:space="preserve">18.5 Ce qui est attendu en retour</w:t>
      </w:r>
      <w:r>
        <w:tab/>
      </w:r>
      <w:r>
        <w:rPr>
          <w:sz w:val="20"/>
        </w:rPr>
        <w:t>58</w:t>
      </w:r>
    </w:p>
    <w:p>
      <w:pPr>
        <w:ind w:left="568" w:right="0"/>
        <w:tabs>
          <w:tab w:val="right" w:leader="dot" w:pos="9354"/>
        </w:tabs>
      </w:pPr>
      <w:r>
        <w:rPr>
          <w:sz w:val="20"/>
        </w:rPr>
        <w:t xml:space="preserve">18.6 Confidentialité</w:t>
      </w:r>
      <w:r>
        <w:tab/>
      </w:r>
      <w:r>
        <w:rPr>
          <w:sz w:val="20"/>
        </w:rPr>
        <w:t>59</w:t>
      </w:r>
    </w:p>
    <w:p>
      <w:pPr>
        <w:ind w:left="284" w:right="0"/>
        <w:tabs>
          <w:tab w:val="right" w:leader="dot" w:pos="9354"/>
        </w:tabs>
      </w:pPr>
      <w:r>
        <w:rPr>
          <w:sz w:val="20"/>
        </w:rPr>
        <w:t xml:space="preserve">19. Tests, livrables et garantie</w:t>
      </w:r>
      <w:r>
        <w:tab/>
      </w:r>
      <w:r>
        <w:rPr>
          <w:sz w:val="20"/>
        </w:rPr>
        <w:t>59</w:t>
      </w:r>
    </w:p>
    <w:p>
      <w:pPr>
        <w:ind w:left="568" w:right="0"/>
        <w:tabs>
          <w:tab w:val="right" w:leader="dot" w:pos="9354"/>
        </w:tabs>
      </w:pPr>
      <w:r>
        <w:rPr>
          <w:sz w:val="20"/>
        </w:rPr>
        <w:t xml:space="preserve">19.1 Niveaux de tests</w:t>
      </w:r>
      <w:r>
        <w:tab/>
      </w:r>
      <w:r>
        <w:rPr>
          <w:sz w:val="20"/>
        </w:rPr>
        <w:t>59</w:t>
      </w:r>
    </w:p>
    <w:p>
      <w:pPr>
        <w:ind w:left="568" w:right="0"/>
        <w:tabs>
          <w:tab w:val="right" w:leader="dot" w:pos="9354"/>
        </w:tabs>
      </w:pPr>
      <w:r>
        <w:rPr>
          <w:sz w:val="20"/>
        </w:rPr>
        <w:t xml:space="preserve">19.2 Exigences de test</w:t>
      </w:r>
      <w:r>
        <w:tab/>
      </w:r>
      <w:r>
        <w:rPr>
          <w:sz w:val="20"/>
        </w:rPr>
        <w:t>60</w:t>
      </w:r>
    </w:p>
    <w:p>
      <w:pPr>
        <w:ind w:left="568" w:right="0"/>
        <w:tabs>
          <w:tab w:val="right" w:leader="dot" w:pos="9354"/>
        </w:tabs>
      </w:pPr>
      <w:r>
        <w:rPr>
          <w:sz w:val="20"/>
        </w:rPr>
        <w:t xml:space="preserve">19.3 Livrables dus à chaque lot</w:t>
      </w:r>
      <w:r>
        <w:tab/>
      </w:r>
      <w:r>
        <w:rPr>
          <w:sz w:val="20"/>
        </w:rPr>
        <w:t>60</w:t>
      </w:r>
    </w:p>
    <w:p>
      <w:pPr>
        <w:ind w:left="568" w:right="0"/>
        <w:tabs>
          <w:tab w:val="right" w:leader="dot" w:pos="9354"/>
        </w:tabs>
      </w:pPr>
      <w:r>
        <w:rPr>
          <w:sz w:val="20"/>
        </w:rPr>
        <w:t xml:space="preserve">19.4 Sévérité des défauts</w:t>
      </w:r>
      <w:r>
        <w:tab/>
      </w:r>
      <w:r>
        <w:rPr>
          <w:sz w:val="20"/>
        </w:rPr>
        <w:t>61</w:t>
      </w:r>
    </w:p>
    <w:p>
      <w:pPr>
        <w:ind w:left="568" w:right="0"/>
        <w:tabs>
          <w:tab w:val="right" w:leader="dot" w:pos="9354"/>
        </w:tabs>
      </w:pPr>
      <w:r>
        <w:rPr>
          <w:sz w:val="20"/>
        </w:rPr>
        <w:t xml:space="preserve">19.5 Garantie</w:t>
      </w:r>
      <w:r>
        <w:tab/>
      </w:r>
      <w:r>
        <w:rPr>
          <w:sz w:val="20"/>
        </w:rPr>
        <w:t>61</w:t>
      </w:r>
    </w:p>
    <w:p>
      <w:pPr>
        <w:ind w:left="568" w:right="0"/>
        <w:tabs>
          <w:tab w:val="right" w:leader="dot" w:pos="9354"/>
        </w:tabs>
      </w:pPr>
      <w:r>
        <w:rPr>
          <w:sz w:val="20"/>
        </w:rPr>
        <w:t xml:space="preserve">19.6 Reprise de l'existant</w:t>
      </w:r>
      <w:r>
        <w:tab/>
      </w:r>
      <w:r>
        <w:rPr>
          <w:sz w:val="20"/>
        </w:rPr>
        <w:t>61</w:t>
      </w:r>
    </w:p>
    <w:p>
      <w:pPr>
        <w:ind w:left="568" w:right="0"/>
        <w:tabs>
          <w:tab w:val="right" w:leader="dot" w:pos="9354"/>
        </w:tabs>
      </w:pPr>
      <w:r>
        <w:rPr>
          <w:sz w:val="20"/>
        </w:rPr>
        <w:t xml:space="preserve">19.7 Déploiement et conduite du changement</w:t>
      </w:r>
      <w:r>
        <w:tab/>
      </w:r>
      <w:r>
        <w:rPr>
          <w:sz w:val="20"/>
        </w:rPr>
        <w:t>62</w:t>
      </w:r>
    </w:p>
    <w:p>
      <w:pPr>
        <w:ind w:left="568" w:right="0"/>
        <w:tabs>
          <w:tab w:val="right" w:leader="dot" w:pos="9354"/>
        </w:tabs>
      </w:pPr>
      <w:r>
        <w:rPr>
          <w:sz w:val="20"/>
        </w:rPr>
        <w:t xml:space="preserve">19.8 Indicateurs de succès du produit</w:t>
      </w:r>
      <w:r>
        <w:tab/>
      </w:r>
      <w:r>
        <w:rPr>
          <w:sz w:val="20"/>
        </w:rPr>
        <w:t>62</w:t>
      </w:r>
    </w:p>
    <w:p>
      <w:pPr>
        <w:ind w:left="568" w:right="0"/>
        <w:tabs>
          <w:tab w:val="right" w:leader="dot" w:pos="9354"/>
        </w:tabs>
      </w:pPr>
      <w:r>
        <w:rPr>
          <w:sz w:val="20"/>
        </w:rPr>
        <w:t xml:space="preserve">19.9 Formation, documentation et transfert</w:t>
      </w:r>
      <w:r>
        <w:tab/>
      </w:r>
      <w:r>
        <w:rPr>
          <w:sz w:val="20"/>
        </w:rPr>
        <w:t>63</w:t>
      </w:r>
    </w:p>
    <w:p>
      <w:pPr>
        <w:ind w:left="568" w:right="0"/>
        <w:tabs>
          <w:tab w:val="right" w:leader="dot" w:pos="9354"/>
        </w:tabs>
      </w:pPr>
      <w:r>
        <w:rPr>
          <w:sz w:val="20"/>
        </w:rPr>
        <w:t xml:space="preserve">19.10 Exploitation courante après la mise en service</w:t>
      </w:r>
      <w:r>
        <w:tab/>
      </w:r>
      <w:r>
        <w:rPr>
          <w:sz w:val="20"/>
        </w:rPr>
        <w:t>63</w:t>
      </w:r>
    </w:p>
    <w:p>
      <w:pPr>
        <w:ind w:left="284" w:right="0"/>
        <w:tabs>
          <w:tab w:val="right" w:leader="dot" w:pos="9354"/>
        </w:tabs>
      </w:pPr>
      <w:r>
        <w:rPr>
          <w:sz w:val="20"/>
        </w:rPr>
        <w:t xml:space="preserve">20. Glossaire</w:t>
      </w:r>
      <w:r>
        <w:tab/>
      </w:r>
      <w:r>
        <w:rPr>
          <w:sz w:val="20"/>
        </w:rPr>
        <w:t>64</w:t>
      </w:r>
    </w:p>
    <w:p>
      <w:pPr>
        <w:ind w:left="568" w:right="0"/>
        <w:tabs>
          <w:tab w:val="right" w:leader="dot" w:pos="9354"/>
        </w:tabs>
      </w:pPr>
      <w:r>
        <w:rPr>
          <w:sz w:val="20"/>
        </w:rPr>
        <w:t xml:space="preserve">20.1 Organisation de la DNPEC</w:t>
      </w:r>
      <w:r>
        <w:tab/>
      </w:r>
      <w:r>
        <w:rPr>
          <w:sz w:val="20"/>
        </w:rPr>
        <w:t>64</w:t>
      </w:r>
    </w:p>
    <w:p>
      <w:pPr>
        <w:ind w:left="568" w:right="0"/>
        <w:tabs>
          <w:tab w:val="right" w:leader="dot" w:pos="9354"/>
        </w:tabs>
      </w:pPr>
      <w:r>
        <w:rPr>
          <w:sz w:val="20"/>
        </w:rPr>
        <w:t xml:space="preserve">20.2 Termes du produit</w:t>
      </w:r>
      <w:r>
        <w:tab/>
      </w:r>
      <w:r>
        <w:rPr>
          <w:sz w:val="20"/>
        </w:rPr>
        <w:t>64</w:t>
      </w:r>
    </w:p>
    <w:p>
      <w:pPr>
        <w:ind w:left="568" w:right="0"/>
        <w:tabs>
          <w:tab w:val="right" w:leader="dot" w:pos="9354"/>
        </w:tabs>
      </w:pPr>
      <w:r>
        <w:rPr>
          <w:sz w:val="20"/>
        </w:rPr>
        <w:t xml:space="preserve">20.3 Termes de modélisation</w:t>
      </w:r>
      <w:r>
        <w:tab/>
      </w:r>
      <w:r>
        <w:rPr>
          <w:sz w:val="20"/>
        </w:rPr>
        <w:t>65</w:t>
      </w:r>
    </w:p>
    <w:p>
      <w:pPr>
        <w:spacing w:before="120"/>
        <w:ind w:left="0" w:right="0"/>
        <w:tabs>
          <w:tab w:val="right" w:leader="dot" w:pos="9354"/>
        </w:tabs>
      </w:pPr>
      <w:r>
        <w:rPr>
          <w:b/>
          <w:sz w:val="20"/>
        </w:rPr>
        <w:t xml:space="preserve">Partie A — Gestion interne de la Direction</w:t>
      </w:r>
      <w:r>
        <w:tab/>
      </w:r>
      <w:r>
        <w:rPr>
          <w:b/>
          <w:sz w:val="20"/>
        </w:rPr>
        <w:t>66</w:t>
      </w:r>
    </w:p>
    <w:p>
      <w:pPr>
        <w:ind w:left="284" w:right="0"/>
        <w:tabs>
          <w:tab w:val="right" w:leader="dot" w:pos="9354"/>
        </w:tabs>
      </w:pPr>
      <w:r>
        <w:rPr>
          <w:sz w:val="20"/>
        </w:rPr>
        <w:t xml:space="preserve">A1. Cartographie des domaines</w:t>
      </w:r>
      <w:r>
        <w:tab/>
      </w:r>
      <w:r>
        <w:rPr>
          <w:sz w:val="20"/>
        </w:rPr>
        <w:t>66</w:t>
      </w:r>
    </w:p>
    <w:p>
      <w:pPr>
        <w:ind w:left="284" w:right="0"/>
        <w:tabs>
          <w:tab w:val="right" w:leader="dot" w:pos="9354"/>
        </w:tabs>
      </w:pPr>
      <w:r>
        <w:rPr>
          <w:sz w:val="20"/>
        </w:rPr>
        <w:t xml:space="preserve">A2. Pilotage des activités et collaboration</w:t>
      </w:r>
      <w:r>
        <w:tab/>
      </w:r>
      <w:r>
        <w:rPr>
          <w:sz w:val="20"/>
        </w:rPr>
        <w:t>67</w:t>
      </w:r>
    </w:p>
    <w:p>
      <w:pPr>
        <w:ind w:left="568" w:right="0"/>
        <w:tabs>
          <w:tab w:val="right" w:leader="dot" w:pos="9354"/>
        </w:tabs>
      </w:pPr>
      <w:r>
        <w:rPr>
          <w:sz w:val="20"/>
        </w:rPr>
        <w:t xml:space="preserve">A2.1 Chaîne structurante</w:t>
      </w:r>
      <w:r>
        <w:tab/>
      </w:r>
      <w:r>
        <w:rPr>
          <w:sz w:val="20"/>
        </w:rPr>
        <w:t>67</w:t>
      </w:r>
    </w:p>
    <w:p>
      <w:pPr>
        <w:ind w:left="568" w:right="0"/>
        <w:tabs>
          <w:tab w:val="right" w:leader="dot" w:pos="9354"/>
        </w:tabs>
      </w:pPr>
      <w:r>
        <w:rPr>
          <w:sz w:val="20"/>
        </w:rPr>
        <w:t xml:space="preserve">A2.2 Plan de travail et tâches</w:t>
      </w:r>
      <w:r>
        <w:tab/>
      </w:r>
      <w:r>
        <w:rPr>
          <w:sz w:val="20"/>
        </w:rPr>
        <w:t>67</w:t>
      </w:r>
    </w:p>
    <w:p>
      <w:pPr>
        <w:ind w:left="568" w:right="0"/>
        <w:tabs>
          <w:tab w:val="right" w:leader="dot" w:pos="9354"/>
        </w:tabs>
      </w:pPr>
      <w:r>
        <w:rPr>
          <w:sz w:val="20"/>
        </w:rPr>
        <w:t xml:space="preserve">A2.3 Messagerie et annonces</w:t>
      </w:r>
      <w:r>
        <w:tab/>
      </w:r>
      <w:r>
        <w:rPr>
          <w:sz w:val="20"/>
        </w:rPr>
        <w:t>67</w:t>
      </w:r>
    </w:p>
    <w:p>
      <w:pPr>
        <w:ind w:left="568" w:right="0"/>
        <w:tabs>
          <w:tab w:val="right" w:leader="dot" w:pos="9354"/>
        </w:tabs>
      </w:pPr>
      <w:r>
        <w:rPr>
          <w:sz w:val="20"/>
        </w:rPr>
        <w:t xml:space="preserve">A2.4 Réunions, décisions et actions</w:t>
      </w:r>
      <w:r>
        <w:tab/>
      </w:r>
      <w:r>
        <w:rPr>
          <w:sz w:val="20"/>
        </w:rPr>
        <w:t>67</w:t>
      </w:r>
    </w:p>
    <w:p>
      <w:pPr>
        <w:ind w:left="568" w:right="0"/>
        <w:tabs>
          <w:tab w:val="right" w:leader="dot" w:pos="9354"/>
        </w:tabs>
      </w:pPr>
      <w:r>
        <w:rPr>
          <w:sz w:val="20"/>
        </w:rPr>
        <w:t xml:space="preserve">A2.5 Sondages et suggestions</w:t>
      </w:r>
      <w:r>
        <w:tab/>
      </w:r>
      <w:r>
        <w:rPr>
          <w:sz w:val="20"/>
        </w:rPr>
        <w:t>68</w:t>
      </w:r>
    </w:p>
    <w:p>
      <w:pPr>
        <w:ind w:left="568" w:right="0"/>
        <w:tabs>
          <w:tab w:val="right" w:leader="dot" w:pos="9354"/>
        </w:tabs>
      </w:pPr>
      <w:r>
        <w:rPr>
          <w:sz w:val="20"/>
        </w:rPr>
        <w:t xml:space="preserve">A2.6 Messagerie et transmission de documents</w:t>
      </w:r>
      <w:r>
        <w:tab/>
      </w:r>
      <w:r>
        <w:rPr>
          <w:sz w:val="20"/>
        </w:rPr>
        <w:t>68</w:t>
      </w:r>
    </w:p>
    <w:p>
      <w:pPr>
        <w:ind w:left="568" w:right="0"/>
        <w:tabs>
          <w:tab w:val="right" w:leader="dot" w:pos="9354"/>
        </w:tabs>
      </w:pPr>
      <w:r>
        <w:rPr>
          <w:sz w:val="20"/>
        </w:rPr>
        <w:t xml:space="preserve">A2.7 Documentation</w:t>
      </w:r>
      <w:r>
        <w:tab/>
      </w:r>
      <w:r>
        <w:rPr>
          <w:sz w:val="20"/>
        </w:rPr>
        <w:t>68</w:t>
      </w:r>
    </w:p>
    <w:p>
      <w:pPr>
        <w:ind w:left="568" w:right="0"/>
        <w:tabs>
          <w:tab w:val="right" w:leader="dot" w:pos="9354"/>
        </w:tabs>
      </w:pPr>
      <w:r>
        <w:rPr>
          <w:sz w:val="20"/>
        </w:rPr>
        <w:t xml:space="preserve">A2.8 Recherche transverse</w:t>
      </w:r>
      <w:r>
        <w:tab/>
      </w:r>
      <w:r>
        <w:rPr>
          <w:sz w:val="20"/>
        </w:rPr>
        <w:t>68</w:t>
      </w:r>
    </w:p>
    <w:p>
      <w:pPr>
        <w:ind w:left="284" w:right="0"/>
        <w:tabs>
          <w:tab w:val="right" w:leader="dot" w:pos="9354"/>
        </w:tabs>
      </w:pPr>
      <w:r>
        <w:rPr>
          <w:sz w:val="20"/>
        </w:rPr>
        <w:t xml:space="preserve">A3. Personnel, temps et absences</w:t>
      </w:r>
      <w:r>
        <w:tab/>
      </w:r>
      <w:r>
        <w:rPr>
          <w:sz w:val="20"/>
        </w:rPr>
        <w:t>68</w:t>
      </w:r>
    </w:p>
    <w:p>
      <w:pPr>
        <w:ind w:left="568" w:right="0"/>
        <w:tabs>
          <w:tab w:val="right" w:leader="dot" w:pos="9354"/>
        </w:tabs>
      </w:pPr>
      <w:r>
        <w:rPr>
          <w:sz w:val="20"/>
        </w:rPr>
        <w:t xml:space="preserve">A3.1 Dossier agent</w:t>
      </w:r>
      <w:r>
        <w:tab/>
      </w:r>
      <w:r>
        <w:rPr>
          <w:sz w:val="20"/>
        </w:rPr>
        <w:t>68</w:t>
      </w:r>
    </w:p>
    <w:p>
      <w:pPr>
        <w:ind w:left="568" w:right="0"/>
        <w:tabs>
          <w:tab w:val="right" w:leader="dot" w:pos="9354"/>
        </w:tabs>
      </w:pPr>
      <w:r>
        <w:rPr>
          <w:sz w:val="20"/>
        </w:rPr>
        <w:t xml:space="preserve">A3.2 Annuaire</w:t>
      </w:r>
      <w:r>
        <w:tab/>
      </w:r>
      <w:r>
        <w:rPr>
          <w:sz w:val="20"/>
        </w:rPr>
        <w:t>69</w:t>
      </w:r>
    </w:p>
    <w:p>
      <w:pPr>
        <w:ind w:left="568" w:right="0"/>
        <w:tabs>
          <w:tab w:val="right" w:leader="dot" w:pos="9354"/>
        </w:tabs>
      </w:pPr>
      <w:r>
        <w:rPr>
          <w:sz w:val="20"/>
        </w:rPr>
        <w:t xml:space="preserve">A3.3 Types d'absence</w:t>
      </w:r>
      <w:r>
        <w:tab/>
      </w:r>
      <w:r>
        <w:rPr>
          <w:sz w:val="20"/>
        </w:rPr>
        <w:t>69</w:t>
      </w:r>
    </w:p>
    <w:p>
      <w:pPr>
        <w:ind w:left="568" w:right="0"/>
        <w:tabs>
          <w:tab w:val="right" w:leader="dot" w:pos="9354"/>
        </w:tabs>
      </w:pPr>
      <w:r>
        <w:rPr>
          <w:sz w:val="20"/>
        </w:rPr>
        <w:t xml:space="preserve">A3.4 Fonctionnalités</w:t>
      </w:r>
      <w:r>
        <w:tab/>
      </w:r>
      <w:r>
        <w:rPr>
          <w:sz w:val="20"/>
        </w:rPr>
        <w:t>69</w:t>
      </w:r>
    </w:p>
    <w:p>
      <w:pPr>
        <w:ind w:left="568" w:right="0"/>
        <w:tabs>
          <w:tab w:val="right" w:leader="dot" w:pos="9354"/>
        </w:tabs>
      </w:pPr>
      <w:r>
        <w:rPr>
          <w:sz w:val="20"/>
        </w:rPr>
        <w:t xml:space="preserve">A3.5 Effectifs et alertes</w:t>
      </w:r>
      <w:r>
        <w:tab/>
      </w:r>
      <w:r>
        <w:rPr>
          <w:sz w:val="20"/>
        </w:rPr>
        <w:t>69</w:t>
      </w:r>
    </w:p>
    <w:p>
      <w:pPr>
        <w:ind w:left="568" w:right="0"/>
        <w:tabs>
          <w:tab w:val="right" w:leader="dot" w:pos="9354"/>
        </w:tabs>
      </w:pPr>
      <w:r>
        <w:rPr>
          <w:sz w:val="20"/>
        </w:rPr>
        <w:t xml:space="preserve">A3.6 Carrière et actes des ressources humaines</w:t>
      </w:r>
      <w:r>
        <w:tab/>
      </w:r>
      <w:r>
        <w:rPr>
          <w:sz w:val="20"/>
        </w:rPr>
        <w:t>69</w:t>
      </w:r>
    </w:p>
    <w:p>
      <w:pPr>
        <w:ind w:left="284" w:right="0"/>
        <w:tabs>
          <w:tab w:val="right" w:leader="dot" w:pos="9354"/>
        </w:tabs>
      </w:pPr>
      <w:r>
        <w:rPr>
          <w:sz w:val="20"/>
        </w:rPr>
        <w:t xml:space="preserve">A4. Rémunération, finances et instructions de la Direction</w:t>
      </w:r>
      <w:r>
        <w:tab/>
      </w:r>
      <w:r>
        <w:rPr>
          <w:sz w:val="20"/>
        </w:rPr>
        <w:t>70</w:t>
      </w:r>
    </w:p>
    <w:p>
      <w:pPr>
        <w:ind w:left="568" w:right="0"/>
        <w:tabs>
          <w:tab w:val="right" w:leader="dot" w:pos="9354"/>
        </w:tabs>
      </w:pPr>
      <w:r>
        <w:rPr>
          <w:sz w:val="20"/>
        </w:rPr>
        <w:t xml:space="preserve">A4.1 Portée</w:t>
      </w:r>
      <w:r>
        <w:tab/>
      </w:r>
      <w:r>
        <w:rPr>
          <w:sz w:val="20"/>
        </w:rPr>
        <w:t>70</w:t>
      </w:r>
    </w:p>
    <w:p>
      <w:pPr>
        <w:ind w:left="568" w:right="0"/>
        <w:tabs>
          <w:tab w:val="right" w:leader="dot" w:pos="9354"/>
        </w:tabs>
      </w:pPr>
      <w:r>
        <w:rPr>
          <w:sz w:val="20"/>
        </w:rPr>
        <w:t xml:space="preserve">A4.2 Campagne de paie</w:t>
      </w:r>
      <w:r>
        <w:tab/>
      </w:r>
      <w:r>
        <w:rPr>
          <w:sz w:val="20"/>
        </w:rPr>
        <w:t>70</w:t>
      </w:r>
    </w:p>
    <w:p>
      <w:pPr>
        <w:ind w:left="568" w:right="0"/>
        <w:tabs>
          <w:tab w:val="right" w:leader="dot" w:pos="9354"/>
        </w:tabs>
      </w:pPr>
      <w:r>
        <w:rPr>
          <w:sz w:val="20"/>
        </w:rPr>
        <w:t xml:space="preserve">A4.3 Bulletin</w:t>
      </w:r>
      <w:r>
        <w:tab/>
      </w:r>
      <w:r>
        <w:rPr>
          <w:sz w:val="20"/>
        </w:rPr>
        <w:t>70</w:t>
      </w:r>
    </w:p>
    <w:p>
      <w:pPr>
        <w:ind w:left="568" w:right="0"/>
        <w:tabs>
          <w:tab w:val="right" w:leader="dot" w:pos="9354"/>
        </w:tabs>
      </w:pPr>
      <w:r>
        <w:rPr>
          <w:sz w:val="20"/>
        </w:rPr>
        <w:t xml:space="preserve">A4.4 Instructions de la Direction</w:t>
      </w:r>
      <w:r>
        <w:tab/>
      </w:r>
      <w:r>
        <w:rPr>
          <w:sz w:val="20"/>
        </w:rPr>
        <w:t>70</w:t>
      </w:r>
    </w:p>
    <w:p>
      <w:pPr>
        <w:ind w:left="568" w:right="0"/>
        <w:tabs>
          <w:tab w:val="right" w:leader="dot" w:pos="9354"/>
        </w:tabs>
      </w:pPr>
      <w:r>
        <w:rPr>
          <w:sz w:val="20"/>
        </w:rPr>
        <w:t xml:space="preserve">A4.5 Éléments de rémunération</w:t>
      </w:r>
      <w:r>
        <w:tab/>
      </w:r>
      <w:r>
        <w:rPr>
          <w:sz w:val="20"/>
        </w:rPr>
        <w:t>71</w:t>
      </w:r>
    </w:p>
    <w:p>
      <w:pPr>
        <w:ind w:left="568" w:right="0"/>
        <w:tabs>
          <w:tab w:val="right" w:leader="dot" w:pos="9354"/>
        </w:tabs>
      </w:pPr>
      <w:r>
        <w:rPr>
          <w:sz w:val="20"/>
        </w:rPr>
        <w:t xml:space="preserve">A4.6 Ordres de paiement</w:t>
      </w:r>
      <w:r>
        <w:tab/>
      </w:r>
      <w:r>
        <w:rPr>
          <w:sz w:val="20"/>
        </w:rPr>
        <w:t>71</w:t>
      </w:r>
    </w:p>
    <w:p>
      <w:pPr>
        <w:ind w:left="568" w:right="0"/>
        <w:tabs>
          <w:tab w:val="right" w:leader="dot" w:pos="9354"/>
        </w:tabs>
      </w:pPr>
      <w:r>
        <w:rPr>
          <w:sz w:val="20"/>
        </w:rPr>
        <w:t xml:space="preserve">A4.7 Missions et indemnités</w:t>
      </w:r>
      <w:r>
        <w:tab/>
      </w:r>
      <w:r>
        <w:rPr>
          <w:sz w:val="20"/>
        </w:rPr>
        <w:t>71</w:t>
      </w:r>
    </w:p>
    <w:p>
      <w:pPr>
        <w:ind w:left="568" w:right="0"/>
        <w:tabs>
          <w:tab w:val="right" w:leader="dot" w:pos="9354"/>
        </w:tabs>
      </w:pPr>
      <w:r>
        <w:rPr>
          <w:sz w:val="20"/>
        </w:rPr>
        <w:t xml:space="preserve">A4.8 Suivi budgétaire de gestion</w:t>
      </w:r>
      <w:r>
        <w:tab/>
      </w:r>
      <w:r>
        <w:rPr>
          <w:sz w:val="20"/>
        </w:rPr>
        <w:t>71</w:t>
      </w:r>
    </w:p>
    <w:p>
      <w:pPr>
        <w:ind w:left="568" w:right="0"/>
        <w:tabs>
          <w:tab w:val="right" w:leader="dot" w:pos="9354"/>
        </w:tabs>
      </w:pPr>
      <w:r>
        <w:rPr>
          <w:sz w:val="20"/>
        </w:rPr>
        <w:t xml:space="preserve">A4.9 États financiers</w:t>
      </w:r>
      <w:r>
        <w:tab/>
      </w:r>
      <w:r>
        <w:rPr>
          <w:sz w:val="20"/>
        </w:rPr>
        <w:t>72</w:t>
      </w:r>
    </w:p>
    <w:p>
      <w:pPr>
        <w:ind w:left="284" w:right="0"/>
        <w:tabs>
          <w:tab w:val="right" w:leader="dot" w:pos="9354"/>
        </w:tabs>
      </w:pPr>
      <w:r>
        <w:rPr>
          <w:sz w:val="20"/>
        </w:rPr>
        <w:t xml:space="preserve">A5. Stages, courrier et logistique</w:t>
      </w:r>
      <w:r>
        <w:tab/>
      </w:r>
      <w:r>
        <w:rPr>
          <w:sz w:val="20"/>
        </w:rPr>
        <w:t>72</w:t>
      </w:r>
    </w:p>
    <w:p>
      <w:pPr>
        <w:ind w:left="568" w:right="0"/>
        <w:tabs>
          <w:tab w:val="right" w:leader="dot" w:pos="9354"/>
        </w:tabs>
      </w:pPr>
      <w:r>
        <w:rPr>
          <w:sz w:val="20"/>
        </w:rPr>
        <w:t xml:space="preserve">A5.1 Principe de la rotation</w:t>
      </w:r>
      <w:r>
        <w:tab/>
      </w:r>
      <w:r>
        <w:rPr>
          <w:sz w:val="20"/>
        </w:rPr>
        <w:t>72</w:t>
      </w:r>
    </w:p>
    <w:p>
      <w:pPr>
        <w:ind w:left="568" w:right="0"/>
        <w:tabs>
          <w:tab w:val="right" w:leader="dot" w:pos="9354"/>
        </w:tabs>
      </w:pPr>
      <w:r>
        <w:rPr>
          <w:sz w:val="20"/>
        </w:rPr>
        <w:t xml:space="preserve">A5.2 Fonctionnalités de stage</w:t>
      </w:r>
      <w:r>
        <w:tab/>
      </w:r>
      <w:r>
        <w:rPr>
          <w:sz w:val="20"/>
        </w:rPr>
        <w:t>72</w:t>
      </w:r>
    </w:p>
    <w:p>
      <w:pPr>
        <w:ind w:left="568" w:right="0"/>
        <w:tabs>
          <w:tab w:val="right" w:leader="dot" w:pos="9354"/>
        </w:tabs>
      </w:pPr>
      <w:r>
        <w:rPr>
          <w:sz w:val="20"/>
        </w:rPr>
        <w:t xml:space="preserve">A5.3 Courrier et actes</w:t>
      </w:r>
      <w:r>
        <w:tab/>
      </w:r>
      <w:r>
        <w:rPr>
          <w:sz w:val="20"/>
        </w:rPr>
        <w:t>73</w:t>
      </w:r>
    </w:p>
    <w:p>
      <w:pPr>
        <w:ind w:left="568" w:right="0"/>
        <w:tabs>
          <w:tab w:val="right" w:leader="dot" w:pos="9354"/>
        </w:tabs>
      </w:pPr>
      <w:r>
        <w:rPr>
          <w:sz w:val="20"/>
        </w:rPr>
        <w:t xml:space="preserve">A5.4 Documents administratifs générés</w:t>
      </w:r>
      <w:r>
        <w:tab/>
      </w:r>
      <w:r>
        <w:rPr>
          <w:sz w:val="20"/>
        </w:rPr>
        <w:t>73</w:t>
      </w:r>
    </w:p>
    <w:p>
      <w:pPr>
        <w:ind w:left="568" w:right="0"/>
        <w:tabs>
          <w:tab w:val="right" w:leader="dot" w:pos="9354"/>
        </w:tabs>
      </w:pPr>
      <w:r>
        <w:rPr>
          <w:sz w:val="20"/>
        </w:rPr>
        <w:t xml:space="preserve">A5.5 Logistique</w:t>
      </w:r>
      <w:r>
        <w:tab/>
      </w:r>
      <w:r>
        <w:rPr>
          <w:sz w:val="20"/>
        </w:rPr>
        <w:t>74</w:t>
      </w:r>
    </w:p>
    <w:p>
      <w:pPr>
        <w:ind w:left="284" w:right="0"/>
        <w:tabs>
          <w:tab w:val="right" w:leader="dot" w:pos="9354"/>
        </w:tabs>
      </w:pPr>
      <w:r>
        <w:rPr>
          <w:sz w:val="20"/>
        </w:rPr>
        <w:t xml:space="preserve">A6. Circuits de référence et tableaux de bord</w:t>
      </w:r>
      <w:r>
        <w:tab/>
      </w:r>
      <w:r>
        <w:rPr>
          <w:sz w:val="20"/>
        </w:rPr>
        <w:t>74</w:t>
      </w:r>
    </w:p>
    <w:p>
      <w:pPr>
        <w:ind w:left="568" w:right="0"/>
        <w:tabs>
          <w:tab w:val="right" w:leader="dot" w:pos="9354"/>
        </w:tabs>
      </w:pPr>
      <w:r>
        <w:rPr>
          <w:sz w:val="20"/>
        </w:rPr>
        <w:t xml:space="preserve">A6.1 Congé et absence</w:t>
      </w:r>
      <w:r>
        <w:tab/>
      </w:r>
      <w:r>
        <w:rPr>
          <w:sz w:val="20"/>
        </w:rPr>
        <w:t>74</w:t>
      </w:r>
    </w:p>
    <w:p>
      <w:pPr>
        <w:ind w:left="568" w:right="0"/>
        <w:tabs>
          <w:tab w:val="right" w:leader="dot" w:pos="9354"/>
        </w:tabs>
      </w:pPr>
      <w:r>
        <w:rPr>
          <w:sz w:val="20"/>
        </w:rPr>
        <w:t xml:space="preserve">A6.2 Campagne de paie</w:t>
      </w:r>
      <w:r>
        <w:tab/>
      </w:r>
      <w:r>
        <w:rPr>
          <w:sz w:val="20"/>
        </w:rPr>
        <w:t>75</w:t>
      </w:r>
    </w:p>
    <w:p>
      <w:pPr>
        <w:ind w:left="568" w:right="0"/>
        <w:tabs>
          <w:tab w:val="right" w:leader="dot" w:pos="9354"/>
        </w:tabs>
      </w:pPr>
      <w:r>
        <w:rPr>
          <w:sz w:val="20"/>
        </w:rPr>
        <w:t xml:space="preserve">A6.3 Instruction de la Direction</w:t>
      </w:r>
      <w:r>
        <w:tab/>
      </w:r>
      <w:r>
        <w:rPr>
          <w:sz w:val="20"/>
        </w:rPr>
        <w:t>75</w:t>
      </w:r>
    </w:p>
    <w:p>
      <w:pPr>
        <w:ind w:left="568" w:right="0"/>
        <w:tabs>
          <w:tab w:val="right" w:leader="dot" w:pos="9354"/>
        </w:tabs>
      </w:pPr>
      <w:r>
        <w:rPr>
          <w:sz w:val="20"/>
        </w:rPr>
        <w:t xml:space="preserve">A6.4 Courrier entrant</w:t>
      </w:r>
      <w:r>
        <w:tab/>
      </w:r>
      <w:r>
        <w:rPr>
          <w:sz w:val="20"/>
        </w:rPr>
        <w:t>75</w:t>
      </w:r>
    </w:p>
    <w:p>
      <w:pPr>
        <w:ind w:left="568" w:right="0"/>
        <w:tabs>
          <w:tab w:val="right" w:leader="dot" w:pos="9354"/>
        </w:tabs>
      </w:pPr>
      <w:r>
        <w:rPr>
          <w:sz w:val="20"/>
        </w:rPr>
        <w:t xml:space="preserve">A6.5 Rotation d'un stagiaire</w:t>
      </w:r>
      <w:r>
        <w:tab/>
      </w:r>
      <w:r>
        <w:rPr>
          <w:sz w:val="20"/>
        </w:rPr>
        <w:t>75</w:t>
      </w:r>
    </w:p>
    <w:p>
      <w:pPr>
        <w:ind w:left="568" w:right="0"/>
        <w:tabs>
          <w:tab w:val="right" w:leader="dot" w:pos="9354"/>
        </w:tabs>
      </w:pPr>
      <w:r>
        <w:rPr>
          <w:sz w:val="20"/>
        </w:rPr>
        <w:t xml:space="preserve">A6.6 Tableaux de bord par rôle</w:t>
      </w:r>
      <w:r>
        <w:tab/>
      </w:r>
      <w:r>
        <w:rPr>
          <w:sz w:val="20"/>
        </w:rPr>
        <w:t>76</w:t>
      </w:r>
    </w:p>
    <w:p>
      <w:pPr>
        <w:ind w:left="568" w:right="0"/>
        <w:tabs>
          <w:tab w:val="right" w:leader="dot" w:pos="9354"/>
        </w:tabs>
      </w:pPr>
      <w:r>
        <w:rPr>
          <w:sz w:val="20"/>
        </w:rPr>
        <w:t xml:space="preserve">A6.7 Écrans ajoutés en version 2.0</w:t>
      </w:r>
      <w:r>
        <w:tab/>
      </w:r>
      <w:r>
        <w:rPr>
          <w:sz w:val="20"/>
        </w:rPr>
        <w:t>77</w:t>
      </w:r>
    </w:p>
    <w:p>
      <w:pPr>
        <w:ind w:left="568" w:right="0"/>
        <w:tabs>
          <w:tab w:val="right" w:leader="dot" w:pos="9354"/>
        </w:tabs>
      </w:pPr>
      <w:r>
        <w:rPr>
          <w:sz w:val="20"/>
        </w:rPr>
        <w:t xml:space="preserve">A6.8 Maquettes de référence</w:t>
      </w:r>
      <w:r>
        <w:tab/>
      </w:r>
      <w:r>
        <w:rPr>
          <w:sz w:val="20"/>
        </w:rPr>
        <w:t>77</w:t>
      </w:r>
    </w:p>
    <w:p>
      <w:pPr>
        <w:ind w:left="284" w:right="0"/>
        <w:tabs>
          <w:tab w:val="right" w:leader="dot" w:pos="9354"/>
        </w:tabs>
      </w:pPr>
      <w:r>
        <w:rPr>
          <w:sz w:val="20"/>
        </w:rPr>
        <w:t xml:space="preserve">A7. Matrice des notifications du domaine A</w:t>
      </w:r>
      <w:r>
        <w:tab/>
      </w:r>
      <w:r>
        <w:rPr>
          <w:sz w:val="20"/>
        </w:rPr>
        <w:t>81</w:t>
      </w:r>
    </w:p>
    <w:p>
      <w:pPr>
        <w:ind w:left="284" w:right="0"/>
        <w:tabs>
          <w:tab w:val="right" w:leader="dot" w:pos="9354"/>
        </w:tabs>
      </w:pPr>
      <w:r>
        <w:rPr>
          <w:sz w:val="20"/>
        </w:rPr>
        <w:t xml:space="preserve">A8. Exigences fonctionnelles du domaine A</w:t>
      </w:r>
      <w:r>
        <w:tab/>
      </w:r>
      <w:r>
        <w:rPr>
          <w:sz w:val="20"/>
        </w:rPr>
        <w:t>83</w:t>
      </w:r>
    </w:p>
    <w:p>
      <w:pPr>
        <w:ind w:left="568" w:right="0"/>
        <w:tabs>
          <w:tab w:val="right" w:leader="dot" w:pos="9354"/>
        </w:tabs>
      </w:pPr>
      <w:r>
        <w:rPr>
          <w:sz w:val="20"/>
        </w:rPr>
        <w:t xml:space="preserve">A8.1 Référentiel organisationnel (SIG-RF-ORG)</w:t>
      </w:r>
      <w:r>
        <w:tab/>
      </w:r>
      <w:r>
        <w:rPr>
          <w:sz w:val="20"/>
        </w:rPr>
        <w:t>84</w:t>
      </w:r>
    </w:p>
    <w:p>
      <w:pPr>
        <w:ind w:left="568" w:right="0"/>
        <w:tabs>
          <w:tab w:val="right" w:leader="dot" w:pos="9354"/>
        </w:tabs>
      </w:pPr>
      <w:r>
        <w:rPr>
          <w:sz w:val="20"/>
        </w:rPr>
        <w:t xml:space="preserve">A8.2 Personnel (SIG-RF-PER)</w:t>
      </w:r>
      <w:r>
        <w:tab/>
      </w:r>
      <w:r>
        <w:rPr>
          <w:sz w:val="20"/>
        </w:rPr>
        <w:t>84</w:t>
      </w:r>
    </w:p>
    <w:p>
      <w:pPr>
        <w:ind w:left="568" w:right="0"/>
        <w:tabs>
          <w:tab w:val="right" w:leader="dot" w:pos="9354"/>
        </w:tabs>
      </w:pPr>
      <w:r>
        <w:rPr>
          <w:sz w:val="20"/>
        </w:rPr>
        <w:t xml:space="preserve">A8.3 Plan de travail et activités (SIG-RF-PTA)</w:t>
      </w:r>
      <w:r>
        <w:tab/>
      </w:r>
      <w:r>
        <w:rPr>
          <w:sz w:val="20"/>
        </w:rPr>
        <w:t>85</w:t>
      </w:r>
    </w:p>
    <w:p>
      <w:pPr>
        <w:ind w:left="568" w:right="0"/>
        <w:tabs>
          <w:tab w:val="right" w:leader="dot" w:pos="9354"/>
        </w:tabs>
      </w:pPr>
      <w:r>
        <w:rPr>
          <w:sz w:val="20"/>
        </w:rPr>
        <w:t xml:space="preserve">A8.4 Tâches (SIG-RF-TAC)</w:t>
      </w:r>
      <w:r>
        <w:tab/>
      </w:r>
      <w:r>
        <w:rPr>
          <w:sz w:val="20"/>
        </w:rPr>
        <w:t>85</w:t>
      </w:r>
    </w:p>
    <w:p>
      <w:pPr>
        <w:ind w:left="568" w:right="0"/>
        <w:tabs>
          <w:tab w:val="right" w:leader="dot" w:pos="9354"/>
        </w:tabs>
      </w:pPr>
      <w:r>
        <w:rPr>
          <w:sz w:val="20"/>
        </w:rPr>
        <w:t xml:space="preserve">A8.5 Réunions et décisions (SIG-RF-RUN)</w:t>
      </w:r>
      <w:r>
        <w:tab/>
      </w:r>
      <w:r>
        <w:rPr>
          <w:sz w:val="20"/>
        </w:rPr>
        <w:t>86</w:t>
      </w:r>
    </w:p>
    <w:p>
      <w:pPr>
        <w:ind w:left="568" w:right="0"/>
        <w:tabs>
          <w:tab w:val="right" w:leader="dot" w:pos="9354"/>
        </w:tabs>
      </w:pPr>
      <w:r>
        <w:rPr>
          <w:sz w:val="20"/>
        </w:rPr>
        <w:t xml:space="preserve">A8.6 Communication (SIG-RF-COM)</w:t>
      </w:r>
      <w:r>
        <w:tab/>
      </w:r>
      <w:r>
        <w:rPr>
          <w:sz w:val="20"/>
        </w:rPr>
        <w:t>87</w:t>
      </w:r>
    </w:p>
    <w:p>
      <w:pPr>
        <w:ind w:left="568" w:right="0"/>
        <w:tabs>
          <w:tab w:val="right" w:leader="dot" w:pos="9354"/>
        </w:tabs>
      </w:pPr>
      <w:r>
        <w:rPr>
          <w:sz w:val="20"/>
        </w:rPr>
        <w:t xml:space="preserve">A8.7 Documentation et GED (SIG-RF-GED)</w:t>
      </w:r>
      <w:r>
        <w:tab/>
      </w:r>
      <w:r>
        <w:rPr>
          <w:sz w:val="20"/>
        </w:rPr>
        <w:t>87</w:t>
      </w:r>
    </w:p>
    <w:p>
      <w:pPr>
        <w:ind w:left="568" w:right="0"/>
        <w:tabs>
          <w:tab w:val="right" w:leader="dot" w:pos="9354"/>
        </w:tabs>
      </w:pPr>
      <w:r>
        <w:rPr>
          <w:sz w:val="20"/>
        </w:rPr>
        <w:t xml:space="preserve">A8.8 Temps et absences (SIG-RF-TMP) --- remplace SIG-RF-CNG de la version 1.1</w:t>
      </w:r>
      <w:r>
        <w:tab/>
      </w:r>
      <w:r>
        <w:rPr>
          <w:sz w:val="20"/>
        </w:rPr>
        <w:t>88</w:t>
      </w:r>
    </w:p>
    <w:p>
      <w:pPr>
        <w:ind w:left="568" w:right="0"/>
        <w:tabs>
          <w:tab w:val="right" w:leader="dot" w:pos="9354"/>
        </w:tabs>
      </w:pPr>
      <w:r>
        <w:rPr>
          <w:sz w:val="20"/>
        </w:rPr>
        <w:t xml:space="preserve">A8.9 Rémunération (SIG-RF-PAI)</w:t>
      </w:r>
      <w:r>
        <w:tab/>
      </w:r>
      <w:r>
        <w:rPr>
          <w:sz w:val="20"/>
        </w:rPr>
        <w:t>89</w:t>
      </w:r>
    </w:p>
    <w:p>
      <w:pPr>
        <w:ind w:left="568" w:right="0"/>
        <w:tabs>
          <w:tab w:val="right" w:leader="dot" w:pos="9354"/>
        </w:tabs>
      </w:pPr>
      <w:r>
        <w:rPr>
          <w:sz w:val="20"/>
        </w:rPr>
        <w:t xml:space="preserve">A8.10 Instructions de la Direction (SIG-RF-INS)</w:t>
      </w:r>
      <w:r>
        <w:tab/>
      </w:r>
      <w:r>
        <w:rPr>
          <w:sz w:val="20"/>
        </w:rPr>
        <w:t>90</w:t>
      </w:r>
    </w:p>
    <w:p>
      <w:pPr>
        <w:ind w:left="568" w:right="0"/>
        <w:tabs>
          <w:tab w:val="right" w:leader="dot" w:pos="9354"/>
        </w:tabs>
      </w:pPr>
      <w:r>
        <w:rPr>
          <w:sz w:val="20"/>
        </w:rPr>
        <w:t xml:space="preserve">A8.11 Stages et formation (SIG-RF-STG)</w:t>
      </w:r>
      <w:r>
        <w:tab/>
      </w:r>
      <w:r>
        <w:rPr>
          <w:sz w:val="20"/>
        </w:rPr>
        <w:t>90</w:t>
      </w:r>
    </w:p>
    <w:p>
      <w:pPr>
        <w:ind w:left="568" w:right="0"/>
        <w:tabs>
          <w:tab w:val="right" w:leader="dot" w:pos="9354"/>
        </w:tabs>
      </w:pPr>
      <w:r>
        <w:rPr>
          <w:sz w:val="20"/>
        </w:rPr>
        <w:t xml:space="preserve">A8.12 Courrier et actes (SIG-RF-CRR)</w:t>
      </w:r>
      <w:r>
        <w:tab/>
      </w:r>
      <w:r>
        <w:rPr>
          <w:sz w:val="20"/>
        </w:rPr>
        <w:t>91</w:t>
      </w:r>
    </w:p>
    <w:p>
      <w:pPr>
        <w:ind w:left="568" w:right="0"/>
        <w:tabs>
          <w:tab w:val="right" w:leader="dot" w:pos="9354"/>
        </w:tabs>
      </w:pPr>
      <w:r>
        <w:rPr>
          <w:sz w:val="20"/>
        </w:rPr>
        <w:t xml:space="preserve">A8.13 Logistique (SIG-RF-LOG)</w:t>
      </w:r>
      <w:r>
        <w:tab/>
      </w:r>
      <w:r>
        <w:rPr>
          <w:sz w:val="20"/>
        </w:rPr>
        <w:t>92</w:t>
      </w:r>
    </w:p>
    <w:p>
      <w:pPr>
        <w:ind w:left="568" w:right="0"/>
        <w:tabs>
          <w:tab w:val="right" w:leader="dot" w:pos="9354"/>
        </w:tabs>
      </w:pPr>
      <w:r>
        <w:rPr>
          <w:sz w:val="20"/>
        </w:rPr>
        <w:t xml:space="preserve">A8.14 Tableaux de bord (SIG-RF-TDB)</w:t>
      </w:r>
      <w:r>
        <w:tab/>
      </w:r>
      <w:r>
        <w:rPr>
          <w:sz w:val="20"/>
        </w:rPr>
        <w:t>92</w:t>
      </w:r>
    </w:p>
    <w:p>
      <w:pPr>
        <w:ind w:left="568" w:right="0"/>
        <w:tabs>
          <w:tab w:val="right" w:leader="dot" w:pos="9354"/>
        </w:tabs>
      </w:pPr>
      <w:r>
        <w:rPr>
          <w:sz w:val="20"/>
        </w:rPr>
        <w:t xml:space="preserve">A8.17 Reprise de l'existant (SIG-RF-REP)</w:t>
      </w:r>
      <w:r>
        <w:tab/>
      </w:r>
      <w:r>
        <w:rPr>
          <w:sz w:val="20"/>
        </w:rPr>
        <w:t>93</w:t>
      </w:r>
    </w:p>
    <w:p>
      <w:pPr>
        <w:ind w:left="568" w:right="0"/>
        <w:tabs>
          <w:tab w:val="right" w:leader="dot" w:pos="9354"/>
        </w:tabs>
      </w:pPr>
      <w:r>
        <w:rPr>
          <w:sz w:val="20"/>
        </w:rPr>
        <w:t xml:space="preserve">A8.18 Actes, visa et numérotation (SIG-RF-ACT)</w:t>
      </w:r>
      <w:r>
        <w:tab/>
      </w:r>
      <w:r>
        <w:rPr>
          <w:sz w:val="20"/>
        </w:rPr>
        <w:t>93</w:t>
      </w:r>
    </w:p>
    <w:p>
      <w:pPr>
        <w:ind w:left="568" w:right="0"/>
        <w:tabs>
          <w:tab w:val="right" w:leader="dot" w:pos="9354"/>
        </w:tabs>
      </w:pPr>
      <w:r>
        <w:rPr>
          <w:sz w:val="20"/>
        </w:rPr>
        <w:t xml:space="preserve">A8.19 Ordres de paiement, missions et finances (SIG-RF-FIN)</w:t>
      </w:r>
      <w:r>
        <w:tab/>
      </w:r>
      <w:r>
        <w:rPr>
          <w:sz w:val="20"/>
        </w:rPr>
        <w:t>93</w:t>
      </w:r>
    </w:p>
    <w:p>
      <w:pPr>
        <w:ind w:left="568" w:right="0"/>
        <w:tabs>
          <w:tab w:val="right" w:leader="dot" w:pos="9354"/>
        </w:tabs>
      </w:pPr>
      <w:r>
        <w:rPr>
          <w:sz w:val="20"/>
        </w:rPr>
        <w:t xml:space="preserve">A8.20 Effectifs, carrière et actes (SIG-RF-CAR)</w:t>
      </w:r>
      <w:r>
        <w:tab/>
      </w:r>
      <w:r>
        <w:rPr>
          <w:sz w:val="20"/>
        </w:rPr>
        <w:t>95</w:t>
      </w:r>
    </w:p>
    <w:p>
      <w:pPr>
        <w:ind w:left="568" w:right="0"/>
        <w:tabs>
          <w:tab w:val="right" w:leader="dot" w:pos="9354"/>
        </w:tabs>
      </w:pPr>
      <w:r>
        <w:rPr>
          <w:sz w:val="20"/>
        </w:rPr>
        <w:t xml:space="preserve">A8.21 Messagerie, transmission et recherche (SIG-RF-MSG)</w:t>
      </w:r>
      <w:r>
        <w:tab/>
      </w:r>
      <w:r>
        <w:rPr>
          <w:sz w:val="20"/>
        </w:rPr>
        <w:t>96</w:t>
      </w:r>
    </w:p>
    <w:p>
      <w:pPr>
        <w:ind w:left="568" w:right="0"/>
        <w:tabs>
          <w:tab w:val="right" w:leader="dot" w:pos="9354"/>
        </w:tabs>
      </w:pPr>
      <w:r>
        <w:rPr>
          <w:sz w:val="20"/>
        </w:rPr>
        <w:t xml:space="preserve">A8.22 Documents administratifs générés (SIG-RF-DOC)</w:t>
      </w:r>
      <w:r>
        <w:tab/>
      </w:r>
      <w:r>
        <w:rPr>
          <w:sz w:val="20"/>
        </w:rPr>
        <w:t>96</w:t>
      </w:r>
    </w:p>
    <w:p>
      <w:pPr>
        <w:ind w:left="284" w:right="0"/>
        <w:tabs>
          <w:tab w:val="right" w:leader="dot" w:pos="9354"/>
        </w:tabs>
      </w:pPr>
      <w:r>
        <w:rPr>
          <w:sz w:val="20"/>
        </w:rPr>
        <w:t xml:space="preserve">A9. Critères d'acceptation et hors périmètre</w:t>
      </w:r>
      <w:r>
        <w:tab/>
      </w:r>
      <w:r>
        <w:rPr>
          <w:sz w:val="20"/>
        </w:rPr>
        <w:t>97</w:t>
      </w:r>
    </w:p>
    <w:p>
      <w:pPr>
        <w:ind w:left="568" w:right="0"/>
        <w:tabs>
          <w:tab w:val="right" w:leader="dot" w:pos="9354"/>
        </w:tabs>
      </w:pPr>
      <w:r>
        <w:rPr>
          <w:sz w:val="20"/>
        </w:rPr>
        <w:t xml:space="preserve">A9.1 Critères d'acceptation</w:t>
      </w:r>
      <w:r>
        <w:tab/>
      </w:r>
      <w:r>
        <w:rPr>
          <w:sz w:val="20"/>
        </w:rPr>
        <w:t>97</w:t>
      </w:r>
    </w:p>
    <w:p>
      <w:pPr>
        <w:ind w:left="568" w:right="0"/>
        <w:tabs>
          <w:tab w:val="right" w:leader="dot" w:pos="9354"/>
        </w:tabs>
      </w:pPr>
      <w:r>
        <w:rPr>
          <w:sz w:val="20"/>
        </w:rPr>
        <w:t xml:space="preserve">A9.2 Hors périmètre</w:t>
      </w:r>
      <w:r>
        <w:tab/>
      </w:r>
      <w:r>
        <w:rPr>
          <w:sz w:val="20"/>
        </w:rPr>
        <w:t>100</w:t>
      </w:r>
    </w:p>
    <w:p>
      <w:pPr>
        <w:spacing w:before="120"/>
        <w:ind w:left="0" w:right="0"/>
        <w:tabs>
          <w:tab w:val="right" w:leader="dot" w:pos="9354"/>
        </w:tabs>
      </w:pPr>
      <w:r>
        <w:rPr>
          <w:b/>
          <w:sz w:val="20"/>
        </w:rPr>
        <w:t xml:space="preserve">Partie B — Modélisation et simulation</w:t>
      </w:r>
      <w:r>
        <w:tab/>
      </w:r>
      <w:r>
        <w:rPr>
          <w:b/>
          <w:sz w:val="20"/>
        </w:rPr>
        <w:t>102</w:t>
      </w:r>
    </w:p>
    <w:p>
      <w:pPr>
        <w:ind w:left="284" w:right="0"/>
        <w:tabs>
          <w:tab w:val="right" w:leader="dot" w:pos="9354"/>
        </w:tabs>
      </w:pPr>
      <w:r>
        <w:rPr>
          <w:sz w:val="20"/>
        </w:rPr>
        <w:t xml:space="preserve">B1. Catalogue des modèles</w:t>
      </w:r>
      <w:r>
        <w:tab/>
      </w:r>
      <w:r>
        <w:rPr>
          <w:sz w:val="20"/>
        </w:rPr>
        <w:t>102</w:t>
      </w:r>
    </w:p>
    <w:p>
      <w:pPr>
        <w:ind w:left="568" w:right="0"/>
        <w:tabs>
          <w:tab w:val="right" w:leader="dot" w:pos="9354"/>
        </w:tabs>
      </w:pPr>
      <w:r>
        <w:rPr>
          <w:sz w:val="20"/>
        </w:rPr>
        <w:t xml:space="preserve">B1.1 Famille A — équilibre général calculable, moteur GAMS</w:t>
      </w:r>
      <w:r>
        <w:tab/>
      </w:r>
      <w:r>
        <w:rPr>
          <w:sz w:val="20"/>
        </w:rPr>
        <w:t>102</w:t>
      </w:r>
    </w:p>
    <w:p>
      <w:pPr>
        <w:ind w:left="568" w:right="0"/>
        <w:tabs>
          <w:tab w:val="right" w:leader="dot" w:pos="9354"/>
        </w:tabs>
      </w:pPr>
      <w:r>
        <w:rPr>
          <w:sz w:val="20"/>
        </w:rPr>
        <w:t xml:space="preserve">B1.2 Famille B — cadrage macro-budgétaire, moteur Excel ou Python</w:t>
      </w:r>
      <w:r>
        <w:tab/>
      </w:r>
      <w:r>
        <w:rPr>
          <w:sz w:val="20"/>
        </w:rPr>
        <w:t>102</w:t>
      </w:r>
    </w:p>
    <w:p>
      <w:pPr>
        <w:ind w:left="568" w:right="0"/>
        <w:tabs>
          <w:tab w:val="right" w:leader="dot" w:pos="9354"/>
        </w:tabs>
      </w:pPr>
      <w:r>
        <w:rPr>
          <w:sz w:val="20"/>
        </w:rPr>
        <w:t xml:space="preserve">B1.3 Famille C — modèles économétriques et sectoriels</w:t>
      </w:r>
      <w:r>
        <w:tab/>
      </w:r>
      <w:r>
        <w:rPr>
          <w:sz w:val="20"/>
        </w:rPr>
        <w:t>103</w:t>
      </w:r>
    </w:p>
    <w:p>
      <w:pPr>
        <w:ind w:left="568" w:right="0"/>
        <w:tabs>
          <w:tab w:val="right" w:leader="dot" w:pos="9354"/>
        </w:tabs>
      </w:pPr>
      <w:r>
        <w:rPr>
          <w:sz w:val="20"/>
        </w:rPr>
        <w:t xml:space="preserve">B1.4 Priorité d'intégration</w:t>
      </w:r>
      <w:r>
        <w:tab/>
      </w:r>
      <w:r>
        <w:rPr>
          <w:sz w:val="20"/>
        </w:rPr>
        <w:t>103</w:t>
      </w:r>
    </w:p>
    <w:p>
      <w:pPr>
        <w:ind w:left="284" w:right="0"/>
        <w:tabs>
          <w:tab w:val="right" w:leader="dot" w:pos="9354"/>
        </w:tabs>
      </w:pPr>
      <w:r>
        <w:rPr>
          <w:sz w:val="20"/>
        </w:rPr>
        <w:t xml:space="preserve">B2. Préalable — état des lieux et versions faisant foi</w:t>
      </w:r>
      <w:r>
        <w:tab/>
      </w:r>
      <w:r>
        <w:rPr>
          <w:sz w:val="20"/>
        </w:rPr>
        <w:t>103</w:t>
      </w:r>
    </w:p>
    <w:p>
      <w:pPr>
        <w:ind w:left="568" w:right="0"/>
        <w:tabs>
          <w:tab w:val="right" w:leader="dot" w:pos="9354"/>
        </w:tabs>
      </w:pPr>
      <w:r>
        <w:rPr>
          <w:sz w:val="20"/>
        </w:rPr>
        <w:t xml:space="preserve">B2.1 Contenu de l'état des lieux</w:t>
      </w:r>
      <w:r>
        <w:tab/>
      </w:r>
      <w:r>
        <w:rPr>
          <w:sz w:val="20"/>
        </w:rPr>
        <w:t>103</w:t>
      </w:r>
    </w:p>
    <w:p>
      <w:pPr>
        <w:ind w:left="568" w:right="0"/>
        <w:tabs>
          <w:tab w:val="right" w:leader="dot" w:pos="9354"/>
        </w:tabs>
      </w:pPr>
      <w:r>
        <w:rPr>
          <w:sz w:val="20"/>
        </w:rPr>
        <w:t xml:space="preserve">B2.2 Livrable</w:t>
      </w:r>
      <w:r>
        <w:tab/>
      </w:r>
      <w:r>
        <w:rPr>
          <w:sz w:val="20"/>
        </w:rPr>
        <w:t>104</w:t>
      </w:r>
    </w:p>
    <w:p>
      <w:pPr>
        <w:ind w:left="568" w:right="0"/>
        <w:tabs>
          <w:tab w:val="right" w:leader="dot" w:pos="9354"/>
        </w:tabs>
      </w:pPr>
      <w:r>
        <w:rPr>
          <w:sz w:val="20"/>
        </w:rPr>
        <w:t xml:space="preserve">B2.3 Effet sur le risque de perte d'expertise</w:t>
      </w:r>
      <w:r>
        <w:tab/>
      </w:r>
      <w:r>
        <w:rPr>
          <w:sz w:val="20"/>
        </w:rPr>
        <w:t>104</w:t>
      </w:r>
    </w:p>
    <w:p>
      <w:pPr>
        <w:ind w:left="284" w:right="0"/>
        <w:tabs>
          <w:tab w:val="right" w:leader="dot" w:pos="9354"/>
        </w:tabs>
      </w:pPr>
      <w:r>
        <w:rPr>
          <w:sz w:val="20"/>
        </w:rPr>
        <w:t xml:space="preserve">B3. Référentiel des modèles et fiche de simulation</w:t>
      </w:r>
      <w:r>
        <w:tab/>
      </w:r>
      <w:r>
        <w:rPr>
          <w:sz w:val="20"/>
        </w:rPr>
        <w:t>104</w:t>
      </w:r>
    </w:p>
    <w:p>
      <w:pPr>
        <w:ind w:left="568" w:right="0"/>
        <w:tabs>
          <w:tab w:val="right" w:leader="dot" w:pos="9354"/>
        </w:tabs>
      </w:pPr>
      <w:r>
        <w:rPr>
          <w:sz w:val="20"/>
        </w:rPr>
        <w:t xml:space="preserve">B3.1 Le référentiel</w:t>
      </w:r>
      <w:r>
        <w:tab/>
      </w:r>
      <w:r>
        <w:rPr>
          <w:sz w:val="20"/>
        </w:rPr>
        <w:t>104</w:t>
      </w:r>
    </w:p>
    <w:p>
      <w:pPr>
        <w:ind w:left="568" w:right="0"/>
        <w:tabs>
          <w:tab w:val="right" w:leader="dot" w:pos="9354"/>
        </w:tabs>
      </w:pPr>
      <w:r>
        <w:rPr>
          <w:sz w:val="20"/>
        </w:rPr>
        <w:t xml:space="preserve">B3.2 États d'une version de modèle</w:t>
      </w:r>
      <w:r>
        <w:tab/>
      </w:r>
      <w:r>
        <w:rPr>
          <w:sz w:val="20"/>
        </w:rPr>
        <w:t>104</w:t>
      </w:r>
    </w:p>
    <w:p>
      <w:pPr>
        <w:ind w:left="568" w:right="0"/>
        <w:tabs>
          <w:tab w:val="right" w:leader="dot" w:pos="9354"/>
        </w:tabs>
      </w:pPr>
      <w:r>
        <w:rPr>
          <w:sz w:val="20"/>
        </w:rPr>
        <w:t xml:space="preserve">B3.3 La fiche de simulation</w:t>
      </w:r>
      <w:r>
        <w:tab/>
      </w:r>
      <w:r>
        <w:rPr>
          <w:sz w:val="20"/>
        </w:rPr>
        <w:t>105</w:t>
      </w:r>
    </w:p>
    <w:p>
      <w:pPr>
        <w:ind w:left="568" w:right="0"/>
        <w:tabs>
          <w:tab w:val="right" w:leader="dot" w:pos="9354"/>
        </w:tabs>
      </w:pPr>
      <w:r>
        <w:rPr>
          <w:sz w:val="20"/>
        </w:rPr>
        <w:t xml:space="preserve">B3.4 Bases de données</w:t>
      </w:r>
      <w:r>
        <w:tab/>
      </w:r>
      <w:r>
        <w:rPr>
          <w:sz w:val="20"/>
        </w:rPr>
        <w:t>105</w:t>
      </w:r>
    </w:p>
    <w:p>
      <w:pPr>
        <w:ind w:left="284" w:right="0"/>
        <w:tabs>
          <w:tab w:val="right" w:leader="dot" w:pos="9354"/>
        </w:tabs>
      </w:pPr>
      <w:r>
        <w:rPr>
          <w:sz w:val="20"/>
        </w:rPr>
        <w:t xml:space="preserve">B4. Intégration d'un modèle au référentiel</w:t>
      </w:r>
      <w:r>
        <w:tab/>
      </w:r>
      <w:r>
        <w:rPr>
          <w:sz w:val="20"/>
        </w:rPr>
        <w:t>105</w:t>
      </w:r>
    </w:p>
    <w:p>
      <w:pPr>
        <w:ind w:left="568" w:right="0"/>
        <w:tabs>
          <w:tab w:val="right" w:leader="dot" w:pos="9354"/>
        </w:tabs>
      </w:pPr>
      <w:r>
        <w:rPr>
          <w:sz w:val="20"/>
        </w:rPr>
        <w:t xml:space="preserve">B4.1 Étapes de l'intégration</w:t>
      </w:r>
      <w:r>
        <w:tab/>
      </w:r>
      <w:r>
        <w:rPr>
          <w:sz w:val="20"/>
        </w:rPr>
        <w:t>105</w:t>
      </w:r>
    </w:p>
    <w:p>
      <w:pPr>
        <w:ind w:left="568" w:right="0"/>
        <w:tabs>
          <w:tab w:val="right" w:leader="dot" w:pos="9354"/>
        </w:tabs>
      </w:pPr>
      <w:r>
        <w:rPr>
          <w:sz w:val="20"/>
        </w:rPr>
        <w:t xml:space="preserve">B4.2 Suite du circuit</w:t>
      </w:r>
      <w:r>
        <w:tab/>
      </w:r>
      <w:r>
        <w:rPr>
          <w:sz w:val="20"/>
        </w:rPr>
        <w:t>106</w:t>
      </w:r>
    </w:p>
    <w:p>
      <w:pPr>
        <w:ind w:left="568" w:right="0"/>
        <w:tabs>
          <w:tab w:val="right" w:leader="dot" w:pos="9354"/>
        </w:tabs>
      </w:pPr>
      <w:r>
        <w:rPr>
          <w:sz w:val="20"/>
        </w:rPr>
        <w:t xml:space="preserve">B4.3 Restitution propre à chaque modèle</w:t>
      </w:r>
      <w:r>
        <w:tab/>
      </w:r>
      <w:r>
        <w:rPr>
          <w:sz w:val="20"/>
        </w:rPr>
        <w:t>106</w:t>
      </w:r>
    </w:p>
    <w:p>
      <w:pPr>
        <w:ind w:left="284" w:right="0"/>
        <w:tabs>
          <w:tab w:val="right" w:leader="dot" w:pos="9354"/>
        </w:tabs>
      </w:pPr>
      <w:r>
        <w:rPr>
          <w:sz w:val="20"/>
        </w:rPr>
        <w:t xml:space="preserve">B5. Exécution, scénarios et chocs</w:t>
      </w:r>
      <w:r>
        <w:tab/>
      </w:r>
      <w:r>
        <w:rPr>
          <w:sz w:val="20"/>
        </w:rPr>
        <w:t>106</w:t>
      </w:r>
    </w:p>
    <w:p>
      <w:pPr>
        <w:ind w:left="568" w:right="0"/>
        <w:tabs>
          <w:tab w:val="right" w:leader="dot" w:pos="9354"/>
        </w:tabs>
      </w:pPr>
      <w:r>
        <w:rPr>
          <w:sz w:val="20"/>
        </w:rPr>
        <w:t xml:space="preserve">B5.1 Exécution</w:t>
      </w:r>
      <w:r>
        <w:tab/>
      </w:r>
      <w:r>
        <w:rPr>
          <w:sz w:val="20"/>
        </w:rPr>
        <w:t>106</w:t>
      </w:r>
    </w:p>
    <w:p>
      <w:pPr>
        <w:ind w:left="568" w:right="0"/>
        <w:tabs>
          <w:tab w:val="right" w:leader="dot" w:pos="9354"/>
        </w:tabs>
      </w:pPr>
      <w:r>
        <w:rPr>
          <w:sz w:val="20"/>
        </w:rPr>
        <w:t xml:space="preserve">B5.2 Scénario de référence</w:t>
      </w:r>
      <w:r>
        <w:tab/>
      </w:r>
      <w:r>
        <w:rPr>
          <w:sz w:val="20"/>
        </w:rPr>
        <w:t>107</w:t>
      </w:r>
    </w:p>
    <w:p>
      <w:pPr>
        <w:ind w:left="568" w:right="0"/>
        <w:tabs>
          <w:tab w:val="right" w:leader="dot" w:pos="9354"/>
        </w:tabs>
      </w:pPr>
      <w:r>
        <w:rPr>
          <w:sz w:val="20"/>
        </w:rPr>
        <w:t xml:space="preserve">B5.3 Chocs</w:t>
      </w:r>
      <w:r>
        <w:tab/>
      </w:r>
      <w:r>
        <w:rPr>
          <w:sz w:val="20"/>
        </w:rPr>
        <w:t>107</w:t>
      </w:r>
    </w:p>
    <w:p>
      <w:pPr>
        <w:ind w:left="568" w:right="0"/>
        <w:tabs>
          <w:tab w:val="right" w:leader="dot" w:pos="9354"/>
        </w:tabs>
      </w:pPr>
      <w:r>
        <w:rPr>
          <w:sz w:val="20"/>
        </w:rPr>
        <w:t xml:space="preserve">B5.4 Bibliothèque de chocs types</w:t>
      </w:r>
      <w:r>
        <w:tab/>
      </w:r>
      <w:r>
        <w:rPr>
          <w:sz w:val="20"/>
        </w:rPr>
        <w:t>107</w:t>
      </w:r>
    </w:p>
    <w:p>
      <w:pPr>
        <w:ind w:left="568" w:right="0"/>
        <w:tabs>
          <w:tab w:val="right" w:leader="dot" w:pos="9354"/>
        </w:tabs>
      </w:pPr>
      <w:r>
        <w:rPr>
          <w:sz w:val="20"/>
        </w:rPr>
        <w:t xml:space="preserve">B5.5 Test de sensibilité</w:t>
      </w:r>
      <w:r>
        <w:tab/>
      </w:r>
      <w:r>
        <w:rPr>
          <w:sz w:val="20"/>
        </w:rPr>
        <w:t>107</w:t>
      </w:r>
    </w:p>
    <w:p>
      <w:pPr>
        <w:ind w:left="568" w:right="0"/>
        <w:tabs>
          <w:tab w:val="right" w:leader="dot" w:pos="9354"/>
        </w:tabs>
      </w:pPr>
      <w:r>
        <w:rPr>
          <w:sz w:val="20"/>
        </w:rPr>
        <w:t xml:space="preserve">B5.6 Comparaison multi-scénarios</w:t>
      </w:r>
      <w:r>
        <w:tab/>
      </w:r>
      <w:r>
        <w:rPr>
          <w:sz w:val="20"/>
        </w:rPr>
        <w:t>107</w:t>
      </w:r>
    </w:p>
    <w:p>
      <w:pPr>
        <w:ind w:left="568" w:right="0"/>
        <w:tabs>
          <w:tab w:val="right" w:leader="dot" w:pos="9354"/>
        </w:tabs>
      </w:pPr>
      <w:r>
        <w:rPr>
          <w:sz w:val="20"/>
        </w:rPr>
        <w:t xml:space="preserve">B5.7 Rejeu à l'identique</w:t>
      </w:r>
      <w:r>
        <w:tab/>
      </w:r>
      <w:r>
        <w:rPr>
          <w:sz w:val="20"/>
        </w:rPr>
        <w:t>108</w:t>
      </w:r>
    </w:p>
    <w:p>
      <w:pPr>
        <w:ind w:left="568" w:right="0"/>
        <w:tabs>
          <w:tab w:val="right" w:leader="dot" w:pos="9354"/>
        </w:tabs>
      </w:pPr>
      <w:r>
        <w:rPr>
          <w:sz w:val="20"/>
        </w:rPr>
        <w:t xml:space="preserve">B5.8 Enchaînements entre modèles</w:t>
      </w:r>
      <w:r>
        <w:tab/>
      </w:r>
      <w:r>
        <w:rPr>
          <w:sz w:val="20"/>
        </w:rPr>
        <w:t>108</w:t>
      </w:r>
    </w:p>
    <w:p>
      <w:pPr>
        <w:ind w:left="284" w:right="0"/>
        <w:tabs>
          <w:tab w:val="right" w:leader="dot" w:pos="9354"/>
        </w:tabs>
      </w:pPr>
      <w:r>
        <w:rPr>
          <w:sz w:val="20"/>
        </w:rPr>
        <w:t xml:space="preserve">B6. Contrôles de cohérence et calibrage</w:t>
      </w:r>
      <w:r>
        <w:tab/>
      </w:r>
      <w:r>
        <w:rPr>
          <w:sz w:val="20"/>
        </w:rPr>
        <w:t>108</w:t>
      </w:r>
    </w:p>
    <w:p>
      <w:pPr>
        <w:ind w:left="568" w:right="0"/>
        <w:tabs>
          <w:tab w:val="right" w:leader="dot" w:pos="9354"/>
        </w:tabs>
      </w:pPr>
      <w:r>
        <w:rPr>
          <w:sz w:val="20"/>
        </w:rPr>
        <w:t xml:space="preserve">B6.1 Batterie exigée pour les modèles d'équilibre général</w:t>
      </w:r>
      <w:r>
        <w:tab/>
      </w:r>
      <w:r>
        <w:rPr>
          <w:sz w:val="20"/>
        </w:rPr>
        <w:t>108</w:t>
      </w:r>
    </w:p>
    <w:p>
      <w:pPr>
        <w:ind w:left="568" w:right="0"/>
        <w:tabs>
          <w:tab w:val="right" w:leader="dot" w:pos="9354"/>
        </w:tabs>
      </w:pPr>
      <w:r>
        <w:rPr>
          <w:sz w:val="20"/>
        </w:rPr>
        <w:t xml:space="preserve">B6.2 Familles B et C</w:t>
      </w:r>
      <w:r>
        <w:tab/>
      </w:r>
      <w:r>
        <w:rPr>
          <w:sz w:val="20"/>
        </w:rPr>
        <w:t>109</w:t>
      </w:r>
    </w:p>
    <w:p>
      <w:pPr>
        <w:ind w:left="568" w:right="0"/>
        <w:tabs>
          <w:tab w:val="right" w:leader="dot" w:pos="9354"/>
        </w:tabs>
      </w:pPr>
      <w:r>
        <w:rPr>
          <w:sz w:val="20"/>
        </w:rPr>
        <w:t xml:space="preserve">B6.3 Comportement en cas d'échec</w:t>
      </w:r>
      <w:r>
        <w:tab/>
      </w:r>
      <w:r>
        <w:rPr>
          <w:sz w:val="20"/>
        </w:rPr>
        <w:t>109</w:t>
      </w:r>
    </w:p>
    <w:p>
      <w:pPr>
        <w:ind w:left="568" w:right="0"/>
        <w:tabs>
          <w:tab w:val="right" w:leader="dot" w:pos="9354"/>
        </w:tabs>
      </w:pPr>
      <w:r>
        <w:rPr>
          <w:sz w:val="20"/>
        </w:rPr>
        <w:t xml:space="preserve">B6.4 Tolérances</w:t>
      </w:r>
      <w:r>
        <w:tab/>
      </w:r>
      <w:r>
        <w:rPr>
          <w:sz w:val="20"/>
        </w:rPr>
        <w:t>109</w:t>
      </w:r>
    </w:p>
    <w:p>
      <w:pPr>
        <w:ind w:left="568" w:right="0"/>
        <w:tabs>
          <w:tab w:val="right" w:leader="dot" w:pos="9354"/>
        </w:tabs>
      </w:pPr>
      <w:r>
        <w:rPr>
          <w:sz w:val="20"/>
        </w:rPr>
        <w:t xml:space="preserve">B6.5 Quotas d'exécution</w:t>
      </w:r>
      <w:r>
        <w:tab/>
      </w:r>
      <w:r>
        <w:rPr>
          <w:sz w:val="20"/>
        </w:rPr>
        <w:t>109</w:t>
      </w:r>
    </w:p>
    <w:p>
      <w:pPr>
        <w:ind w:left="284" w:right="0"/>
        <w:tabs>
          <w:tab w:val="right" w:leader="dot" w:pos="9354"/>
        </w:tabs>
      </w:pPr>
      <w:r>
        <w:rPr>
          <w:sz w:val="20"/>
        </w:rPr>
        <w:t xml:space="preserve">B7. Restitution, interface assistée et rapports</w:t>
      </w:r>
      <w:r>
        <w:tab/>
      </w:r>
      <w:r>
        <w:rPr>
          <w:sz w:val="20"/>
        </w:rPr>
        <w:t>109</w:t>
      </w:r>
    </w:p>
    <w:p>
      <w:pPr>
        <w:ind w:left="568" w:right="0"/>
        <w:tabs>
          <w:tab w:val="right" w:leader="dot" w:pos="9354"/>
        </w:tabs>
      </w:pPr>
      <w:r>
        <w:rPr>
          <w:sz w:val="20"/>
        </w:rPr>
        <w:t xml:space="preserve">B7.1 Socle d'indicateurs</w:t>
      </w:r>
      <w:r>
        <w:tab/>
      </w:r>
      <w:r>
        <w:rPr>
          <w:sz w:val="20"/>
        </w:rPr>
        <w:t>109</w:t>
      </w:r>
    </w:p>
    <w:p>
      <w:pPr>
        <w:ind w:left="568" w:right="0"/>
        <w:tabs>
          <w:tab w:val="right" w:leader="dot" w:pos="9354"/>
        </w:tabs>
      </w:pPr>
      <w:r>
        <w:rPr>
          <w:sz w:val="20"/>
        </w:rPr>
        <w:t xml:space="preserve">B7.2 Présentation</w:t>
      </w:r>
      <w:r>
        <w:tab/>
      </w:r>
      <w:r>
        <w:rPr>
          <w:sz w:val="20"/>
        </w:rPr>
        <w:t>109</w:t>
      </w:r>
    </w:p>
    <w:p>
      <w:pPr>
        <w:ind w:left="568" w:right="0"/>
        <w:tabs>
          <w:tab w:val="right" w:leader="dot" w:pos="9354"/>
        </w:tabs>
      </w:pPr>
      <w:r>
        <w:rPr>
          <w:sz w:val="20"/>
        </w:rPr>
        <w:t xml:space="preserve">B7.3 Interface assistée</w:t>
      </w:r>
      <w:r>
        <w:tab/>
      </w:r>
      <w:r>
        <w:rPr>
          <w:sz w:val="20"/>
        </w:rPr>
        <w:t>110</w:t>
      </w:r>
    </w:p>
    <w:p>
      <w:pPr>
        <w:ind w:left="568" w:right="0"/>
        <w:tabs>
          <w:tab w:val="right" w:leader="dot" w:pos="9354"/>
        </w:tabs>
      </w:pPr>
      <w:r>
        <w:rPr>
          <w:sz w:val="20"/>
        </w:rPr>
        <w:t xml:space="preserve">B7.4 Copilote d'administration des modèles</w:t>
      </w:r>
      <w:r>
        <w:tab/>
      </w:r>
      <w:r>
        <w:rPr>
          <w:sz w:val="20"/>
        </w:rPr>
        <w:t>110</w:t>
      </w:r>
    </w:p>
    <w:p>
      <w:pPr>
        <w:ind w:left="568" w:right="0"/>
        <w:tabs>
          <w:tab w:val="right" w:leader="dot" w:pos="9354"/>
        </w:tabs>
      </w:pPr>
      <w:r>
        <w:rPr>
          <w:sz w:val="20"/>
        </w:rPr>
        <w:t xml:space="preserve">B7.5 Rapports et livrables</w:t>
      </w:r>
      <w:r>
        <w:tab/>
      </w:r>
      <w:r>
        <w:rPr>
          <w:sz w:val="20"/>
        </w:rPr>
        <w:t>110</w:t>
      </w:r>
    </w:p>
    <w:p>
      <w:pPr>
        <w:ind w:left="284" w:right="0"/>
        <w:tabs>
          <w:tab w:val="right" w:leader="dot" w:pos="9354"/>
        </w:tabs>
      </w:pPr>
      <w:r>
        <w:rPr>
          <w:sz w:val="20"/>
        </w:rPr>
        <w:t xml:space="preserve">B8. Parcours utilisateur et écrans</w:t>
      </w:r>
      <w:r>
        <w:tab/>
      </w:r>
      <w:r>
        <w:rPr>
          <w:sz w:val="20"/>
        </w:rPr>
        <w:t>110</w:t>
      </w:r>
    </w:p>
    <w:p>
      <w:pPr>
        <w:ind w:left="568" w:right="0"/>
        <w:tabs>
          <w:tab w:val="right" w:leader="dot" w:pos="9354"/>
        </w:tabs>
      </w:pPr>
      <w:r>
        <w:rPr>
          <w:sz w:val="20"/>
        </w:rPr>
        <w:t xml:space="preserve">B8.1 Écrans analyste et décideur</w:t>
      </w:r>
      <w:r>
        <w:tab/>
      </w:r>
      <w:r>
        <w:rPr>
          <w:sz w:val="20"/>
        </w:rPr>
        <w:t>111</w:t>
      </w:r>
    </w:p>
    <w:p>
      <w:pPr>
        <w:ind w:left="568" w:right="0"/>
        <w:tabs>
          <w:tab w:val="right" w:leader="dot" w:pos="9354"/>
        </w:tabs>
      </w:pPr>
      <w:r>
        <w:rPr>
          <w:sz w:val="20"/>
        </w:rPr>
        <w:t xml:space="preserve">B8.2 Écrans administrateur et responsable de modèle</w:t>
      </w:r>
      <w:r>
        <w:tab/>
      </w:r>
      <w:r>
        <w:rPr>
          <w:sz w:val="20"/>
        </w:rPr>
        <w:t>114</w:t>
      </w:r>
    </w:p>
    <w:p>
      <w:pPr>
        <w:ind w:left="568" w:right="0"/>
        <w:tabs>
          <w:tab w:val="right" w:leader="dot" w:pos="9354"/>
        </w:tabs>
      </w:pPr>
      <w:r>
        <w:rPr>
          <w:sz w:val="20"/>
        </w:rPr>
        <w:t xml:space="preserve">B8.3 Écrans ajoutés en version 2.0</w:t>
      </w:r>
      <w:r>
        <w:tab/>
      </w:r>
      <w:r>
        <w:rPr>
          <w:sz w:val="20"/>
        </w:rPr>
        <w:t>117</w:t>
      </w:r>
    </w:p>
    <w:p>
      <w:pPr>
        <w:ind w:left="568" w:right="0"/>
        <w:tabs>
          <w:tab w:val="right" w:leader="dot" w:pos="9354"/>
        </w:tabs>
      </w:pPr>
      <w:r>
        <w:rPr>
          <w:sz w:val="20"/>
        </w:rPr>
        <w:t xml:space="preserve">B8.4 Règles d'interface transversales</w:t>
      </w:r>
      <w:r>
        <w:tab/>
      </w:r>
      <w:r>
        <w:rPr>
          <w:sz w:val="20"/>
        </w:rPr>
        <w:t>118</w:t>
      </w:r>
    </w:p>
    <w:p>
      <w:pPr>
        <w:ind w:left="284" w:right="0"/>
        <w:tabs>
          <w:tab w:val="right" w:leader="dot" w:pos="9354"/>
        </w:tabs>
      </w:pPr>
      <w:r>
        <w:rPr>
          <w:sz w:val="20"/>
        </w:rPr>
        <w:t xml:space="preserve">B9. Exigences fonctionnelles du domaine B</w:t>
      </w:r>
      <w:r>
        <w:tab/>
      </w:r>
      <w:r>
        <w:rPr>
          <w:sz w:val="20"/>
        </w:rPr>
        <w:t>118</w:t>
      </w:r>
    </w:p>
    <w:p>
      <w:pPr>
        <w:ind w:left="568" w:right="0"/>
        <w:tabs>
          <w:tab w:val="right" w:leader="dot" w:pos="9354"/>
        </w:tabs>
      </w:pPr>
      <w:r>
        <w:rPr>
          <w:sz w:val="20"/>
        </w:rPr>
        <w:t xml:space="preserve">B9.1 Référentiel des modèles et gestion des versions</w:t>
      </w:r>
      <w:r>
        <w:tab/>
      </w:r>
      <w:r>
        <w:rPr>
          <w:sz w:val="20"/>
        </w:rPr>
        <w:t>118</w:t>
      </w:r>
    </w:p>
    <w:p>
      <w:pPr>
        <w:ind w:left="568" w:right="0"/>
        <w:tabs>
          <w:tab w:val="right" w:leader="dot" w:pos="9354"/>
        </w:tabs>
      </w:pPr>
      <w:r>
        <w:rPr>
          <w:sz w:val="20"/>
        </w:rPr>
        <w:t xml:space="preserve">B9.2 Données et bases de référence</w:t>
      </w:r>
      <w:r>
        <w:tab/>
      </w:r>
      <w:r>
        <w:rPr>
          <w:sz w:val="20"/>
        </w:rPr>
        <w:t>119</w:t>
      </w:r>
    </w:p>
    <w:p>
      <w:pPr>
        <w:ind w:left="568" w:right="0"/>
        <w:tabs>
          <w:tab w:val="right" w:leader="dot" w:pos="9354"/>
        </w:tabs>
      </w:pPr>
      <w:r>
        <w:rPr>
          <w:sz w:val="20"/>
        </w:rPr>
        <w:t xml:space="preserve">B9.3 Exécution des modèles</w:t>
      </w:r>
      <w:r>
        <w:tab/>
      </w:r>
      <w:r>
        <w:rPr>
          <w:sz w:val="20"/>
        </w:rPr>
        <w:t>120</w:t>
      </w:r>
    </w:p>
    <w:p>
      <w:pPr>
        <w:ind w:left="568" w:right="0"/>
        <w:tabs>
          <w:tab w:val="right" w:leader="dot" w:pos="9354"/>
        </w:tabs>
      </w:pPr>
      <w:r>
        <w:rPr>
          <w:sz w:val="20"/>
        </w:rPr>
        <w:t xml:space="preserve">B9.4 Scénarios et chocs</w:t>
      </w:r>
      <w:r>
        <w:tab/>
      </w:r>
      <w:r>
        <w:rPr>
          <w:sz w:val="20"/>
        </w:rPr>
        <w:t>121</w:t>
      </w:r>
    </w:p>
    <w:p>
      <w:pPr>
        <w:ind w:left="568" w:right="0"/>
        <w:tabs>
          <w:tab w:val="right" w:leader="dot" w:pos="9354"/>
        </w:tabs>
      </w:pPr>
      <w:r>
        <w:rPr>
          <w:sz w:val="20"/>
        </w:rPr>
        <w:t xml:space="preserve">B9.5 Contrôles de cohérence et de calibrage</w:t>
      </w:r>
      <w:r>
        <w:tab/>
      </w:r>
      <w:r>
        <w:rPr>
          <w:sz w:val="20"/>
        </w:rPr>
        <w:t>122</w:t>
      </w:r>
    </w:p>
    <w:p>
      <w:pPr>
        <w:ind w:left="568" w:right="0"/>
        <w:tabs>
          <w:tab w:val="right" w:leader="dot" w:pos="9354"/>
        </w:tabs>
      </w:pPr>
      <w:r>
        <w:rPr>
          <w:sz w:val="20"/>
        </w:rPr>
        <w:t xml:space="preserve">B9.6 Restitution des résultats</w:t>
      </w:r>
      <w:r>
        <w:tab/>
      </w:r>
      <w:r>
        <w:rPr>
          <w:sz w:val="20"/>
        </w:rPr>
        <w:t>123</w:t>
      </w:r>
    </w:p>
    <w:p>
      <w:pPr>
        <w:ind w:left="568" w:right="0"/>
        <w:tabs>
          <w:tab w:val="right" w:leader="dot" w:pos="9354"/>
        </w:tabs>
      </w:pPr>
      <w:r>
        <w:rPr>
          <w:sz w:val="20"/>
        </w:rPr>
        <w:t xml:space="preserve">B9.7 Interface assistée par intelligence artificielle</w:t>
      </w:r>
      <w:r>
        <w:tab/>
      </w:r>
      <w:r>
        <w:rPr>
          <w:sz w:val="20"/>
        </w:rPr>
        <w:t>124</w:t>
      </w:r>
    </w:p>
    <w:p>
      <w:pPr>
        <w:ind w:left="568" w:right="0"/>
        <w:tabs>
          <w:tab w:val="right" w:leader="dot" w:pos="9354"/>
        </w:tabs>
      </w:pPr>
      <w:r>
        <w:rPr>
          <w:sz w:val="20"/>
        </w:rPr>
        <w:t xml:space="preserve">B9.8 Copilote d'administration des modèles</w:t>
      </w:r>
      <w:r>
        <w:tab/>
      </w:r>
      <w:r>
        <w:rPr>
          <w:sz w:val="20"/>
        </w:rPr>
        <w:t>125</w:t>
      </w:r>
    </w:p>
    <w:p>
      <w:pPr>
        <w:ind w:left="568" w:right="0"/>
        <w:tabs>
          <w:tab w:val="right" w:leader="dot" w:pos="9354"/>
        </w:tabs>
      </w:pPr>
      <w:r>
        <w:rPr>
          <w:sz w:val="20"/>
        </w:rPr>
        <w:t xml:space="preserve">B9.9 Enchaînements entre modèles</w:t>
      </w:r>
      <w:r>
        <w:tab/>
      </w:r>
      <w:r>
        <w:rPr>
          <w:sz w:val="20"/>
        </w:rPr>
        <w:t>125</w:t>
      </w:r>
    </w:p>
    <w:p>
      <w:pPr>
        <w:ind w:left="568" w:right="0"/>
        <w:tabs>
          <w:tab w:val="right" w:leader="dot" w:pos="9354"/>
        </w:tabs>
      </w:pPr>
      <w:r>
        <w:rPr>
          <w:sz w:val="20"/>
        </w:rPr>
        <w:t xml:space="preserve">B9.10 Rapports et livrables</w:t>
      </w:r>
      <w:r>
        <w:tab/>
      </w:r>
      <w:r>
        <w:rPr>
          <w:sz w:val="20"/>
        </w:rPr>
        <w:t>126</w:t>
      </w:r>
    </w:p>
    <w:p>
      <w:pPr>
        <w:ind w:left="568" w:right="0"/>
        <w:tabs>
          <w:tab w:val="right" w:leader="dot" w:pos="9354"/>
        </w:tabs>
      </w:pPr>
      <w:r>
        <w:rPr>
          <w:sz w:val="20"/>
        </w:rPr>
        <w:t xml:space="preserve">B9.11 Traçabilité, historique et partage</w:t>
      </w:r>
      <w:r>
        <w:tab/>
      </w:r>
      <w:r>
        <w:rPr>
          <w:sz w:val="20"/>
        </w:rPr>
        <w:t>126</w:t>
      </w:r>
    </w:p>
    <w:p>
      <w:pPr>
        <w:ind w:left="568" w:right="0"/>
        <w:tabs>
          <w:tab w:val="right" w:leader="dot" w:pos="9354"/>
        </w:tabs>
      </w:pPr>
      <w:r>
        <w:rPr>
          <w:sz w:val="20"/>
        </w:rPr>
        <w:t xml:space="preserve">B9.12 Fonctionnement sans IA et reproductibilité</w:t>
      </w:r>
      <w:r>
        <w:tab/>
      </w:r>
      <w:r>
        <w:rPr>
          <w:sz w:val="20"/>
        </w:rPr>
        <w:t>127</w:t>
      </w:r>
    </w:p>
    <w:p>
      <w:pPr>
        <w:spacing w:before="120"/>
        <w:ind w:left="0" w:right="0"/>
        <w:tabs>
          <w:tab w:val="right" w:leader="dot" w:pos="9354"/>
        </w:tabs>
      </w:pPr>
      <w:r>
        <w:rPr>
          <w:b/>
          <w:sz w:val="20"/>
        </w:rPr>
        <w:t xml:space="preserve">9. Exigences non fonctionnelles</w:t>
      </w:r>
      <w:r>
        <w:tab/>
      </w:r>
      <w:r>
        <w:rPr>
          <w:b/>
          <w:sz w:val="20"/>
        </w:rPr>
        <w:t>128</w:t>
      </w:r>
    </w:p>
    <w:p>
      <w:pPr>
        <w:ind w:left="568" w:right="0"/>
        <w:tabs>
          <w:tab w:val="right" w:leader="dot" w:pos="9354"/>
        </w:tabs>
      </w:pPr>
      <w:r>
        <w:rPr>
          <w:sz w:val="20"/>
        </w:rPr>
        <w:t xml:space="preserve">B9.13 Intégration d'un modèle au référentiel</w:t>
      </w:r>
      <w:r>
        <w:tab/>
      </w:r>
      <w:r>
        <w:rPr>
          <w:sz w:val="20"/>
        </w:rPr>
        <w:t>128</w:t>
      </w:r>
    </w:p>
    <w:p>
      <w:pPr>
        <w:ind w:left="568" w:right="0"/>
        <w:tabs>
          <w:tab w:val="right" w:leader="dot" w:pos="9354"/>
        </w:tabs>
      </w:pPr>
      <w:r>
        <w:rPr>
          <w:sz w:val="20"/>
        </w:rPr>
        <w:t xml:space="preserve">B9.14 Fonctions d'analyse</w:t>
      </w:r>
      <w:r>
        <w:tab/>
      </w:r>
      <w:r>
        <w:rPr>
          <w:sz w:val="20"/>
        </w:rPr>
        <w:t>129</w:t>
      </w:r>
    </w:p>
    <w:p>
      <w:pPr>
        <w:ind w:left="568" w:right="0"/>
        <w:tabs>
          <w:tab w:val="right" w:leader="dot" w:pos="9354"/>
        </w:tabs>
      </w:pPr>
      <w:r>
        <w:rPr>
          <w:sz w:val="20"/>
        </w:rPr>
        <w:t xml:space="preserve">B9.15 Données, séries et dictionnaire des variables</w:t>
      </w:r>
      <w:r>
        <w:tab/>
      </w:r>
      <w:r>
        <w:rPr>
          <w:sz w:val="20"/>
        </w:rPr>
        <w:t>129</w:t>
      </w:r>
    </w:p>
    <w:p>
      <w:pPr>
        <w:ind w:left="284" w:right="0"/>
        <w:tabs>
          <w:tab w:val="right" w:leader="dot" w:pos="9354"/>
        </w:tabs>
      </w:pPr>
      <w:r>
        <w:rPr>
          <w:sz w:val="20"/>
        </w:rPr>
        <w:t xml:space="preserve">B10. Contrat d'exécution des moteurs</w:t>
      </w:r>
      <w:r>
        <w:tab/>
      </w:r>
      <w:r>
        <w:rPr>
          <w:sz w:val="20"/>
        </w:rPr>
        <w:t>130</w:t>
      </w:r>
    </w:p>
    <w:p>
      <w:pPr>
        <w:ind w:left="568" w:right="0"/>
        <w:tabs>
          <w:tab w:val="right" w:leader="dot" w:pos="9354"/>
        </w:tabs>
      </w:pPr>
      <w:r>
        <w:rPr>
          <w:sz w:val="20"/>
        </w:rPr>
        <w:t xml:space="preserve">B10.1 Interface commune</w:t>
      </w:r>
      <w:r>
        <w:tab/>
      </w:r>
      <w:r>
        <w:rPr>
          <w:sz w:val="20"/>
        </w:rPr>
        <w:t>130</w:t>
      </w:r>
    </w:p>
    <w:p>
      <w:pPr>
        <w:ind w:left="568" w:right="0"/>
        <w:tabs>
          <w:tab w:val="right" w:leader="dot" w:pos="9354"/>
        </w:tabs>
      </w:pPr>
      <w:r>
        <w:rPr>
          <w:sz w:val="20"/>
        </w:rPr>
        <w:t xml:space="preserve">B10.2 Adaptateur GAMS</w:t>
      </w:r>
      <w:r>
        <w:tab/>
      </w:r>
      <w:r>
        <w:rPr>
          <w:sz w:val="20"/>
        </w:rPr>
        <w:t>130</w:t>
      </w:r>
    </w:p>
    <w:p>
      <w:pPr>
        <w:ind w:left="568" w:right="0"/>
        <w:tabs>
          <w:tab w:val="right" w:leader="dot" w:pos="9354"/>
        </w:tabs>
      </w:pPr>
      <w:r>
        <w:rPr>
          <w:sz w:val="20"/>
        </w:rPr>
        <w:t xml:space="preserve">B10.3 Adaptateur Python</w:t>
      </w:r>
      <w:r>
        <w:tab/>
      </w:r>
      <w:r>
        <w:rPr>
          <w:sz w:val="20"/>
        </w:rPr>
        <w:t>131</w:t>
      </w:r>
    </w:p>
    <w:p>
      <w:pPr>
        <w:ind w:left="568" w:right="0"/>
        <w:tabs>
          <w:tab w:val="right" w:leader="dot" w:pos="9354"/>
        </w:tabs>
      </w:pPr>
      <w:r>
        <w:rPr>
          <w:sz w:val="20"/>
        </w:rPr>
        <w:t xml:space="preserve">B10.4 Adaptateur Excel</w:t>
      </w:r>
      <w:r>
        <w:tab/>
      </w:r>
      <w:r>
        <w:rPr>
          <w:sz w:val="20"/>
        </w:rPr>
        <w:t>131</w:t>
      </w:r>
    </w:p>
    <w:p>
      <w:pPr>
        <w:ind w:left="568" w:right="0"/>
        <w:tabs>
          <w:tab w:val="right" w:leader="dot" w:pos="9354"/>
        </w:tabs>
      </w:pPr>
      <w:r>
        <w:rPr>
          <w:sz w:val="20"/>
        </w:rPr>
        <w:t xml:space="preserve">B10.5 File d'exécution et concurrence</w:t>
      </w:r>
      <w:r>
        <w:tab/>
      </w:r>
      <w:r>
        <w:rPr>
          <w:sz w:val="20"/>
        </w:rPr>
        <w:t>131</w:t>
      </w:r>
    </w:p>
    <w:p>
      <w:pPr>
        <w:ind w:left="568" w:right="0"/>
        <w:tabs>
          <w:tab w:val="right" w:leader="dot" w:pos="9354"/>
        </w:tabs>
      </w:pPr>
      <w:r>
        <w:rPr>
          <w:sz w:val="20"/>
        </w:rPr>
        <w:t xml:space="preserve">B10.6 Isolation et plafonds</w:t>
      </w:r>
      <w:r>
        <w:tab/>
      </w:r>
      <w:r>
        <w:rPr>
          <w:sz w:val="20"/>
        </w:rPr>
        <w:t>131</w:t>
      </w:r>
    </w:p>
    <w:p>
      <w:pPr>
        <w:ind w:left="284" w:right="0"/>
        <w:tabs>
          <w:tab w:val="right" w:leader="dot" w:pos="9354"/>
        </w:tabs>
      </w:pPr>
      <w:r>
        <w:rPr>
          <w:sz w:val="20"/>
        </w:rPr>
        <w:t xml:space="preserve">B11. Couche d'intelligence artificielle</w:t>
      </w:r>
      <w:r>
        <w:tab/>
      </w:r>
      <w:r>
        <w:rPr>
          <w:sz w:val="20"/>
        </w:rPr>
        <w:t>132</w:t>
      </w:r>
    </w:p>
    <w:p>
      <w:pPr>
        <w:ind w:left="568" w:right="0"/>
        <w:tabs>
          <w:tab w:val="right" w:leader="dot" w:pos="9354"/>
        </w:tabs>
      </w:pPr>
      <w:r>
        <w:rPr>
          <w:sz w:val="20"/>
        </w:rPr>
        <w:t xml:space="preserve">B11.1 Périmètre</w:t>
      </w:r>
      <w:r>
        <w:tab/>
      </w:r>
      <w:r>
        <w:rPr>
          <w:sz w:val="20"/>
        </w:rPr>
        <w:t>132</w:t>
      </w:r>
    </w:p>
    <w:p>
      <w:pPr>
        <w:ind w:left="568" w:right="0"/>
        <w:tabs>
          <w:tab w:val="right" w:leader="dot" w:pos="9354"/>
        </w:tabs>
      </w:pPr>
      <w:r>
        <w:rPr>
          <w:sz w:val="20"/>
        </w:rPr>
        <w:t xml:space="preserve">B11.2 Contrats de sortie</w:t>
      </w:r>
      <w:r>
        <w:tab/>
      </w:r>
      <w:r>
        <w:rPr>
          <w:sz w:val="20"/>
        </w:rPr>
        <w:t>132</w:t>
      </w:r>
    </w:p>
    <w:p>
      <w:pPr>
        <w:ind w:left="568" w:right="0"/>
        <w:tabs>
          <w:tab w:val="right" w:leader="dot" w:pos="9354"/>
        </w:tabs>
      </w:pPr>
      <w:r>
        <w:rPr>
          <w:sz w:val="20"/>
        </w:rPr>
        <w:t xml:space="preserve">B11.3 Garde-fous</w:t>
      </w:r>
      <w:r>
        <w:tab/>
      </w:r>
      <w:r>
        <w:rPr>
          <w:sz w:val="20"/>
        </w:rPr>
        <w:t>133</w:t>
      </w:r>
    </w:p>
    <w:p>
      <w:pPr>
        <w:ind w:left="568" w:right="0"/>
        <w:tabs>
          <w:tab w:val="right" w:leader="dot" w:pos="9354"/>
        </w:tabs>
      </w:pPr>
      <w:r>
        <w:rPr>
          <w:sz w:val="20"/>
        </w:rPr>
        <w:t xml:space="preserve">B11.4 Mode expert, sans IA</w:t>
      </w:r>
      <w:r>
        <w:tab/>
      </w:r>
      <w:r>
        <w:rPr>
          <w:sz w:val="20"/>
        </w:rPr>
        <w:t>133</w:t>
      </w:r>
    </w:p>
    <w:p>
      <w:pPr>
        <w:ind w:left="568" w:right="0"/>
        <w:tabs>
          <w:tab w:val="right" w:leader="dot" w:pos="9354"/>
        </w:tabs>
      </w:pPr>
      <w:r>
        <w:rPr>
          <w:sz w:val="20"/>
        </w:rPr>
        <w:t xml:space="preserve">B11.5 Tests de la couche IA</w:t>
      </w:r>
      <w:r>
        <w:tab/>
      </w:r>
      <w:r>
        <w:rPr>
          <w:sz w:val="20"/>
        </w:rPr>
        <w:t>134</w:t>
      </w:r>
    </w:p>
    <w:p>
      <w:pPr>
        <w:spacing w:before="120"/>
        <w:ind w:left="0" w:right="0"/>
        <w:tabs>
          <w:tab w:val="right" w:leader="dot" w:pos="9354"/>
        </w:tabs>
      </w:pPr>
      <w:r>
        <w:rPr>
          <w:b/>
          <w:sz w:val="20"/>
        </w:rPr>
        <w:t xml:space="preserve">21. Parcours utilisateur et écrans</w:t>
      </w:r>
      <w:r>
        <w:tab/>
      </w:r>
      <w:r>
        <w:rPr>
          <w:b/>
          <w:sz w:val="20"/>
        </w:rPr>
        <w:t>134</w:t>
      </w:r>
    </w:p>
    <w:p>
      <w:pPr>
        <w:ind w:left="284" w:right="0"/>
        <w:tabs>
          <w:tab w:val="right" w:leader="dot" w:pos="9354"/>
        </w:tabs>
      </w:pPr>
      <w:r>
        <w:rPr>
          <w:sz w:val="20"/>
        </w:rPr>
        <w:t xml:space="preserve">21.1 Écrans analyste et décideur</w:t>
      </w:r>
      <w:r>
        <w:tab/>
      </w:r>
      <w:r>
        <w:rPr>
          <w:sz w:val="20"/>
        </w:rPr>
        <w:t>134</w:t>
      </w:r>
    </w:p>
    <w:p>
      <w:pPr>
        <w:ind w:left="284" w:right="0"/>
        <w:tabs>
          <w:tab w:val="right" w:leader="dot" w:pos="9354"/>
        </w:tabs>
      </w:pPr>
      <w:r>
        <w:rPr>
          <w:sz w:val="20"/>
        </w:rPr>
        <w:t xml:space="preserve">B12. Règles de gestion, formats et conventions</w:t>
      </w:r>
      <w:r>
        <w:tab/>
      </w:r>
      <w:r>
        <w:rPr>
          <w:sz w:val="20"/>
        </w:rPr>
        <w:t>134</w:t>
      </w:r>
    </w:p>
    <w:p>
      <w:pPr>
        <w:ind w:left="568" w:right="0"/>
        <w:tabs>
          <w:tab w:val="right" w:leader="dot" w:pos="9354"/>
        </w:tabs>
      </w:pPr>
      <w:r>
        <w:rPr>
          <w:sz w:val="20"/>
        </w:rPr>
        <w:t xml:space="preserve">B12.1 Unités, précision et affichage</w:t>
      </w:r>
      <w:r>
        <w:tab/>
      </w:r>
      <w:r>
        <w:rPr>
          <w:sz w:val="20"/>
        </w:rPr>
        <w:t>134</w:t>
      </w:r>
    </w:p>
    <w:p>
      <w:pPr>
        <w:ind w:left="568" w:right="0"/>
        <w:tabs>
          <w:tab w:val="right" w:leader="dot" w:pos="9354"/>
        </w:tabs>
      </w:pPr>
      <w:r>
        <w:rPr>
          <w:sz w:val="20"/>
        </w:rPr>
        <w:t xml:space="preserve">B12.2 Nommage</w:t>
      </w:r>
      <w:r>
        <w:tab/>
      </w:r>
      <w:r>
        <w:rPr>
          <w:sz w:val="20"/>
        </w:rPr>
        <w:t>134</w:t>
      </w:r>
    </w:p>
    <w:p>
      <w:pPr>
        <w:ind w:left="568" w:right="0"/>
        <w:tabs>
          <w:tab w:val="right" w:leader="dot" w:pos="9354"/>
        </w:tabs>
      </w:pPr>
      <w:r>
        <w:rPr>
          <w:sz w:val="20"/>
        </w:rPr>
        <w:t xml:space="preserve">B12.3 Formats d'import</w:t>
      </w:r>
      <w:r>
        <w:tab/>
      </w:r>
      <w:r>
        <w:rPr>
          <w:sz w:val="20"/>
        </w:rPr>
        <w:t>135</w:t>
      </w:r>
    </w:p>
    <w:p>
      <w:pPr>
        <w:ind w:left="568" w:right="0"/>
        <w:tabs>
          <w:tab w:val="right" w:leader="dot" w:pos="9354"/>
        </w:tabs>
      </w:pPr>
      <w:r>
        <w:rPr>
          <w:sz w:val="20"/>
        </w:rPr>
        <w:t xml:space="preserve">B12.4 Règles de gestion</w:t>
      </w:r>
      <w:r>
        <w:tab/>
      </w:r>
      <w:r>
        <w:rPr>
          <w:sz w:val="20"/>
        </w:rPr>
        <w:t>135</w:t>
      </w:r>
    </w:p>
    <w:p>
      <w:pPr>
        <w:ind w:left="568" w:right="0"/>
        <w:tabs>
          <w:tab w:val="right" w:leader="dot" w:pos="9354"/>
        </w:tabs>
      </w:pPr>
      <w:r>
        <w:rPr>
          <w:sz w:val="20"/>
        </w:rPr>
        <w:t xml:space="preserve">B12.5 Configuration et secrets</w:t>
      </w:r>
      <w:r>
        <w:tab/>
      </w:r>
      <w:r>
        <w:rPr>
          <w:sz w:val="20"/>
        </w:rPr>
        <w:t>135</w:t>
      </w:r>
    </w:p>
    <w:p>
      <w:pPr>
        <w:ind w:left="284" w:right="0"/>
        <w:tabs>
          <w:tab w:val="right" w:leader="dot" w:pos="9354"/>
        </w:tabs>
      </w:pPr>
      <w:r>
        <w:rPr>
          <w:sz w:val="20"/>
        </w:rPr>
        <w:t xml:space="preserve">B13. Critères de réception et hors périmètre</w:t>
      </w:r>
      <w:r>
        <w:tab/>
      </w:r>
      <w:r>
        <w:rPr>
          <w:sz w:val="20"/>
        </w:rPr>
        <w:t>136</w:t>
      </w:r>
    </w:p>
    <w:p>
      <w:pPr>
        <w:ind w:left="568" w:right="0"/>
        <w:tabs>
          <w:tab w:val="right" w:leader="dot" w:pos="9354"/>
        </w:tabs>
      </w:pPr>
      <w:r>
        <w:rPr>
          <w:sz w:val="20"/>
        </w:rPr>
        <w:t xml:space="preserve">B13.1 Critères de réception</w:t>
      </w:r>
      <w:r>
        <w:tab/>
      </w:r>
      <w:r>
        <w:rPr>
          <w:sz w:val="20"/>
        </w:rPr>
        <w:t>136</w:t>
      </w:r>
    </w:p>
    <w:p>
      <w:pPr>
        <w:ind w:left="568" w:right="0"/>
        <w:tabs>
          <w:tab w:val="right" w:leader="dot" w:pos="9354"/>
        </w:tabs>
      </w:pPr>
      <w:r>
        <w:rPr>
          <w:sz w:val="20"/>
        </w:rPr>
        <w:t xml:space="preserve">B13.2 Hors périmètre</w:t>
      </w:r>
      <w:r>
        <w:tab/>
      </w:r>
      <w:r>
        <w:rPr>
          <w:sz w:val="20"/>
        </w:rPr>
        <w:t>137</w:t>
      </w:r>
    </w:p>
    <w:p>
      <w:pPr>
        <w:spacing w:before="120"/>
        <w:ind w:left="0" w:right="0"/>
        <w:tabs>
          <w:tab w:val="right" w:leader="dot" w:pos="9354"/>
        </w:tabs>
      </w:pPr>
      <w:r>
        <w:rPr>
          <w:b/>
          <w:sz w:val="20"/>
        </w:rPr>
        <w:t xml:space="preserve">Annexes</w:t>
      </w:r>
      <w:r>
        <w:tab/>
      </w:r>
      <w:r>
        <w:rPr>
          <w:b/>
          <w:sz w:val="20"/>
        </w:rPr>
        <w:t>139</w:t>
      </w:r>
    </w:p>
    <w:p>
      <w:pPr>
        <w:ind w:left="284" w:right="0"/>
        <w:tabs>
          <w:tab w:val="right" w:leader="dot" w:pos="9354"/>
        </w:tabs>
      </w:pPr>
      <w:r>
        <w:rPr>
          <w:sz w:val="20"/>
        </w:rPr>
        <w:t xml:space="preserve">Annexe 1 — Matrice des habilitations</w:t>
      </w:r>
      <w:r>
        <w:tab/>
      </w:r>
      <w:r>
        <w:rPr>
          <w:sz w:val="20"/>
        </w:rPr>
        <w:t>139</w:t>
      </w:r>
    </w:p>
    <w:p>
      <w:pPr>
        <w:ind w:left="568" w:right="0"/>
        <w:tabs>
          <w:tab w:val="right" w:leader="dot" w:pos="9354"/>
        </w:tabs>
      </w:pPr>
      <w:r>
        <w:rPr>
          <w:sz w:val="20"/>
        </w:rPr>
        <w:t xml:space="preserve">1.1 Ligne hiérarchique</w:t>
      </w:r>
      <w:r>
        <w:tab/>
      </w:r>
      <w:r>
        <w:rPr>
          <w:sz w:val="20"/>
        </w:rPr>
        <w:t>139</w:t>
      </w:r>
    </w:p>
    <w:p>
      <w:pPr>
        <w:ind w:left="568" w:right="0"/>
        <w:tabs>
          <w:tab w:val="right" w:leader="dot" w:pos="9354"/>
        </w:tabs>
      </w:pPr>
      <w:r>
        <w:rPr>
          <w:sz w:val="20"/>
        </w:rPr>
        <w:t xml:space="preserve">1.2 Rôles de gestion et d'administration</w:t>
      </w:r>
      <w:r>
        <w:tab/>
      </w:r>
      <w:r>
        <w:rPr>
          <w:sz w:val="20"/>
        </w:rPr>
        <w:t>140</w:t>
      </w:r>
    </w:p>
    <w:p>
      <w:pPr>
        <w:ind w:left="568" w:right="0"/>
        <w:tabs>
          <w:tab w:val="right" w:leader="dot" w:pos="9354"/>
        </w:tabs>
      </w:pPr>
      <w:r>
        <w:rPr>
          <w:sz w:val="20"/>
        </w:rPr>
        <w:t xml:space="preserve">1.3 Objets du domaine modélisation</w:t>
      </w:r>
      <w:r>
        <w:tab/>
      </w:r>
      <w:r>
        <w:rPr>
          <w:sz w:val="20"/>
        </w:rPr>
        <w:t>141</w:t>
      </w:r>
    </w:p>
    <w:p>
      <w:pPr>
        <w:ind w:left="568" w:right="0"/>
        <w:tabs>
          <w:tab w:val="right" w:leader="dot" w:pos="9354"/>
        </w:tabs>
      </w:pPr>
      <w:r>
        <w:rPr>
          <w:sz w:val="20"/>
        </w:rPr>
        <w:t xml:space="preserve">1.4 Assistant DN/DNA et objets ajoutés en version 2.0</w:t>
      </w:r>
      <w:r>
        <w:tab/>
      </w:r>
      <w:r>
        <w:rPr>
          <w:sz w:val="20"/>
        </w:rPr>
        <w:t>142</w:t>
      </w:r>
    </w:p>
    <w:p>
      <w:pPr>
        <w:ind w:left="284" w:right="0"/>
        <w:tabs>
          <w:tab w:val="right" w:leader="dot" w:pos="9354"/>
        </w:tabs>
      </w:pPr>
      <w:r>
        <w:rPr>
          <w:sz w:val="20"/>
        </w:rPr>
        <w:t xml:space="preserve">Annexe 2 — Dictionnaire des objets et machines à états</w:t>
      </w:r>
      <w:r>
        <w:tab/>
      </w:r>
      <w:r>
        <w:rPr>
          <w:sz w:val="20"/>
        </w:rPr>
        <w:t>143</w:t>
      </w:r>
    </w:p>
    <w:p>
      <w:pPr>
        <w:ind w:left="568" w:right="0"/>
        <w:tabs>
          <w:tab w:val="right" w:leader="dot" w:pos="9354"/>
        </w:tabs>
      </w:pPr>
      <w:r>
        <w:rPr>
          <w:sz w:val="20"/>
        </w:rPr>
        <w:t xml:space="preserve">2.1 Unité organisationnelle</w:t>
      </w:r>
      <w:r>
        <w:tab/>
      </w:r>
      <w:r>
        <w:rPr>
          <w:sz w:val="20"/>
        </w:rPr>
        <w:t>143</w:t>
      </w:r>
    </w:p>
    <w:p>
      <w:pPr>
        <w:ind w:left="568" w:right="0"/>
        <w:tabs>
          <w:tab w:val="right" w:leader="dot" w:pos="9354"/>
        </w:tabs>
      </w:pPr>
      <w:r>
        <w:rPr>
          <w:sz w:val="20"/>
        </w:rPr>
        <w:t xml:space="preserve">2.2 Agent</w:t>
      </w:r>
      <w:r>
        <w:tab/>
      </w:r>
      <w:r>
        <w:rPr>
          <w:sz w:val="20"/>
        </w:rPr>
        <w:t>144</w:t>
      </w:r>
    </w:p>
    <w:p>
      <w:pPr>
        <w:ind w:left="568" w:right="0"/>
        <w:tabs>
          <w:tab w:val="right" w:leader="dot" w:pos="9354"/>
        </w:tabs>
      </w:pPr>
      <w:r>
        <w:rPr>
          <w:sz w:val="20"/>
        </w:rPr>
        <w:t xml:space="preserve">2.3 Compte utilisateur</w:t>
      </w:r>
      <w:r>
        <w:tab/>
      </w:r>
      <w:r>
        <w:rPr>
          <w:sz w:val="20"/>
        </w:rPr>
        <w:t>144</w:t>
      </w:r>
    </w:p>
    <w:p>
      <w:pPr>
        <w:ind w:left="568" w:right="0"/>
        <w:tabs>
          <w:tab w:val="right" w:leader="dot" w:pos="9354"/>
        </w:tabs>
      </w:pPr>
      <w:r>
        <w:rPr>
          <w:sz w:val="20"/>
        </w:rPr>
        <w:t xml:space="preserve">2.4 Activité (plan de travail)</w:t>
      </w:r>
      <w:r>
        <w:tab/>
      </w:r>
      <w:r>
        <w:rPr>
          <w:sz w:val="20"/>
        </w:rPr>
        <w:t>144</w:t>
      </w:r>
    </w:p>
    <w:p>
      <w:pPr>
        <w:ind w:left="568" w:right="0"/>
        <w:tabs>
          <w:tab w:val="right" w:leader="dot" w:pos="9354"/>
        </w:tabs>
      </w:pPr>
      <w:r>
        <w:rPr>
          <w:sz w:val="20"/>
        </w:rPr>
        <w:t xml:space="preserve">2.5 Tâche</w:t>
      </w:r>
      <w:r>
        <w:tab/>
      </w:r>
      <w:r>
        <w:rPr>
          <w:sz w:val="20"/>
        </w:rPr>
        <w:t>144</w:t>
      </w:r>
    </w:p>
    <w:p>
      <w:pPr>
        <w:ind w:left="568" w:right="0"/>
        <w:tabs>
          <w:tab w:val="right" w:leader="dot" w:pos="9354"/>
        </w:tabs>
      </w:pPr>
      <w:r>
        <w:rPr>
          <w:sz w:val="20"/>
        </w:rPr>
        <w:t xml:space="preserve">2.6 Réunion, décision et action</w:t>
      </w:r>
      <w:r>
        <w:tab/>
      </w:r>
      <w:r>
        <w:rPr>
          <w:sz w:val="20"/>
        </w:rPr>
        <w:t>144</w:t>
      </w:r>
    </w:p>
    <w:p>
      <w:pPr>
        <w:ind w:left="568" w:right="0"/>
        <w:tabs>
          <w:tab w:val="right" w:leader="dot" w:pos="9354"/>
        </w:tabs>
      </w:pPr>
      <w:r>
        <w:rPr>
          <w:sz w:val="20"/>
        </w:rPr>
        <w:t xml:space="preserve">2.7 Demande d'absence</w:t>
      </w:r>
      <w:r>
        <w:tab/>
      </w:r>
      <w:r>
        <w:rPr>
          <w:sz w:val="20"/>
        </w:rPr>
        <w:t>144</w:t>
      </w:r>
    </w:p>
    <w:p>
      <w:pPr>
        <w:ind w:left="568" w:right="0"/>
        <w:tabs>
          <w:tab w:val="right" w:leader="dot" w:pos="9354"/>
        </w:tabs>
      </w:pPr>
      <w:r>
        <w:rPr>
          <w:sz w:val="20"/>
        </w:rPr>
        <w:t xml:space="preserve">2.8 Plan de rotation et rotation</w:t>
      </w:r>
      <w:r>
        <w:tab/>
      </w:r>
      <w:r>
        <w:rPr>
          <w:sz w:val="20"/>
        </w:rPr>
        <w:t>145</w:t>
      </w:r>
    </w:p>
    <w:p>
      <w:pPr>
        <w:ind w:left="568" w:right="0"/>
        <w:tabs>
          <w:tab w:val="right" w:leader="dot" w:pos="9354"/>
        </w:tabs>
      </w:pPr>
      <w:r>
        <w:rPr>
          <w:sz w:val="20"/>
        </w:rPr>
        <w:t xml:space="preserve">2.9 Rapport de stage et attestation</w:t>
      </w:r>
      <w:r>
        <w:tab/>
      </w:r>
      <w:r>
        <w:rPr>
          <w:sz w:val="20"/>
        </w:rPr>
        <w:t>145</w:t>
      </w:r>
    </w:p>
    <w:p>
      <w:pPr>
        <w:ind w:left="568" w:right="0"/>
        <w:tabs>
          <w:tab w:val="right" w:leader="dot" w:pos="9354"/>
        </w:tabs>
      </w:pPr>
      <w:r>
        <w:rPr>
          <w:sz w:val="20"/>
        </w:rPr>
        <w:t xml:space="preserve">2.10 Campagne de paie et bulletin</w:t>
      </w:r>
      <w:r>
        <w:tab/>
      </w:r>
      <w:r>
        <w:rPr>
          <w:sz w:val="20"/>
        </w:rPr>
        <w:t>145</w:t>
      </w:r>
    </w:p>
    <w:p>
      <w:pPr>
        <w:ind w:left="568" w:right="0"/>
        <w:tabs>
          <w:tab w:val="right" w:leader="dot" w:pos="9354"/>
        </w:tabs>
      </w:pPr>
      <w:r>
        <w:rPr>
          <w:sz w:val="20"/>
        </w:rPr>
        <w:t xml:space="preserve">2.11 Instruction de la Direction</w:t>
      </w:r>
      <w:r>
        <w:tab/>
      </w:r>
      <w:r>
        <w:rPr>
          <w:sz w:val="20"/>
        </w:rPr>
        <w:t>145</w:t>
      </w:r>
    </w:p>
    <w:p>
      <w:pPr>
        <w:ind w:left="568" w:right="0"/>
        <w:tabs>
          <w:tab w:val="right" w:leader="dot" w:pos="9354"/>
        </w:tabs>
      </w:pPr>
      <w:r>
        <w:rPr>
          <w:sz w:val="20"/>
        </w:rPr>
        <w:t xml:space="preserve">2.12 Courrier et note de service</w:t>
      </w:r>
      <w:r>
        <w:tab/>
      </w:r>
      <w:r>
        <w:rPr>
          <w:sz w:val="20"/>
        </w:rPr>
        <w:t>145</w:t>
      </w:r>
    </w:p>
    <w:p>
      <w:pPr>
        <w:ind w:left="568" w:right="0"/>
        <w:tabs>
          <w:tab w:val="right" w:leader="dot" w:pos="9354"/>
        </w:tabs>
      </w:pPr>
      <w:r>
        <w:rPr>
          <w:sz w:val="20"/>
        </w:rPr>
        <w:t xml:space="preserve">2.13 Document</w:t>
      </w:r>
      <w:r>
        <w:tab/>
      </w:r>
      <w:r>
        <w:rPr>
          <w:sz w:val="20"/>
        </w:rPr>
        <w:t>145</w:t>
      </w:r>
    </w:p>
    <w:p>
      <w:pPr>
        <w:ind w:left="284" w:right="0"/>
        <w:tabs>
          <w:tab w:val="right" w:leader="dot" w:pos="9354"/>
        </w:tabs>
      </w:pPr>
      <w:r>
        <w:rPr>
          <w:sz w:val="20"/>
        </w:rPr>
        <w:t xml:space="preserve">Annexe 3 — Règles de gestion à écrire</w:t>
      </w:r>
      <w:r>
        <w:tab/>
      </w:r>
      <w:r>
        <w:rPr>
          <w:sz w:val="20"/>
        </w:rPr>
        <w:t>146</w:t>
      </w:r>
    </w:p>
    <w:p>
      <w:pPr>
        <w:ind w:left="568" w:right="0"/>
        <w:tabs>
          <w:tab w:val="right" w:leader="dot" w:pos="9354"/>
        </w:tabs>
      </w:pPr>
      <w:r>
        <w:rPr>
          <w:sz w:val="20"/>
        </w:rPr>
        <w:t xml:space="preserve">3.1 Règles ajoutées en version 2.1</w:t>
      </w:r>
      <w:r>
        <w:tab/>
      </w:r>
      <w:r>
        <w:rPr>
          <w:sz w:val="20"/>
        </w:rPr>
        <w:t>148</w:t>
      </w:r>
    </w:p>
    <w:p>
      <w:pPr>
        <w:ind w:left="284" w:right="0"/>
        <w:tabs>
          <w:tab w:val="right" w:leader="dot" w:pos="9354"/>
        </w:tabs>
      </w:pPr>
      <w:r>
        <w:rPr>
          <w:sz w:val="20"/>
        </w:rPr>
        <w:t xml:space="preserve">Annexe 4 — Référentiel des durées de conservation</w:t>
      </w:r>
      <w:r>
        <w:tab/>
      </w:r>
      <w:r>
        <w:rPr>
          <w:sz w:val="20"/>
        </w:rPr>
        <w:t>148</w:t>
      </w:r>
    </w:p>
    <w:p>
      <w:pPr>
        <w:ind w:left="568" w:right="0"/>
        <w:tabs>
          <w:tab w:val="right" w:leader="dot" w:pos="9354"/>
        </w:tabs>
      </w:pPr>
      <w:r>
        <w:rPr>
          <w:sz w:val="20"/>
        </w:rPr>
        <w:t xml:space="preserve">4.1 Objets ajoutés en version 2.1</w:t>
      </w:r>
      <w:r>
        <w:tab/>
      </w:r>
      <w:r>
        <w:rPr>
          <w:sz w:val="20"/>
        </w:rPr>
        <w:t>149</w:t>
      </w:r>
    </w:p>
    <w:p>
      <w:pPr>
        <w:ind w:left="284" w:right="0"/>
        <w:tabs>
          <w:tab w:val="right" w:leader="dot" w:pos="9354"/>
        </w:tabs>
      </w:pPr>
      <w:r>
        <w:rPr>
          <w:sz w:val="20"/>
        </w:rPr>
        <w:t xml:space="preserve">Annexe 5 — Valeurs par défaut et hypothèses du domaine B</w:t>
      </w:r>
      <w:r>
        <w:tab/>
      </w:r>
      <w:r>
        <w:rPr>
          <w:sz w:val="20"/>
        </w:rPr>
        <w:t>150</w:t>
      </w:r>
    </w:p>
    <w:p>
      <w:r>
        <w:br w:type="page"/>
      </w:r>
    </w:p>
    <w:p>
      <w:pPr>
        <w:pStyle w:val="Heading1"/>
      </w:pPr>
      <w:r>
        <w:t xml:space="preserve">Liste des figures</w:t>
      </w:r>
    </w:p>
    <w:p>
      <w:pPr>
        <w:ind w:left="284" w:right="0"/>
        <w:tabs>
          <w:tab w:val="right" w:leader="dot" w:pos="9354"/>
        </w:tabs>
      </w:pPr>
      <w:r>
        <w:rPr>
          <w:sz w:val="20"/>
        </w:rPr>
        <w:t xml:space="preserve">Figure 1 — États d'exécution et statut de diffusion d'une simulation</w:t>
      </w:r>
      <w:r>
        <w:tab/>
      </w:r>
      <w:r>
        <w:rPr>
          <w:sz w:val="20"/>
        </w:rPr>
        <w:t>25</w:t>
      </w:r>
    </w:p>
    <w:p>
      <w:pPr>
        <w:ind w:left="284" w:right="0"/>
        <w:tabs>
          <w:tab w:val="right" w:leader="dot" w:pos="9354"/>
        </w:tabs>
      </w:pPr>
      <w:r>
        <w:rPr>
          <w:sz w:val="20"/>
        </w:rPr>
        <w:t xml:space="preserve">Figure 2 — Flux d'ensemble du domaine modélisation</w:t>
      </w:r>
      <w:r>
        <w:tab/>
      </w:r>
      <w:r>
        <w:rPr>
          <w:sz w:val="20"/>
        </w:rPr>
        <w:t>38</w:t>
      </w:r>
    </w:p>
    <w:p>
      <w:pPr>
        <w:ind w:left="284" w:right="0"/>
        <w:tabs>
          <w:tab w:val="right" w:leader="dot" w:pos="9354"/>
        </w:tabs>
      </w:pPr>
      <w:r>
        <w:rPr>
          <w:sz w:val="20"/>
        </w:rPr>
        <w:t xml:space="preserve">Figure 3 — Plan de rotation des stagiaires, vue du DRH</w:t>
      </w:r>
      <w:r>
        <w:tab/>
      </w:r>
      <w:r>
        <w:rPr>
          <w:sz w:val="20"/>
        </w:rPr>
        <w:t>73</w:t>
      </w:r>
    </w:p>
    <w:p>
      <w:pPr>
        <w:ind w:left="284" w:right="0"/>
        <w:tabs>
          <w:tab w:val="right" w:leader="dot" w:pos="9354"/>
        </w:tabs>
      </w:pPr>
      <w:r>
        <w:rPr>
          <w:sz w:val="20"/>
        </w:rPr>
        <w:t xml:space="preserve">Figure 4 — Tableau de bord du Directeur National et du Directeur National Adjoint</w:t>
      </w:r>
      <w:r>
        <w:tab/>
      </w:r>
      <w:r>
        <w:rPr>
          <w:sz w:val="20"/>
        </w:rPr>
        <w:t>78</w:t>
      </w:r>
    </w:p>
    <w:p>
      <w:pPr>
        <w:ind w:left="284" w:right="0"/>
        <w:tabs>
          <w:tab w:val="right" w:leader="dot" w:pos="9354"/>
        </w:tabs>
      </w:pPr>
      <w:r>
        <w:rPr>
          <w:sz w:val="20"/>
        </w:rPr>
        <w:t xml:space="preserve">Figure 5 — Tableau de bord d'un chef de division</w:t>
      </w:r>
      <w:r>
        <w:tab/>
      </w:r>
      <w:r>
        <w:rPr>
          <w:sz w:val="20"/>
        </w:rPr>
        <w:t>79</w:t>
      </w:r>
    </w:p>
    <w:p>
      <w:pPr>
        <w:ind w:left="284" w:right="0"/>
        <w:tabs>
          <w:tab w:val="right" w:leader="dot" w:pos="9354"/>
        </w:tabs>
      </w:pPr>
      <w:r>
        <w:rPr>
          <w:sz w:val="20"/>
        </w:rPr>
        <w:t xml:space="preserve">Figure 6 — Tableau de bord d'un chef de section</w:t>
      </w:r>
      <w:r>
        <w:tab/>
      </w:r>
      <w:r>
        <w:rPr>
          <w:sz w:val="20"/>
        </w:rPr>
        <w:t>80</w:t>
      </w:r>
    </w:p>
    <w:p>
      <w:pPr>
        <w:ind w:left="284" w:right="0"/>
        <w:tabs>
          <w:tab w:val="right" w:leader="dot" w:pos="9354"/>
        </w:tabs>
      </w:pPr>
      <w:r>
        <w:rPr>
          <w:sz w:val="20"/>
        </w:rPr>
        <w:t xml:space="preserve">Figure 7 — Tableau de bord du DRH</w:t>
      </w:r>
      <w:r>
        <w:tab/>
      </w:r>
      <w:r>
        <w:rPr>
          <w:sz w:val="20"/>
        </w:rPr>
        <w:t>80</w:t>
      </w:r>
    </w:p>
    <w:p>
      <w:pPr>
        <w:ind w:left="284" w:right="0"/>
        <w:tabs>
          <w:tab w:val="right" w:leader="dot" w:pos="9354"/>
        </w:tabs>
      </w:pPr>
      <w:r>
        <w:rPr>
          <w:sz w:val="20"/>
        </w:rPr>
        <w:t xml:space="preserve">Figure 8 — Tableau de bord du SAF et du gestionnaire de paie</w:t>
      </w:r>
      <w:r>
        <w:tab/>
      </w:r>
      <w:r>
        <w:rPr>
          <w:sz w:val="20"/>
        </w:rPr>
        <w:t>81</w:t>
      </w:r>
    </w:p>
    <w:p>
      <w:pPr>
        <w:ind w:left="284" w:right="0"/>
        <w:tabs>
          <w:tab w:val="right" w:leader="dot" w:pos="9354"/>
        </w:tabs>
      </w:pPr>
      <w:r>
        <w:rPr>
          <w:sz w:val="20"/>
        </w:rPr>
        <w:t xml:space="preserve">Figure 9 — E1, conversation</w:t>
      </w:r>
      <w:r>
        <w:tab/>
      </w:r>
      <w:r>
        <w:rPr>
          <w:sz w:val="20"/>
        </w:rPr>
        <w:t>111</w:t>
      </w:r>
    </w:p>
    <w:p>
      <w:pPr>
        <w:ind w:left="284" w:right="0"/>
        <w:tabs>
          <w:tab w:val="right" w:leader="dot" w:pos="9354"/>
        </w:tabs>
      </w:pPr>
      <w:r>
        <w:rPr>
          <w:sz w:val="20"/>
        </w:rPr>
        <w:t xml:space="preserve">Figure 10 — E2, définition du choc</w:t>
      </w:r>
      <w:r>
        <w:tab/>
      </w:r>
      <w:r>
        <w:rPr>
          <w:sz w:val="20"/>
        </w:rPr>
        <w:t>112</w:t>
      </w:r>
    </w:p>
    <w:p>
      <w:pPr>
        <w:ind w:left="284" w:right="0"/>
        <w:tabs>
          <w:tab w:val="right" w:leader="dot" w:pos="9354"/>
        </w:tabs>
      </w:pPr>
      <w:r>
        <w:rPr>
          <w:sz w:val="20"/>
        </w:rPr>
        <w:t xml:space="preserve">Figure 11 — E3, exécution</w:t>
      </w:r>
      <w:r>
        <w:tab/>
      </w:r>
      <w:r>
        <w:rPr>
          <w:sz w:val="20"/>
        </w:rPr>
        <w:t>112</w:t>
      </w:r>
    </w:p>
    <w:p>
      <w:pPr>
        <w:ind w:left="284" w:right="0"/>
        <w:tabs>
          <w:tab w:val="right" w:leader="dot" w:pos="9354"/>
        </w:tabs>
      </w:pPr>
      <w:r>
        <w:rPr>
          <w:sz w:val="20"/>
        </w:rPr>
        <w:t xml:space="preserve">Figure 12 — E4, résultats</w:t>
      </w:r>
      <w:r>
        <w:tab/>
      </w:r>
      <w:r>
        <w:rPr>
          <w:sz w:val="20"/>
        </w:rPr>
        <w:t>113</w:t>
      </w:r>
    </w:p>
    <w:p>
      <w:pPr>
        <w:ind w:left="284" w:right="0"/>
        <w:tabs>
          <w:tab w:val="right" w:leader="dot" w:pos="9354"/>
        </w:tabs>
      </w:pPr>
      <w:r>
        <w:rPr>
          <w:sz w:val="20"/>
        </w:rPr>
        <w:t xml:space="preserve">Figure 13 — E5, comparaison</w:t>
      </w:r>
      <w:r>
        <w:tab/>
      </w:r>
      <w:r>
        <w:rPr>
          <w:sz w:val="20"/>
        </w:rPr>
        <w:t>113</w:t>
      </w:r>
    </w:p>
    <w:p>
      <w:pPr>
        <w:ind w:left="284" w:right="0"/>
        <w:tabs>
          <w:tab w:val="right" w:leader="dot" w:pos="9354"/>
        </w:tabs>
      </w:pPr>
      <w:r>
        <w:rPr>
          <w:sz w:val="20"/>
        </w:rPr>
        <w:t xml:space="preserve">Figure 14 — E6, historique</w:t>
      </w:r>
      <w:r>
        <w:tab/>
      </w:r>
      <w:r>
        <w:rPr>
          <w:sz w:val="20"/>
        </w:rPr>
        <w:t>114</w:t>
      </w:r>
    </w:p>
    <w:p>
      <w:pPr>
        <w:ind w:left="284" w:right="0"/>
        <w:tabs>
          <w:tab w:val="right" w:leader="dot" w:pos="9354"/>
        </w:tabs>
      </w:pPr>
      <w:r>
        <w:rPr>
          <w:sz w:val="20"/>
        </w:rPr>
        <w:t xml:space="preserve">Figure 15 — E7, rapports</w:t>
      </w:r>
      <w:r>
        <w:tab/>
      </w:r>
      <w:r>
        <w:rPr>
          <w:sz w:val="20"/>
        </w:rPr>
        <w:t>114</w:t>
      </w:r>
    </w:p>
    <w:p>
      <w:pPr>
        <w:ind w:left="284" w:right="0"/>
        <w:tabs>
          <w:tab w:val="right" w:leader="dot" w:pos="9354"/>
        </w:tabs>
      </w:pPr>
      <w:r>
        <w:rPr>
          <w:sz w:val="20"/>
        </w:rPr>
        <w:t xml:space="preserve">Figure 16 — E8, référentiel</w:t>
      </w:r>
      <w:r>
        <w:tab/>
      </w:r>
      <w:r>
        <w:rPr>
          <w:sz w:val="20"/>
        </w:rPr>
        <w:t>115</w:t>
      </w:r>
    </w:p>
    <w:p>
      <w:pPr>
        <w:ind w:left="284" w:right="0"/>
        <w:tabs>
          <w:tab w:val="right" w:leader="dot" w:pos="9354"/>
        </w:tabs>
      </w:pPr>
      <w:r>
        <w:rPr>
          <w:sz w:val="20"/>
        </w:rPr>
        <w:t xml:space="preserve">Figure 17 — E9, fiche modèle</w:t>
      </w:r>
      <w:r>
        <w:tab/>
      </w:r>
      <w:r>
        <w:rPr>
          <w:sz w:val="20"/>
        </w:rPr>
        <w:t>115</w:t>
      </w:r>
    </w:p>
    <w:p>
      <w:pPr>
        <w:ind w:left="284" w:right="0"/>
        <w:tabs>
          <w:tab w:val="right" w:leader="dot" w:pos="9354"/>
        </w:tabs>
      </w:pPr>
      <w:r>
        <w:rPr>
          <w:sz w:val="20"/>
        </w:rPr>
        <w:t xml:space="preserve">Figure 18 — E10, dépôt et activation</w:t>
      </w:r>
      <w:r>
        <w:tab/>
      </w:r>
      <w:r>
        <w:rPr>
          <w:sz w:val="20"/>
        </w:rPr>
        <w:t>116</w:t>
      </w:r>
    </w:p>
    <w:p>
      <w:pPr>
        <w:ind w:left="284" w:right="0"/>
        <w:tabs>
          <w:tab w:val="right" w:leader="dot" w:pos="9354"/>
        </w:tabs>
      </w:pPr>
      <w:r>
        <w:rPr>
          <w:sz w:val="20"/>
        </w:rPr>
        <w:t xml:space="preserve">Figure 19 — E11, bases de référence</w:t>
      </w:r>
      <w:r>
        <w:tab/>
      </w:r>
      <w:r>
        <w:rPr>
          <w:sz w:val="20"/>
        </w:rPr>
        <w:t>116</w:t>
      </w:r>
    </w:p>
    <w:p>
      <w:pPr>
        <w:ind w:left="284" w:right="0"/>
        <w:tabs>
          <w:tab w:val="right" w:leader="dot" w:pos="9354"/>
        </w:tabs>
      </w:pPr>
      <w:r>
        <w:rPr>
          <w:sz w:val="20"/>
        </w:rPr>
        <w:t xml:space="preserve">Figure 20 — E12, copilote et administration</w:t>
      </w:r>
      <w:r>
        <w:tab/>
      </w:r>
      <w:r>
        <w:rPr>
          <w:sz w:val="20"/>
        </w:rPr>
        <w:t>117</w:t>
      </w:r>
    </w:p>
    <w:p>
      <w:r>
        <w:br w:type="page"/>
      </w:r>
    </w:p>
    <w:bookmarkStart w:id="20" w:name="identification-du-dossier"/>
    <w:p>
      <w:pPr>
        <w:pStyle w:val="Heading1"/>
      </w:pPr>
      <w:r>
        <w:t xml:space="preserve">Identification du dossier</w:t>
      </w:r>
    </w:p>
    <w:tbl>
      <w:tblPr>
        <w:tblStyle w:val="Table"/>
        <w:tblW w:type="dxa" w:w="9354"/>
        <w:tblLayout w:type="fixed"/>
        <w:tblLook w:firstRow="1" w:lastRow="0" w:firstColumn="0" w:lastColumn="0" w:noHBand="0" w:noVBand="0" w:val="0020"/>
        <w:jc w:val="start"/>
      </w:tblPr>
      <w:tblGrid>
        <w:gridCol w:w="3797"/>
        <w:gridCol w:w="5557"/>
      </w:tblGrid>
      <w:tr>
        <w:trPr>
          <w:tblHeader w:val="true"/>
        </w:trPr>
        <w:tc>
          <w:tcPr/>
          <w:p>
            <w:pPr>
              <w:pStyle w:val="Compact"/>
              <w:jc w:val="left"/>
            </w:pPr>
            <w:r>
              <w:t xml:space="preserve">Rubrique</w:t>
            </w:r>
          </w:p>
        </w:tc>
        <w:tc>
          <w:tcPr/>
          <w:p>
            <w:pPr>
              <w:pStyle w:val="Compact"/>
              <w:jc w:val="left"/>
            </w:pPr>
            <w:r>
              <w:t xml:space="preserve">Contenu</w:t>
            </w:r>
          </w:p>
        </w:tc>
      </w:tr>
      <w:tr>
        <w:tc>
          <w:tcPr/>
          <w:p>
            <w:pPr>
              <w:pStyle w:val="Compact"/>
              <w:jc w:val="left"/>
            </w:pPr>
            <w:r>
              <w:t xml:space="preserve">Intitulé</w:t>
            </w:r>
          </w:p>
        </w:tc>
        <w:tc>
          <w:tcPr/>
          <w:p>
            <w:pPr>
              <w:pStyle w:val="Compact"/>
              <w:jc w:val="left"/>
            </w:pPr>
            <w:r>
              <w:rPr>
                <w:bCs/>
                <w:b/>
              </w:rPr>
              <w:t xml:space="preserve">NIMBA — Plateforme intégrée de la DNPEC</w:t>
            </w:r>
            <w:r>
              <w:t xml:space="preserve"> </w:t>
            </w:r>
            <w:r>
              <w:t xml:space="preserve">(décision D-01, rendue le 19 septembre 2026)</w:t>
            </w:r>
          </w:p>
        </w:tc>
      </w:tr>
      <w:tr>
        <w:tc>
          <w:tcPr/>
          <w:p>
            <w:pPr>
              <w:pStyle w:val="Compact"/>
              <w:jc w:val="left"/>
            </w:pPr>
            <w:r>
              <w:t xml:space="preserve">Objet</w:t>
            </w:r>
          </w:p>
        </w:tc>
        <w:tc>
          <w:tcPr/>
          <w:p>
            <w:pPr>
              <w:pStyle w:val="Compact"/>
              <w:jc w:val="left"/>
            </w:pPr>
            <w:r>
              <w:t xml:space="preserve">Système unique de la DNPEC, couvrant la gestion interne de la Direction et la modélisation macroéconomique</w:t>
            </w:r>
          </w:p>
        </w:tc>
      </w:tr>
      <w:tr>
        <w:tc>
          <w:tcPr/>
          <w:p>
            <w:pPr>
              <w:pStyle w:val="Compact"/>
              <w:jc w:val="left"/>
            </w:pPr>
            <w:r>
              <w:t xml:space="preserve">Version</w:t>
            </w:r>
          </w:p>
        </w:tc>
        <w:tc>
          <w:tcPr/>
          <w:p>
            <w:pPr>
              <w:pStyle w:val="Compact"/>
              <w:jc w:val="left"/>
            </w:pPr>
            <w:r>
              <w:t xml:space="preserve">2.2 — version de diffusion à la maîtrise d’œuvre</w:t>
            </w:r>
          </w:p>
        </w:tc>
      </w:tr>
      <w:tr>
        <w:tc>
          <w:tcPr/>
          <w:p>
            <w:pPr>
              <w:pStyle w:val="Compact"/>
              <w:jc w:val="left"/>
            </w:pPr>
            <w:r>
              <w:t xml:space="preserve">Date</w:t>
            </w:r>
          </w:p>
        </w:tc>
        <w:tc>
          <w:tcPr/>
          <w:p>
            <w:pPr>
              <w:pStyle w:val="Compact"/>
              <w:jc w:val="left"/>
            </w:pPr>
            <w:r>
              <w:t xml:space="preserve">19 septembre 2026</w:t>
            </w:r>
          </w:p>
        </w:tc>
      </w:tr>
      <w:tr>
        <w:tc>
          <w:tcPr/>
          <w:p>
            <w:pPr>
              <w:pStyle w:val="Compact"/>
              <w:jc w:val="left"/>
            </w:pPr>
            <w:r>
              <w:t xml:space="preserve">Commanditaire</w:t>
            </w:r>
          </w:p>
        </w:tc>
        <w:tc>
          <w:tcPr/>
          <w:p>
            <w:pPr>
              <w:pStyle w:val="Compact"/>
              <w:jc w:val="left"/>
            </w:pPr>
            <w:r>
              <w:t xml:space="preserve">Directeur National de la DNPEC</w:t>
            </w:r>
          </w:p>
        </w:tc>
      </w:tr>
      <w:tr>
        <w:tc>
          <w:tcPr/>
          <w:p>
            <w:pPr>
              <w:pStyle w:val="Compact"/>
              <w:jc w:val="left"/>
            </w:pPr>
            <w:r>
              <w:t xml:space="preserve">Maîtrise d’ouvrage technique</w:t>
            </w:r>
          </w:p>
        </w:tc>
        <w:tc>
          <w:tcPr/>
          <w:p>
            <w:pPr>
              <w:pStyle w:val="Compact"/>
              <w:jc w:val="left"/>
            </w:pPr>
            <w:r>
              <w:t xml:space="preserve">Cellule des Systèmes d’Informations et de la Digitalisation (CSID)</w:t>
            </w:r>
          </w:p>
        </w:tc>
      </w:tr>
      <w:tr>
        <w:tc>
          <w:tcPr/>
          <w:p>
            <w:pPr>
              <w:pStyle w:val="Compact"/>
              <w:jc w:val="left"/>
            </w:pPr>
            <w:r>
              <w:t xml:space="preserve">Maîtrise d’ouvrage métier</w:t>
            </w:r>
          </w:p>
        </w:tc>
        <w:tc>
          <w:tcPr/>
          <w:p>
            <w:pPr>
              <w:pStyle w:val="Compact"/>
              <w:jc w:val="left"/>
            </w:pPr>
            <w:r>
              <w:t xml:space="preserve">SAF et RH pour le domaine A ; Chef de la Division des Prévisions Économiques pour le domaine B</w:t>
            </w:r>
          </w:p>
        </w:tc>
      </w:tr>
      <w:tr>
        <w:tc>
          <w:tcPr/>
          <w:p>
            <w:pPr>
              <w:pStyle w:val="Compact"/>
              <w:jc w:val="left"/>
            </w:pPr>
            <w:r>
              <w:t xml:space="preserve">Maîtrise d’œuvre</w:t>
            </w:r>
          </w:p>
        </w:tc>
        <w:tc>
          <w:tcPr/>
          <w:p>
            <w:pPr>
              <w:pStyle w:val="Compact"/>
              <w:jc w:val="left"/>
            </w:pPr>
            <w:r>
              <w:t xml:space="preserve">À désigner — voir Partie 0, section 13</w:t>
            </w:r>
          </w:p>
        </w:tc>
      </w:tr>
      <w:tr>
        <w:tc>
          <w:tcPr/>
          <w:p>
            <w:pPr>
              <w:pStyle w:val="Compact"/>
              <w:jc w:val="left"/>
            </w:pPr>
            <w:r>
              <w:t xml:space="preserve">Diffusion</w:t>
            </w:r>
          </w:p>
        </w:tc>
        <w:tc>
          <w:tcPr/>
          <w:p>
            <w:pPr>
              <w:pStyle w:val="Compact"/>
              <w:jc w:val="left"/>
            </w:pPr>
            <w:r>
              <w:t xml:space="preserve">Direction, chefs de division, CSID, SAF, RH ; maîtrise d’œuvre une fois la version de diffusion validée</w:t>
            </w:r>
          </w:p>
        </w:tc>
      </w:tr>
      <w:tr>
        <w:tc>
          <w:tcPr/>
          <w:p>
            <w:pPr>
              <w:pStyle w:val="Compact"/>
              <w:jc w:val="left"/>
            </w:pPr>
            <w:r>
              <w:t xml:space="preserve">Classification</w:t>
            </w:r>
          </w:p>
        </w:tc>
        <w:tc>
          <w:tcPr/>
          <w:p>
            <w:pPr>
              <w:pStyle w:val="Compact"/>
              <w:jc w:val="left"/>
            </w:pPr>
            <w:r>
              <w:t xml:space="preserve">Interne. Le dossier décrit l’organisation d’une direction nationale ; toute diffusion hors de la Direction est soumise à l’accord du DN</w:t>
            </w:r>
          </w:p>
        </w:tc>
      </w:tr>
    </w:tbl>
    <w:p>
      <w:pPr>
        <w:pStyle w:val="BodyText"/>
      </w:pPr>
      <w:r>
        <w:rPr>
          <w:bCs/>
          <w:b/>
        </w:rPr>
        <w:t xml:space="preserve">Visa du document</w:t>
      </w:r>
    </w:p>
    <w:tbl>
      <w:tblPr>
        <w:tblStyle w:val="Table"/>
        <w:tblW w:type="dxa" w:w="9354"/>
        <w:tblLayout w:type="fixed"/>
        <w:tblLook w:firstRow="1" w:lastRow="0" w:firstColumn="0" w:lastColumn="0" w:noHBand="0" w:noVBand="0" w:val="0020"/>
        <w:jc w:val="start"/>
      </w:tblPr>
      <w:tblGrid>
        <w:gridCol w:w="3198"/>
        <w:gridCol w:w="4755"/>
        <w:gridCol w:w="700"/>
        <w:gridCol w:w="701"/>
      </w:tblGrid>
      <w:tr>
        <w:trPr>
          <w:tblHeader w:val="true"/>
        </w:trPr>
        <w:tc>
          <w:tcPr/>
          <w:p>
            <w:pPr>
              <w:pStyle w:val="Compact"/>
            </w:pPr>
          </w:p>
        </w:tc>
        <w:tc>
          <w:tcPr/>
          <w:p>
            <w:pPr>
              <w:pStyle w:val="Compact"/>
              <w:jc w:val="left"/>
            </w:pPr>
            <w:r>
              <w:t xml:space="preserve">Nom et fonction</w:t>
            </w:r>
          </w:p>
        </w:tc>
        <w:tc>
          <w:tcPr/>
          <w:p>
            <w:pPr>
              <w:pStyle w:val="Compact"/>
              <w:jc w:val="left"/>
            </w:pPr>
            <w:r>
              <w:t xml:space="preserve">Date</w:t>
            </w:r>
          </w:p>
        </w:tc>
        <w:tc>
          <w:tcPr/>
          <w:p>
            <w:pPr>
              <w:pStyle w:val="Compact"/>
              <w:jc w:val="left"/>
            </w:pPr>
            <w:r>
              <w:t xml:space="preserve">Signature</w:t>
            </w:r>
          </w:p>
        </w:tc>
      </w:tr>
      <w:tr>
        <w:tc>
          <w:tcPr/>
          <w:p>
            <w:pPr>
              <w:pStyle w:val="Compact"/>
              <w:jc w:val="left"/>
            </w:pPr>
            <w:r>
              <w:t xml:space="preserve">Rédigé par</w:t>
            </w:r>
          </w:p>
        </w:tc>
        <w:tc>
          <w:tcPr/>
          <w:p>
            <w:pPr>
              <w:pStyle w:val="Compact"/>
              <w:jc w:val="left"/>
            </w:pPr>
            <w:r>
              <w:t xml:space="preserve">Chef de la Division des Prévisions Économiques</w:t>
            </w:r>
          </w:p>
        </w:tc>
        <w:tc>
          <w:tcPr/>
          <w:p>
            <w:pPr>
              <w:pStyle w:val="Compact"/>
            </w:pPr>
          </w:p>
        </w:tc>
        <w:tc>
          <w:tcPr/>
          <w:p>
            <w:pPr>
              <w:pStyle w:val="Compact"/>
            </w:pPr>
          </w:p>
        </w:tc>
      </w:tr>
      <w:tr>
        <w:tc>
          <w:tcPr/>
          <w:p>
            <w:pPr>
              <w:pStyle w:val="Compact"/>
              <w:jc w:val="left"/>
            </w:pPr>
            <w:r>
              <w:t xml:space="preserve">Vérifié par</w:t>
            </w:r>
          </w:p>
        </w:tc>
        <w:tc>
          <w:tcPr/>
          <w:p>
            <w:pPr>
              <w:pStyle w:val="Compact"/>
              <w:jc w:val="left"/>
            </w:pPr>
            <w:r>
              <w:t xml:space="preserve">Chef de la Cellule des Systèmes d’Informations et de la Digitalisation</w:t>
            </w:r>
          </w:p>
        </w:tc>
        <w:tc>
          <w:tcPr/>
          <w:p>
            <w:pPr>
              <w:pStyle w:val="Compact"/>
            </w:pPr>
          </w:p>
        </w:tc>
        <w:tc>
          <w:tcPr/>
          <w:p>
            <w:pPr>
              <w:pStyle w:val="Compact"/>
            </w:pPr>
          </w:p>
        </w:tc>
      </w:tr>
      <w:tr>
        <w:tc>
          <w:tcPr/>
          <w:p>
            <w:pPr>
              <w:pStyle w:val="Compact"/>
              <w:jc w:val="left"/>
            </w:pPr>
            <w:r>
              <w:t xml:space="preserve">Vérifié par</w:t>
            </w:r>
          </w:p>
        </w:tc>
        <w:tc>
          <w:tcPr/>
          <w:p>
            <w:pPr>
              <w:pStyle w:val="Compact"/>
              <w:jc w:val="left"/>
            </w:pPr>
            <w:r>
              <w:t xml:space="preserve">Chef du Service Administratif et Financier</w:t>
            </w:r>
          </w:p>
        </w:tc>
        <w:tc>
          <w:tcPr/>
          <w:p>
            <w:pPr>
              <w:pStyle w:val="Compact"/>
            </w:pPr>
          </w:p>
        </w:tc>
        <w:tc>
          <w:tcPr/>
          <w:p>
            <w:pPr>
              <w:pStyle w:val="Compact"/>
            </w:pPr>
          </w:p>
        </w:tc>
      </w:tr>
      <w:tr>
        <w:tc>
          <w:tcPr/>
          <w:p>
            <w:pPr>
              <w:pStyle w:val="Compact"/>
              <w:jc w:val="left"/>
            </w:pPr>
            <w:r>
              <w:t xml:space="preserve">Vérifié par</w:t>
            </w:r>
          </w:p>
        </w:tc>
        <w:tc>
          <w:tcPr/>
          <w:p>
            <w:pPr>
              <w:pStyle w:val="Compact"/>
              <w:jc w:val="left"/>
            </w:pPr>
            <w:r>
              <w:t xml:space="preserve">Chef de la cellule Ressources Humaines</w:t>
            </w:r>
          </w:p>
        </w:tc>
        <w:tc>
          <w:tcPr/>
          <w:p>
            <w:pPr>
              <w:pStyle w:val="Compact"/>
            </w:pPr>
          </w:p>
        </w:tc>
        <w:tc>
          <w:tcPr/>
          <w:p>
            <w:pPr>
              <w:pStyle w:val="Compact"/>
            </w:pPr>
          </w:p>
        </w:tc>
      </w:tr>
      <w:tr>
        <w:tc>
          <w:tcPr/>
          <w:p>
            <w:pPr>
              <w:pStyle w:val="Compact"/>
              <w:jc w:val="left"/>
            </w:pPr>
            <w:r>
              <w:t xml:space="preserve">Approuvé par</w:t>
            </w:r>
          </w:p>
        </w:tc>
        <w:tc>
          <w:tcPr/>
          <w:p>
            <w:pPr>
              <w:pStyle w:val="Compact"/>
              <w:jc w:val="left"/>
            </w:pPr>
            <w:r>
              <w:t xml:space="preserve">Directeur National de la DNPEC</w:t>
            </w:r>
          </w:p>
        </w:tc>
        <w:tc>
          <w:tcPr/>
          <w:p>
            <w:pPr>
              <w:pStyle w:val="Compact"/>
            </w:pPr>
          </w:p>
        </w:tc>
        <w:tc>
          <w:tcPr/>
          <w:p>
            <w:pPr>
              <w:pStyle w:val="Compact"/>
            </w:pPr>
          </w:p>
        </w:tc>
      </w:tr>
    </w:tbl>
    <w:p>
      <w:pPr>
        <w:pStyle w:val="BodyText"/>
      </w:pPr>
      <w:r>
        <w:rPr>
          <w:bCs/>
          <w:b/>
        </w:rPr>
        <w:t xml:space="preserve">Historique des versions</w:t>
      </w:r>
    </w:p>
    <w:tbl>
      <w:tblPr>
        <w:tblStyle w:val="Table"/>
        <w:tblW w:type="dxa" w:w="9354"/>
        <w:tblLayout w:type="fixed"/>
        <w:tblLook w:firstRow="1" w:lastRow="0" w:firstColumn="0" w:lastColumn="0" w:noHBand="0" w:noVBand="0" w:val="0020"/>
        <w:jc w:val="start"/>
      </w:tblPr>
      <w:tblGrid>
        <w:gridCol w:w="1531"/>
        <w:gridCol w:w="1609"/>
        <w:gridCol w:w="6214"/>
      </w:tblGrid>
      <w:tr>
        <w:trPr>
          <w:tblHeader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Modifications</w:t>
            </w:r>
          </w:p>
        </w:tc>
      </w:tr>
      <w:tr>
        <w:tc>
          <w:tcPr/>
          <w:p>
            <w:pPr>
              <w:pStyle w:val="Compact"/>
              <w:jc w:val="left"/>
            </w:pPr>
            <w:r>
              <w:t xml:space="preserve">0.1</w:t>
            </w:r>
          </w:p>
        </w:tc>
        <w:tc>
          <w:tcPr/>
          <w:p>
            <w:pPr>
              <w:pStyle w:val="Compact"/>
              <w:jc w:val="left"/>
            </w:pPr>
            <w:r>
              <w:t xml:space="preserve">19/09/2026</w:t>
            </w:r>
          </w:p>
        </w:tc>
        <w:tc>
          <w:tcPr/>
          <w:p>
            <w:pPr>
              <w:pStyle w:val="Compact"/>
              <w:jc w:val="left"/>
            </w:pPr>
            <w:r>
              <w:t xml:space="preserve">Fusion du cahier SIG-DNPEC v3.1 et du cahier Plateforme de simulation en un dossier unique : socle commun extrait en Partie 0, habilitation à deux axes, modèle de données consolidé, lotissement en huit lots, registre des décisions unifié</w:t>
            </w:r>
          </w:p>
        </w:tc>
      </w:tr>
      <w:tr>
        <w:tc>
          <w:tcPr/>
          <w:p>
            <w:pPr>
              <w:pStyle w:val="Compact"/>
              <w:jc w:val="left"/>
            </w:pPr>
            <w:r>
              <w:t xml:space="preserve">2.2</w:t>
            </w:r>
          </w:p>
        </w:tc>
        <w:tc>
          <w:tcPr/>
          <w:p>
            <w:pPr>
              <w:pStyle w:val="Compact"/>
              <w:jc w:val="left"/>
            </w:pPr>
            <w:r>
              <w:t xml:space="preserve">19/09/2026</w:t>
            </w:r>
          </w:p>
        </w:tc>
        <w:tc>
          <w:tcPr/>
          <w:p>
            <w:pPr>
              <w:pStyle w:val="Compact"/>
              <w:jc w:val="left"/>
            </w:pPr>
            <w:r>
              <w:t xml:space="preserve">Mission de l’administrateur explicitée — paramétrer, surveiller, veiller au bon fonctionnement — avec la liste, techniquement opposable, de ce qu’il ne peut pas faire. Ajout de dix exigences de supervision</w:t>
            </w:r>
            <w:r>
              <w:t xml:space="preserve"> </w:t>
            </w:r>
            <w:r>
              <w:rPr>
                <w:rStyle w:val="VerbatimChar"/>
              </w:rPr>
              <w:t xml:space="preserve">SOC-SUP</w:t>
            </w:r>
            <w:r>
              <w:t xml:space="preserve"> </w:t>
            </w:r>
            <w:r>
              <w:t xml:space="preserve">et de trois critères d’acceptation</w:t>
            </w:r>
          </w:p>
        </w:tc>
      </w:tr>
      <w:tr>
        <w:tc>
          <w:tcPr/>
          <w:p>
            <w:pPr>
              <w:pStyle w:val="Compact"/>
              <w:jc w:val="left"/>
            </w:pPr>
            <w:r>
              <w:t xml:space="preserve">2.1</w:t>
            </w:r>
          </w:p>
        </w:tc>
        <w:tc>
          <w:tcPr/>
          <w:p>
            <w:pPr>
              <w:pStyle w:val="Compact"/>
              <w:jc w:val="left"/>
            </w:pPr>
            <w:r>
              <w:t xml:space="preserve">19/09/2026</w:t>
            </w:r>
          </w:p>
        </w:tc>
        <w:tc>
          <w:tcPr/>
          <w:p>
            <w:pPr>
              <w:pStyle w:val="Compact"/>
              <w:jc w:val="left"/>
            </w:pPr>
            <w:r>
              <w:t xml:space="preserve">Revue critique de la version 2.0. Écriture des 38 exigences des groupes</w:t>
            </w:r>
            <w:r>
              <w:t xml:space="preserve"> </w:t>
            </w:r>
            <w:r>
              <w:rPr>
                <w:rStyle w:val="VerbatimChar"/>
              </w:rPr>
              <w:t xml:space="preserve">SIG-RF-FIN</w:t>
            </w:r>
            <w:r>
              <w:t xml:space="preserve">,</w:t>
            </w:r>
            <w:r>
              <w:t xml:space="preserve"> </w:t>
            </w:r>
            <w:r>
              <w:rPr>
                <w:rStyle w:val="VerbatimChar"/>
              </w:rPr>
              <w:t xml:space="preserve">SIG-RF-CAR</w:t>
            </w:r>
            <w:r>
              <w:t xml:space="preserve">,</w:t>
            </w:r>
            <w:r>
              <w:t xml:space="preserve"> </w:t>
            </w:r>
            <w:r>
              <w:rPr>
                <w:rStyle w:val="VerbatimChar"/>
              </w:rPr>
              <w:t xml:space="preserve">SIG-RF-MSG</w:t>
            </w:r>
            <w:r>
              <w:t xml:space="preserve"> </w:t>
            </w:r>
            <w:r>
              <w:t xml:space="preserve">et</w:t>
            </w:r>
            <w:r>
              <w:t xml:space="preserve"> </w:t>
            </w:r>
            <w:r>
              <w:rPr>
                <w:rStyle w:val="VerbatimChar"/>
              </w:rPr>
              <w:t xml:space="preserve">SIG-RF-DOC</w:t>
            </w:r>
            <w:r>
              <w:t xml:space="preserve">, annoncés mais non rédigés, et des 20 exigences</w:t>
            </w:r>
            <w:r>
              <w:t xml:space="preserve"> </w:t>
            </w:r>
            <w:r>
              <w:rPr>
                <w:rStyle w:val="VerbatimChar"/>
              </w:rPr>
              <w:t xml:space="preserve">MOD-EF-80</w:t>
            </w:r>
            <w:r>
              <w:t xml:space="preserve"> </w:t>
            </w:r>
            <w:r>
              <w:t xml:space="preserve">à</w:t>
            </w:r>
            <w:r>
              <w:t xml:space="preserve"> </w:t>
            </w:r>
            <w:r>
              <w:rPr>
                <w:rStyle w:val="VerbatimChar"/>
              </w:rPr>
              <w:t xml:space="preserve">EF-99</w:t>
            </w:r>
            <w:r>
              <w:t xml:space="preserve"> </w:t>
            </w:r>
            <w:r>
              <w:t xml:space="preserve">; correction d’une collision d’identifiants. Renumérotation de la Partie B, la section intercalaire devenant B4. Fusion des deux critères de réception portant sur le rejeu. Correction de trois renvois internes sans destination. Retrait du contrat de la saisie manuelle des coefficients de réponse, ramenée au plan de recette. Précision de l’alimentation du suivi budgétaire. Complément du dimensionnement, des durées de conservation et des règles de gestion pour les objets ajoutés en 2.0</w:t>
            </w:r>
          </w:p>
        </w:tc>
      </w:tr>
      <w:tr>
        <w:tc>
          <w:tcPr/>
          <w:p>
            <w:pPr>
              <w:pStyle w:val="Compact"/>
              <w:jc w:val="left"/>
            </w:pPr>
            <w:r>
              <w:t xml:space="preserve">2.0</w:t>
            </w:r>
          </w:p>
        </w:tc>
        <w:tc>
          <w:tcPr/>
          <w:p>
            <w:pPr>
              <w:pStyle w:val="Compact"/>
              <w:jc w:val="left"/>
            </w:pPr>
            <w:r>
              <w:t xml:space="preserve">19/09/2026</w:t>
            </w:r>
          </w:p>
        </w:tc>
        <w:tc>
          <w:tcPr/>
          <w:p>
            <w:pPr>
              <w:pStyle w:val="Compact"/>
              <w:jc w:val="left"/>
            </w:pPr>
            <w:r>
              <w:t xml:space="preserve">Révision après prototypage complet du produit. Référentiel des postes complété (Directeur National Adjoint, secrétariat de direction, rôle Assistant DN/DNA). Périmètre du SAF étendu aux paiements, aux missions, au suivi budgétaire de gestion et aux états financiers. Périmètre des ressources humaines étendu aux effectifs, à la carrière et aux actes. Ajout de l’administration effective des comptes, du paramétrage, de la supervision, de l’intégration d’un modèle au référentiel, de la communication interne avec transmission de documents, des documents administratifs générés, de la comparaison multi-scénarios, du test de sensibilité, du rejeu et de la bibliothèque de chocs. Exigences d’ergonomie vérifiées sur trois formats d’écran</w:t>
            </w:r>
          </w:p>
        </w:tc>
      </w:tr>
      <w:tr>
        <w:tc>
          <w:tcPr/>
          <w:p>
            <w:pPr>
              <w:pStyle w:val="Compact"/>
              <w:jc w:val="left"/>
            </w:pPr>
            <w:r>
              <w:t xml:space="preserve">1.1</w:t>
            </w:r>
          </w:p>
        </w:tc>
        <w:tc>
          <w:tcPr/>
          <w:p>
            <w:pPr>
              <w:pStyle w:val="Compact"/>
              <w:jc w:val="left"/>
            </w:pPr>
            <w:r>
              <w:t xml:space="preserve">19/09/2026</w:t>
            </w:r>
          </w:p>
        </w:tc>
        <w:tc>
          <w:tcPr/>
          <w:p>
            <w:pPr>
              <w:pStyle w:val="Compact"/>
              <w:jc w:val="left"/>
            </w:pPr>
            <w:r>
              <w:t xml:space="preserve">Cumul des rôles explicité : un responsable hiérarchique titulaire d’un rôle de modélisation exerce les deux, et les rôles du domaine B ne sont pas bornés par le périmètre organisationnel. Ajout de la section 5.4 et de l’annexe 1.3</w:t>
            </w:r>
          </w:p>
        </w:tc>
      </w:tr>
      <w:tr>
        <w:tc>
          <w:tcPr/>
          <w:p>
            <w:pPr>
              <w:pStyle w:val="Compact"/>
              <w:jc w:val="left"/>
            </w:pPr>
            <w:r>
              <w:t xml:space="preserve">1.0</w:t>
            </w:r>
          </w:p>
        </w:tc>
        <w:tc>
          <w:tcPr/>
          <w:p>
            <w:pPr>
              <w:pStyle w:val="Compact"/>
              <w:jc w:val="left"/>
            </w:pPr>
            <w:r>
              <w:t xml:space="preserve">19/09/2026</w:t>
            </w:r>
          </w:p>
        </w:tc>
        <w:tc>
          <w:tcPr/>
          <w:p>
            <w:pPr>
              <w:pStyle w:val="Compact"/>
              <w:jc w:val="left"/>
            </w:pPr>
            <w:r>
              <w:t xml:space="preserve">Nom du produit arrêté (D-01 : NIMBA) et reporté sur les vingt maquettes ; circuit de visa ouvert ; version de diffusion à la maîtrise d’œuvre</w:t>
            </w:r>
          </w:p>
        </w:tc>
      </w:tr>
      <w:tr>
        <w:tc>
          <w:tcPr/>
          <w:p>
            <w:pPr>
              <w:pStyle w:val="Compact"/>
              <w:jc w:val="left"/>
            </w:pPr>
            <w:r>
              <w:t xml:space="preserve">0.2</w:t>
            </w:r>
          </w:p>
        </w:tc>
        <w:tc>
          <w:tcPr/>
          <w:p>
            <w:pPr>
              <w:pStyle w:val="Compact"/>
              <w:jc w:val="left"/>
            </w:pPr>
            <w:r>
              <w:t xml:space="preserve">19/09/2026</w:t>
            </w:r>
          </w:p>
        </w:tc>
        <w:tc>
          <w:tcPr/>
          <w:p>
            <w:pPr>
              <w:pStyle w:val="Compact"/>
              <w:jc w:val="left"/>
            </w:pPr>
            <w:r>
              <w:t xml:space="preserve">Revue critique et normative. Intégration des tables d’exigences des deux domaines et des cinq annexes contractuelles ; exigences non fonctionnelles chiffrées (dimensionnement, performance, RPO et RTO, accessibilité, mode hors ligne, environnements) ; levée de la contradiction sur la garantie ; ajout des critères de jugement des offres et des textes applicables ; critères d’acceptation du domaine A numérotés ; frontière applicative et exécution isolée précisées ; neutralité technologique rétablie</w:t>
            </w:r>
          </w:p>
        </w:tc>
      </w:tr>
    </w:tbl>
    <w:p>
      <w:pPr>
        <w:pStyle w:val="BodyText"/>
      </w:pPr>
      <w:r>
        <w:t xml:space="preserve">Les deux cahiers sources, non diffusés, cessent d’être opposables dès la validation de la présente version.</w:t>
      </w:r>
    </w:p>
    <w:p>
      <w:pPr>
        <w:pStyle w:val="BodyText"/>
      </w:pPr>
      <w:r>
        <w:rPr>
          <w:bCs/>
          <w:b/>
        </w:rPr>
        <w:t xml:space="preserve">Circuit de visa.</w:t>
      </w:r>
      <w:r>
        <w:t xml:space="preserve"> </w:t>
      </w:r>
      <w:r>
        <w:t xml:space="preserve">Le dossier est rédigé par la Division des Prévisions Économiques, vérifié conjointement par la CSID pour la partie technique, par le SAF et les RH pour les domaines qui les concernent, puis approuvé par le Directeur National. L’approbation vaut autorisation de diffusion à la maîtrise d’œuvre et arrête les exigences contractuelles au sens de la section 18.1. Toute modification postérieure suit la procédure d’évolution de la section 13.6.</w:t>
      </w:r>
    </w:p>
    <w:p>
      <w:pPr>
        <w:pStyle w:val="BodyText"/>
      </w:pPr>
      <w:r>
        <w:rPr>
          <w:bCs/>
          <w:b/>
        </w:rPr>
        <w:t xml:space="preserve">Maquettes.</w:t>
      </w:r>
      <w:r>
        <w:t xml:space="preserve"> </w:t>
      </w:r>
      <w:r>
        <w:t xml:space="preserve">Le dossier comporte vingt figures : deux schémas d’ensemble en Partie 0, six maquettes d’écrans en Partie A et douze en Partie B. Elles sont indicatives quant au style graphique et normatives quant au contenu affiché et à son cloisonnement. Les données y sont fictives ; les en-têtes portent le nom arrêté,</w:t>
      </w:r>
      <w:r>
        <w:t xml:space="preserve"> </w:t>
      </w:r>
      <w:r>
        <w:rPr>
          <w:bCs/>
          <w:b/>
        </w:rPr>
        <w:t xml:space="preserve">NIMBA</w:t>
      </w:r>
      <w:r>
        <w:t xml:space="preserve">.</w:t>
      </w:r>
    </w:p>
    <w:p>
      <w:pPr>
        <w:pStyle w:val="BodyText"/>
      </w:pPr>
      <w:r>
        <w:rPr>
          <w:bCs/>
          <w:b/>
        </w:rPr>
        <w:t xml:space="preserve">Structure du dossier</w:t>
      </w:r>
    </w:p>
    <w:tbl>
      <w:tblPr>
        <w:tblStyle w:val="Table"/>
        <w:tblW w:type="dxa" w:w="9354"/>
        <w:tblLayout w:type="fixed"/>
        <w:tblLook w:firstRow="1" w:lastRow="0" w:firstColumn="0" w:lastColumn="0" w:noHBand="0" w:noVBand="0" w:val="0020"/>
        <w:jc w:val="start"/>
      </w:tblPr>
      <w:tblGrid>
        <w:gridCol w:w="3409"/>
        <w:gridCol w:w="5945"/>
      </w:tblGrid>
      <w:tr>
        <w:trPr>
          <w:tblHeader w:val="true"/>
        </w:trPr>
        <w:tc>
          <w:tcPr/>
          <w:p>
            <w:pPr>
              <w:pStyle w:val="Compact"/>
              <w:jc w:val="left"/>
            </w:pPr>
            <w:r>
              <w:t xml:space="preserve">Partie</w:t>
            </w:r>
          </w:p>
        </w:tc>
        <w:tc>
          <w:tcPr/>
          <w:p>
            <w:pPr>
              <w:pStyle w:val="Compact"/>
              <w:jc w:val="left"/>
            </w:pPr>
            <w:r>
              <w:t xml:space="preserve">Contenu</w:t>
            </w:r>
          </w:p>
        </w:tc>
      </w:tr>
      <w:tr>
        <w:tc>
          <w:tcPr/>
          <w:p>
            <w:pPr>
              <w:pStyle w:val="Compact"/>
              <w:jc w:val="left"/>
            </w:pPr>
            <w:r>
              <w:rPr>
                <w:bCs/>
                <w:b/>
              </w:rPr>
              <w:t xml:space="preserve">Partie 0 — Socle commun</w:t>
            </w:r>
          </w:p>
        </w:tc>
        <w:tc>
          <w:tcPr/>
          <w:p>
            <w:pPr>
              <w:pStyle w:val="Compact"/>
              <w:jc w:val="left"/>
            </w:pPr>
            <w:r>
              <w:t xml:space="preserve">Organisation, identité, habilitations, modèle de données, GED, notifications, exigences non fonctionnelles, architecture, lotissement, gouvernance, décisions, risques, coûts, tests, glossaire</w:t>
            </w:r>
          </w:p>
        </w:tc>
      </w:tr>
      <w:tr>
        <w:tc>
          <w:tcPr/>
          <w:p>
            <w:pPr>
              <w:pStyle w:val="Compact"/>
              <w:jc w:val="left"/>
            </w:pPr>
            <w:r>
              <w:rPr>
                <w:bCs/>
                <w:b/>
              </w:rPr>
              <w:t xml:space="preserve">Partie A — Gestion interne</w:t>
            </w:r>
          </w:p>
        </w:tc>
        <w:tc>
          <w:tcPr/>
          <w:p>
            <w:pPr>
              <w:pStyle w:val="Compact"/>
              <w:jc w:val="left"/>
            </w:pPr>
            <w:r>
              <w:t xml:space="preserve">Pilotage, collaboration et communication interne, personnel et carrière, temps et absences, rémunération et finances du SAF, stages, courrier, actes et documents générés, logistique, circuits, maquettes, exigences et critères d’acceptation</w:t>
            </w:r>
          </w:p>
        </w:tc>
      </w:tr>
      <w:tr>
        <w:tc>
          <w:tcPr/>
          <w:p>
            <w:pPr>
              <w:pStyle w:val="Compact"/>
              <w:jc w:val="left"/>
            </w:pPr>
            <w:r>
              <w:rPr>
                <w:bCs/>
                <w:b/>
              </w:rPr>
              <w:t xml:space="preserve">Partie B — Modélisation et simulation</w:t>
            </w:r>
          </w:p>
        </w:tc>
        <w:tc>
          <w:tcPr/>
          <w:p>
            <w:pPr>
              <w:pStyle w:val="Compact"/>
              <w:jc w:val="left"/>
            </w:pPr>
            <w:r>
              <w:t xml:space="preserve">Intégration et référentiel des modèles, données et séries, exécution, scénarios, bibliothèque de chocs, sensibilité, comparaison, rejeu, contrôles, restitution, couche assistée, écrans, exigences, contrat d’exécution, conventions</w:t>
            </w:r>
          </w:p>
        </w:tc>
      </w:tr>
      <w:tr>
        <w:tc>
          <w:tcPr/>
          <w:p>
            <w:pPr>
              <w:pStyle w:val="Compact"/>
              <w:jc w:val="left"/>
            </w:pPr>
            <w:r>
              <w:rPr>
                <w:bCs/>
                <w:b/>
              </w:rPr>
              <w:t xml:space="preserve">Annexes 1 à 5</w:t>
            </w:r>
          </w:p>
        </w:tc>
        <w:tc>
          <w:tcPr/>
          <w:p>
            <w:pPr>
              <w:pStyle w:val="Compact"/>
              <w:jc w:val="left"/>
            </w:pPr>
            <w:r>
              <w:t xml:space="preserve">Matrice des habilitations, dictionnaire des objets et machines à états, règles de gestion à écrire, durées de conservation, valeurs par défaut</w:t>
            </w:r>
          </w:p>
        </w:tc>
      </w:tr>
    </w:tbl>
    <w:p>
      <w:r>
        <w:br w:type="page"/>
      </w:r>
    </w:p>
    <w:bookmarkEnd w:id="20"/>
    <w:bookmarkStart w:id="134" w:name="partie-0-socle-commun"/>
    <w:p>
      <w:pPr>
        <w:pStyle w:val="Heading1"/>
      </w:pPr>
      <w:r>
        <w:t xml:space="preserve">Partie 0 — Socle commun</w:t>
      </w:r>
    </w:p>
    <w:p>
      <w:pPr>
        <w:pStyle w:val="FirstParagraph"/>
      </w:pPr>
      <w:r>
        <w:t xml:space="preserve">La Partie 0 porte tout ce que les deux cahiers sources décrivaient en double, et elle seule. Elle est le contrat commun aux deux domaines fonctionnels du produit ; les Parties A et B ne redéfinissent ni un rôle, ni un objet, ni une exigence non fonctionnelle déjà fixés ici.</w:t>
      </w:r>
    </w:p>
    <w:bookmarkStart w:id="21" w:name="objet-et-articulation-du-dossier"/>
    <w:p>
      <w:pPr>
        <w:pStyle w:val="Heading2"/>
      </w:pPr>
      <w:r>
        <w:t xml:space="preserve">1. Objet et articulation du dossier</w:t>
      </w:r>
    </w:p>
    <w:p>
      <w:pPr>
        <w:pStyle w:val="FirstParagraph"/>
      </w:pPr>
      <w:r>
        <w:rPr>
          <w:bCs/>
          <w:b/>
        </w:rPr>
        <w:t xml:space="preserve">Règle de préséance.</w:t>
      </w:r>
      <w:r>
        <w:t xml:space="preserve"> </w:t>
      </w:r>
      <w:r>
        <w:t xml:space="preserve">En cas de contradiction entre la Partie 0 et une partie de domaine, la Partie 0 l’emporte. Une exigence de domaine qui suppose un comportement du socle différent de celui décrit ici est une anomalie de rédaction, à corriger et non à interpréter.</w:t>
      </w:r>
    </w:p>
    <w:p>
      <w:pPr>
        <w:pStyle w:val="BodyText"/>
      </w:pPr>
      <w:r>
        <w:rPr>
          <w:bCs/>
          <w:b/>
        </w:rPr>
        <w:t xml:space="preserve">Statut.</w:t>
      </w:r>
      <w:r>
        <w:t xml:space="preserve"> </w:t>
      </w:r>
      <w:r>
        <w:t xml:space="preserve">Version 0.1, document de travail interne. Aucun des deux cahiers sources n’a été diffusé ; le dossier unifié remplace intégralement le cahier SI v3.1 et le cahier Plateforme Simulation, qui ne sont plus opposables une fois la présente version validée.</w:t>
      </w:r>
    </w:p>
    <w:p>
      <w:pPr>
        <w:pStyle w:val="BodyText"/>
      </w:pPr>
      <w:r>
        <w:rPr>
          <w:bCs/>
          <w:b/>
        </w:rPr>
        <w:t xml:space="preserve">Traçabilité.</w:t>
      </w:r>
      <w:r>
        <w:t xml:space="preserve"> </w:t>
      </w:r>
      <w:r>
        <w:t xml:space="preserve">Les identifiants d’exigences des deux cahiers sont conservés et qualifiés par domaine. La table de correspondance figure en section 15 : elle est indispensable en recette, plusieurs agents de la Direction ayant déjà lu la version 3.1.</w:t>
      </w:r>
    </w:p>
    <w:bookmarkEnd w:id="21"/>
    <w:bookmarkStart w:id="22" w:name="périmètre-du-produit-unique"/>
    <w:p>
      <w:pPr>
        <w:pStyle w:val="Heading2"/>
      </w:pPr>
      <w:r>
        <w:t xml:space="preserve">2. Périmètre du produit unique</w:t>
      </w:r>
    </w:p>
    <w:p>
      <w:pPr>
        <w:pStyle w:val="FirstParagraph"/>
      </w:pPr>
      <w:r>
        <w:t xml:space="preserve">Un seul produit couvre désormais deux domaines : le fonctionnement interne de la Direction et la modélisation macroéconomique. Une seule authentification, un seul annuaire, une seule GED, un seul hébergement, un seul marché.</w:t>
      </w:r>
    </w:p>
    <w:p>
      <w:pPr>
        <w:pStyle w:val="BodyText"/>
      </w:pPr>
      <w:r>
        <w:rPr>
          <w:bCs/>
          <w:b/>
        </w:rPr>
        <w:t xml:space="preserve">Domaine A — gestion interne.</w:t>
      </w:r>
      <w:r>
        <w:t xml:space="preserve"> </w:t>
      </w:r>
      <w:r>
        <w:t xml:space="preserve">Activités et tâches, réunions et décisions, communication, dossier administratif des agents, temps et absences, rémunération et bulletins, stages, courrier et actes, logistique.</w:t>
      </w:r>
    </w:p>
    <w:p>
      <w:pPr>
        <w:pStyle w:val="BodyText"/>
      </w:pPr>
      <w:r>
        <w:rPr>
          <w:bCs/>
          <w:b/>
        </w:rPr>
        <w:t xml:space="preserve">Domaine B — modélisation et simulation.</w:t>
      </w:r>
      <w:r>
        <w:t xml:space="preserve"> </w:t>
      </w:r>
      <w:r>
        <w:t xml:space="preserve">Référentiel des modèles et de leurs versions, bases de référence, exécution des modèles GAMS, Excel et Python, scénarios et chocs, contrôles de cohérence, restitution, production assistée du RPEF et des notes de conjoncture.</w:t>
      </w:r>
    </w:p>
    <w:p>
      <w:pPr>
        <w:pStyle w:val="BodyText"/>
      </w:pPr>
      <w:r>
        <w:rPr>
          <w:bCs/>
          <w:b/>
        </w:rPr>
        <w:t xml:space="preserve">Ce que le produit n’est pas.</w:t>
      </w:r>
    </w:p>
    <w:p>
      <w:pPr>
        <w:numPr>
          <w:ilvl w:val="0"/>
          <w:numId w:val="1001"/>
        </w:numPr>
        <w:pStyle w:val="Compact"/>
      </w:pPr>
      <w:r>
        <w:t xml:space="preserve">Il ne réécrit aucun modèle économique. Le modèle EGC, la programmation financière trimestrielle, le TOFE, l’IHPC et les modèles de PIB conservent leurs moteurs ; le produit les héberge, les exécute et les trace.</w:t>
      </w:r>
    </w:p>
    <w:p>
      <w:pPr>
        <w:numPr>
          <w:ilvl w:val="0"/>
          <w:numId w:val="1001"/>
        </w:numPr>
        <w:pStyle w:val="Compact"/>
      </w:pPr>
      <w:r>
        <w:t xml:space="preserve">Il n’est pas un outil de collecte ni de diffusion des statistiques économiques nationales : c’est l’objet de la PICE.</w:t>
      </w:r>
    </w:p>
    <w:p>
      <w:pPr>
        <w:numPr>
          <w:ilvl w:val="0"/>
          <w:numId w:val="1001"/>
        </w:numPr>
        <w:pStyle w:val="Compact"/>
      </w:pPr>
      <w:r>
        <w:t xml:space="preserve">Il ne se substitue pas aux systèmes de la Fonction publique pour la gestion statutaire des agents ; il tient le dossier administratif utile à la Direction, le matricule restant la clé.</w:t>
      </w:r>
    </w:p>
    <w:p>
      <w:pPr>
        <w:pStyle w:val="FirstParagraph"/>
      </w:pPr>
      <w:r>
        <w:rPr>
          <w:bCs/>
          <w:b/>
        </w:rPr>
        <w:t xml:space="preserve">Nom du produit.</w:t>
      </w:r>
      <w:r>
        <w:t xml:space="preserve"> </w:t>
      </w:r>
      <w:r>
        <w:t xml:space="preserve">Le produit s’appelle</w:t>
      </w:r>
      <w:r>
        <w:t xml:space="preserve"> </w:t>
      </w:r>
      <w:r>
        <w:rPr>
          <w:bCs/>
          <w:b/>
        </w:rPr>
        <w:t xml:space="preserve">NIMBA</w:t>
      </w:r>
      <w:r>
        <w:t xml:space="preserve">, en toutes lettres « NIMBA — Plateforme intégrée de la DNPEC ». Le sigle SIG-DNPEC ne couvre plus le périmètre et cesse d’être employé. NIMBA figure sur l’interface, les exports, les bulletins, les actes et les rapports diffusables, sous la forme courte dans l’application et sous la forme longue sur les documents opposables.</w:t>
      </w:r>
    </w:p>
    <w:p>
      <w:pPr>
        <w:pStyle w:val="BodyText"/>
      </w:pPr>
      <w:r>
        <w:t xml:space="preserve">Le nom reprend celui du mont Nimba, point culminant du pays, dans la continuité de la famille de modèles SYLI déjà en service à la division : un nom d’identité, complété d’un sous-titre descriptif, plutôt qu’un sigle qui ne pourrait pas couvrir honnêtement la gestion du personnel et l’équilibre général calculable à la fois. Avant diffusion, la Direction s’assure qu’aucun autre système du MEFB ne porte déjà ce nom.</w:t>
      </w:r>
    </w:p>
    <w:p>
      <w:pPr>
        <w:pStyle w:val="BodyText"/>
      </w:pPr>
      <w:r>
        <w:rPr>
          <w:bCs/>
          <w:b/>
        </w:rPr>
        <w:t xml:space="preserve">PICE.</w:t>
      </w:r>
      <w:r>
        <w:t xml:space="preserve"> </w:t>
      </w:r>
      <w:r>
        <w:t xml:space="preserve">La PICE reste un système distinct. Son rattachement au socle d’identité du présent produit doit être tranché maintenant (décision D-02) : à défaut, un troisième référentiel de comptes se constituera et l’arbitrage devra être refait une fois la PICE en service.</w:t>
      </w:r>
    </w:p>
    <w:bookmarkEnd w:id="22"/>
    <w:bookmarkStart w:id="26" w:name="Xbb8e472a79ce4034867857f707f7936cdeb3731"/>
    <w:p>
      <w:pPr>
        <w:pStyle w:val="Heading2"/>
      </w:pPr>
      <w:r>
        <w:t xml:space="preserve">3. Organisation de référence et principe de cascade</w:t>
      </w:r>
    </w:p>
    <w:p>
      <w:pPr>
        <w:pStyle w:val="FirstParagraph"/>
      </w:pPr>
      <w:r>
        <w:t xml:space="preserve">Le référentiel organisationnel est unique, porté par le socle, et consommé par les deux domaines. Il repose sur un objet générique</w:t>
      </w:r>
      <w:r>
        <w:t xml:space="preserve"> </w:t>
      </w:r>
      <w:r>
        <w:rPr>
          <w:bCs/>
          <w:b/>
        </w:rPr>
        <w:t xml:space="preserve">Unité organisationnelle</w:t>
      </w:r>
      <w:r>
        <w:t xml:space="preserve">, récursif, et non sur un couple « division / section » codé en dur : code, libellé, type (Direction, Division, Section, Cellule, Instance), unité parente, responsable désigné, suppléant éventuel, date de création et date de fermeture.</w:t>
      </w:r>
    </w:p>
    <w:p>
      <w:pPr>
        <w:pStyle w:val="BodyText"/>
      </w:pPr>
      <w:r>
        <w:t xml:space="preserve">Ce choix absorbe sans modification du code les cellules transversales SAF, RH, CSID et</w:t>
      </w:r>
      <w:r>
        <w:t xml:space="preserve"> </w:t>
      </w:r>
      <w:r>
        <w:rPr>
          <w:bCs/>
          <w:b/>
        </w:rPr>
        <w:t xml:space="preserve">Secrétariat de direction</w:t>
      </w:r>
      <w:r>
        <w:t xml:space="preserve">, les structures encore indéfinies (CTSCM, CNC) et les réorganisations futures de la Direction.</w:t>
      </w:r>
    </w:p>
    <w:p>
      <w:pPr>
        <w:pStyle w:val="BodyText"/>
      </w:pPr>
      <w:r>
        <w:rPr>
          <w:bCs/>
          <w:b/>
        </w:rPr>
        <w:t xml:space="preserve">Postes de direction et secrétariat.</w:t>
      </w:r>
      <w:r>
        <w:t xml:space="preserve"> </w:t>
      </w:r>
      <w:r>
        <w:t xml:space="preserve">Le référentiel comporte, outre les divisions et sections, les postes suivants, dont l’omission dans la version précédente rendait plusieurs circuits inapplicables :</w:t>
      </w:r>
    </w:p>
    <w:tbl>
      <w:tblPr>
        <w:tblStyle w:val="Table"/>
        <w:tblW w:type="dxa" w:w="9354"/>
        <w:tblLayout w:type="fixed"/>
        <w:tblLook w:firstRow="1" w:lastRow="0" w:firstColumn="0" w:lastColumn="0" w:noHBand="0" w:noVBand="0" w:val="0020"/>
        <w:jc w:val="start"/>
      </w:tblPr>
      <w:tblGrid>
        <w:gridCol w:w="3216"/>
        <w:gridCol w:w="2614"/>
        <w:gridCol w:w="3524"/>
      </w:tblGrid>
      <w:tr>
        <w:trPr>
          <w:tblHeader w:val="true"/>
        </w:trPr>
        <w:tc>
          <w:tcPr/>
          <w:p>
            <w:pPr>
              <w:pStyle w:val="Compact"/>
              <w:jc w:val="left"/>
            </w:pPr>
            <w:r>
              <w:t xml:space="preserve">Poste</w:t>
            </w:r>
          </w:p>
        </w:tc>
        <w:tc>
          <w:tcPr/>
          <w:p>
            <w:pPr>
              <w:pStyle w:val="Compact"/>
              <w:jc w:val="left"/>
            </w:pPr>
            <w:r>
              <w:t xml:space="preserve">Unité</w:t>
            </w:r>
          </w:p>
        </w:tc>
        <w:tc>
          <w:tcPr/>
          <w:p>
            <w:pPr>
              <w:pStyle w:val="Compact"/>
              <w:jc w:val="left"/>
            </w:pPr>
            <w:r>
              <w:t xml:space="preserve">Particularité</w:t>
            </w:r>
          </w:p>
        </w:tc>
      </w:tr>
      <w:tr>
        <w:tc>
          <w:tcPr/>
          <w:p>
            <w:pPr>
              <w:pStyle w:val="Compact"/>
              <w:jc w:val="left"/>
            </w:pPr>
            <w:r>
              <w:t xml:space="preserve">Directeur National</w:t>
            </w:r>
          </w:p>
        </w:tc>
        <w:tc>
          <w:tcPr/>
          <w:p>
            <w:pPr>
              <w:pStyle w:val="Compact"/>
              <w:jc w:val="left"/>
            </w:pPr>
            <w:r>
              <w:t xml:space="preserve">Direction</w:t>
            </w:r>
          </w:p>
        </w:tc>
        <w:tc>
          <w:tcPr/>
          <w:p>
            <w:pPr>
              <w:pStyle w:val="Compact"/>
              <w:jc w:val="left"/>
            </w:pPr>
            <w:r>
              <w:t xml:space="preserve">Autorité sur l’ensemble de la Direction</w:t>
            </w:r>
          </w:p>
        </w:tc>
      </w:tr>
      <w:tr>
        <w:tc>
          <w:tcPr/>
          <w:p>
            <w:pPr>
              <w:pStyle w:val="Compact"/>
              <w:jc w:val="left"/>
            </w:pPr>
            <w:r>
              <w:rPr>
                <w:bCs/>
                <w:b/>
              </w:rPr>
              <w:t xml:space="preserve">Directeur National Adjoint</w:t>
            </w:r>
          </w:p>
        </w:tc>
        <w:tc>
          <w:tcPr/>
          <w:p>
            <w:pPr>
              <w:pStyle w:val="Compact"/>
              <w:jc w:val="left"/>
            </w:pPr>
            <w:r>
              <w:t xml:space="preserve">Direction</w:t>
            </w:r>
          </w:p>
        </w:tc>
        <w:tc>
          <w:tcPr/>
          <w:p>
            <w:pPr>
              <w:pStyle w:val="Compact"/>
              <w:jc w:val="left"/>
            </w:pPr>
            <w:r>
              <w:rPr>
                <w:bCs/>
                <w:b/>
              </w:rPr>
              <w:t xml:space="preserve">Même niveau d’autorité que le Directeur National</w:t>
            </w:r>
            <w:r>
              <w:t xml:space="preserve"> </w:t>
            </w:r>
            <w:r>
              <w:t xml:space="preserve">; suppléance de droit, inscrite au registre des suppléances</w:t>
            </w:r>
          </w:p>
        </w:tc>
      </w:tr>
      <w:tr>
        <w:tc>
          <w:tcPr/>
          <w:p>
            <w:pPr>
              <w:pStyle w:val="Compact"/>
              <w:jc w:val="left"/>
            </w:pPr>
            <w:r>
              <w:rPr>
                <w:bCs/>
                <w:b/>
              </w:rPr>
              <w:t xml:space="preserve">Secrétaire du Directeur National</w:t>
            </w:r>
          </w:p>
        </w:tc>
        <w:tc>
          <w:tcPr/>
          <w:p>
            <w:pPr>
              <w:pStyle w:val="Compact"/>
              <w:jc w:val="left"/>
            </w:pPr>
            <w:r>
              <w:t xml:space="preserve">Secrétariat de direction</w:t>
            </w:r>
          </w:p>
        </w:tc>
        <w:tc>
          <w:tcPr/>
          <w:p>
            <w:pPr>
              <w:pStyle w:val="Compact"/>
              <w:jc w:val="left"/>
            </w:pPr>
            <w:r>
              <w:t xml:space="preserve">Rôle Assistant DN/DNA et rôle Agent du courrier</w:t>
            </w:r>
          </w:p>
        </w:tc>
      </w:tr>
      <w:tr>
        <w:tc>
          <w:tcPr/>
          <w:p>
            <w:pPr>
              <w:pStyle w:val="Compact"/>
              <w:jc w:val="left"/>
            </w:pPr>
            <w:r>
              <w:rPr>
                <w:bCs/>
                <w:b/>
              </w:rPr>
              <w:t xml:space="preserve">Secrétaire du Directeur National Adjoint</w:t>
            </w:r>
          </w:p>
        </w:tc>
        <w:tc>
          <w:tcPr/>
          <w:p>
            <w:pPr>
              <w:pStyle w:val="Compact"/>
              <w:jc w:val="left"/>
            </w:pPr>
            <w:r>
              <w:t xml:space="preserve">Secrétariat de direction</w:t>
            </w:r>
          </w:p>
        </w:tc>
        <w:tc>
          <w:tcPr/>
          <w:p>
            <w:pPr>
              <w:pStyle w:val="Compact"/>
              <w:jc w:val="left"/>
            </w:pPr>
            <w:r>
              <w:t xml:space="preserve">Rôle Assistant DN/DNA et rôle Agent du courrier</w:t>
            </w:r>
          </w:p>
        </w:tc>
      </w:tr>
    </w:tbl>
    <w:p>
      <w:pPr>
        <w:pStyle w:val="BodyText"/>
      </w:pPr>
      <w:r>
        <w:t xml:space="preserve">Le secrétariat de direction enregistre le courrier entrant, prépare les convocations et les comptes rendus, suit les instructions de la Direction et les décisions de réunion, et donne à la CSID les instructions de maintien des gabarits et des séquences de numérotation (section 7.4).</w:t>
      </w:r>
      <w:r>
        <w:t xml:space="preserve"> </w:t>
      </w:r>
      <w:r>
        <w:rPr>
          <w:bCs/>
          <w:b/>
        </w:rPr>
        <w:t xml:space="preserve">Sa délégation ne lui donne accès à aucun objet protégé</w:t>
      </w:r>
      <w:r>
        <w:t xml:space="preserve"> </w:t>
      </w:r>
      <w:r>
        <w:t xml:space="preserve">au sens de la section 3.2 : ni bulletin, ni dossier agent, ni justificatif médical, ni suggestion anonyme. Le périmètre exact de cette délégation reste à arrêter par le Directeur National (décision D-06).</w:t>
      </w:r>
    </w:p>
    <w:p>
      <w:pPr>
        <w:pStyle w:val="BodyText"/>
      </w:pPr>
      <w:r>
        <w:rPr>
          <w:bCs/>
          <w:b/>
        </w:rPr>
        <w:t xml:space="preserve">Trois notions distinctes</w:t>
      </w:r>
      <w:r>
        <w:t xml:space="preserve">, à ne jamais confondre dans le modèle de données : l’</w:t>
      </w:r>
      <w:r>
        <w:rPr>
          <w:bCs/>
          <w:b/>
        </w:rPr>
        <w:t xml:space="preserve">agent</w:t>
      </w:r>
      <w:r>
        <w:t xml:space="preserve"> </w:t>
      </w:r>
      <w:r>
        <w:t xml:space="preserve">(personne physique, titulaire d’un dossier administratif qui survit au départ), l’</w:t>
      </w:r>
      <w:r>
        <w:rPr>
          <w:bCs/>
          <w:b/>
        </w:rPr>
        <w:t xml:space="preserve">utilisateur</w:t>
      </w:r>
      <w:r>
        <w:t xml:space="preserve"> </w:t>
      </w:r>
      <w:r>
        <w:t xml:space="preserve">(compte d’accès rattaché à un agent, avec ses rôles et son état) et le</w:t>
      </w:r>
      <w:r>
        <w:t xml:space="preserve"> </w:t>
      </w:r>
      <w:r>
        <w:rPr>
          <w:bCs/>
          <w:b/>
        </w:rPr>
        <w:t xml:space="preserve">stagiaire</w:t>
      </w:r>
      <w:r>
        <w:t xml:space="preserve"> </w:t>
      </w:r>
      <w:r>
        <w:t xml:space="preserve">(agent temporaire rattaché à une unité d’accueil et à un encadreur, avec une date de fin qui éteint les accès automatiquement). Le domaine B ajoute une quatrième notion, le</w:t>
      </w:r>
      <w:r>
        <w:t xml:space="preserve"> </w:t>
      </w:r>
      <w:r>
        <w:rPr>
          <w:bCs/>
          <w:b/>
        </w:rPr>
        <w:t xml:space="preserve">compte externe</w:t>
      </w:r>
      <w:r>
        <w:t xml:space="preserve">, traitée en section 4.</w:t>
      </w:r>
    </w:p>
    <w:bookmarkStart w:id="23" w:name="principe-de-cascade"/>
    <w:p>
      <w:pPr>
        <w:pStyle w:val="Heading3"/>
      </w:pPr>
      <w:r>
        <w:t xml:space="preserve">3.1 Principe de cascade</w:t>
      </w:r>
    </w:p>
    <w:p>
      <w:pPr>
        <w:pStyle w:val="FirstParagraph"/>
      </w:pPr>
      <w:r>
        <w:t xml:space="preserve">Chaque responsable dispose d’autorité et de visibilité sur son périmètre direct et sur tous les niveaux subordonnés. Le DN et le DNA se situent au même niveau d’autorité. Le principe gouverne la création de tâches, l’envoi d’annonces, l’accès aux tableaux de bord et le suivi d’activité.</w:t>
      </w:r>
    </w:p>
    <w:bookmarkEnd w:id="23"/>
    <w:bookmarkStart w:id="24" w:name="exception-besoin-den-connaître"/>
    <w:p>
      <w:pPr>
        <w:pStyle w:val="Heading3"/>
      </w:pPr>
      <w:r>
        <w:t xml:space="preserve">3.2 Exception — besoin d’en connaître</w:t>
      </w:r>
    </w:p>
    <w:p>
      <w:pPr>
        <w:pStyle w:val="FirstParagraph"/>
      </w:pPr>
      <w:r>
        <w:t xml:space="preserve">La cascade ne s’applique pas aux objets ci-dessous, qui obéissent au besoin d’en connaître et non au niveau hiérarchique.</w:t>
      </w:r>
      <w:r>
        <w:t xml:space="preserve"> </w:t>
      </w:r>
      <w:r>
        <w:rPr>
          <w:bCs/>
          <w:b/>
        </w:rPr>
        <w:t xml:space="preserve">C’est la règle de sécurité centrale du produit. Une conception qui la contourne, même partiellement, est rejetée en recette.</w:t>
      </w:r>
    </w:p>
    <w:tbl>
      <w:tblPr>
        <w:tblStyle w:val="Table"/>
        <w:tblW w:type="dxa" w:w="9354"/>
        <w:tblLayout w:type="fixed"/>
        <w:tblLook w:firstRow="1" w:lastRow="0" w:firstColumn="0" w:lastColumn="0" w:noHBand="0" w:noVBand="0" w:val="0020"/>
        <w:jc w:val="start"/>
      </w:tblPr>
      <w:tblGrid>
        <w:gridCol w:w="3312"/>
        <w:gridCol w:w="3513"/>
        <w:gridCol w:w="2529"/>
      </w:tblGrid>
      <w:tr>
        <w:trPr>
          <w:tblHeader w:val="true"/>
        </w:trPr>
        <w:tc>
          <w:tcPr/>
          <w:p>
            <w:pPr>
              <w:pStyle w:val="Compact"/>
              <w:jc w:val="left"/>
            </w:pPr>
            <w:r>
              <w:t xml:space="preserve">Objet protégé</w:t>
            </w:r>
          </w:p>
        </w:tc>
        <w:tc>
          <w:tcPr/>
          <w:p>
            <w:pPr>
              <w:pStyle w:val="Compact"/>
              <w:jc w:val="left"/>
            </w:pPr>
            <w:r>
              <w:t xml:space="preserve">Qui y accède</w:t>
            </w:r>
          </w:p>
        </w:tc>
        <w:tc>
          <w:tcPr/>
          <w:p>
            <w:pPr>
              <w:pStyle w:val="Compact"/>
              <w:jc w:val="left"/>
            </w:pPr>
            <w:r>
              <w:t xml:space="preserve">Domaine</w:t>
            </w:r>
          </w:p>
        </w:tc>
      </w:tr>
      <w:tr>
        <w:tc>
          <w:tcPr/>
          <w:p>
            <w:pPr>
              <w:pStyle w:val="Compact"/>
              <w:jc w:val="left"/>
            </w:pPr>
            <w:r>
              <w:t xml:space="preserve">Bulletin de paie et éléments de rémunération individuels</w:t>
            </w:r>
          </w:p>
        </w:tc>
        <w:tc>
          <w:tcPr/>
          <w:p>
            <w:pPr>
              <w:pStyle w:val="Compact"/>
              <w:jc w:val="left"/>
            </w:pPr>
            <w:r>
              <w:t xml:space="preserve">L’agent concerné, le gestionnaire SAF/paie, le chef SAF</w:t>
            </w:r>
          </w:p>
        </w:tc>
        <w:tc>
          <w:tcPr/>
          <w:p>
            <w:pPr>
              <w:pStyle w:val="Compact"/>
              <w:jc w:val="left"/>
            </w:pPr>
            <w:r>
              <w:t xml:space="preserve">A</w:t>
            </w:r>
          </w:p>
        </w:tc>
      </w:tr>
      <w:tr>
        <w:tc>
          <w:tcPr/>
          <w:p>
            <w:pPr>
              <w:pStyle w:val="Compact"/>
              <w:jc w:val="left"/>
            </w:pPr>
            <w:r>
              <w:t xml:space="preserve">Motif médical d’une absence et certificat médical</w:t>
            </w:r>
          </w:p>
        </w:tc>
        <w:tc>
          <w:tcPr/>
          <w:p>
            <w:pPr>
              <w:pStyle w:val="Compact"/>
              <w:jc w:val="left"/>
            </w:pPr>
            <w:r>
              <w:t xml:space="preserve">L’agent concerné, le DRH</w:t>
            </w:r>
          </w:p>
        </w:tc>
        <w:tc>
          <w:tcPr/>
          <w:p>
            <w:pPr>
              <w:pStyle w:val="Compact"/>
              <w:jc w:val="left"/>
            </w:pPr>
            <w:r>
              <w:t xml:space="preserve">A</w:t>
            </w:r>
          </w:p>
        </w:tc>
      </w:tr>
      <w:tr>
        <w:tc>
          <w:tcPr/>
          <w:p>
            <w:pPr>
              <w:pStyle w:val="Compact"/>
              <w:jc w:val="left"/>
            </w:pPr>
            <w:r>
              <w:t xml:space="preserve">Dossier administratif individuel</w:t>
            </w:r>
          </w:p>
        </w:tc>
        <w:tc>
          <w:tcPr/>
          <w:p>
            <w:pPr>
              <w:pStyle w:val="Compact"/>
              <w:jc w:val="left"/>
            </w:pPr>
            <w:r>
              <w:t xml:space="preserve">L’agent concerné en consultation, le DRH, le gestionnaire RH</w:t>
            </w:r>
          </w:p>
        </w:tc>
        <w:tc>
          <w:tcPr/>
          <w:p>
            <w:pPr>
              <w:pStyle w:val="Compact"/>
              <w:jc w:val="left"/>
            </w:pPr>
            <w:r>
              <w:t xml:space="preserve">A</w:t>
            </w:r>
          </w:p>
        </w:tc>
      </w:tr>
      <w:tr>
        <w:tc>
          <w:tcPr/>
          <w:p>
            <w:pPr>
              <w:pStyle w:val="Compact"/>
              <w:jc w:val="left"/>
            </w:pPr>
            <w:r>
              <w:t xml:space="preserve">Évaluation individuelle et appréciation</w:t>
            </w:r>
          </w:p>
        </w:tc>
        <w:tc>
          <w:tcPr/>
          <w:p>
            <w:pPr>
              <w:pStyle w:val="Compact"/>
              <w:jc w:val="left"/>
            </w:pPr>
            <w:r>
              <w:t xml:space="preserve">L’agent concerné, son chef direct, le DRH</w:t>
            </w:r>
          </w:p>
        </w:tc>
        <w:tc>
          <w:tcPr/>
          <w:p>
            <w:pPr>
              <w:pStyle w:val="Compact"/>
              <w:jc w:val="left"/>
            </w:pPr>
            <w:r>
              <w:t xml:space="preserve">A</w:t>
            </w:r>
          </w:p>
        </w:tc>
      </w:tr>
      <w:tr>
        <w:tc>
          <w:tcPr/>
          <w:p>
            <w:pPr>
              <w:pStyle w:val="Compact"/>
              <w:jc w:val="left"/>
            </w:pPr>
            <w:r>
              <w:t xml:space="preserve">Contenu d’une suggestion anonyme</w:t>
            </w:r>
          </w:p>
        </w:tc>
        <w:tc>
          <w:tcPr/>
          <w:p>
            <w:pPr>
              <w:pStyle w:val="Compact"/>
              <w:jc w:val="left"/>
            </w:pPr>
            <w:r>
              <w:t xml:space="preserve">Le DN et le DNA exclusivement, sans identité de l’auteur ; ni l’assistant, ni l’administrateur</w:t>
            </w:r>
          </w:p>
        </w:tc>
        <w:tc>
          <w:tcPr/>
          <w:p>
            <w:pPr>
              <w:pStyle w:val="Compact"/>
              <w:jc w:val="left"/>
            </w:pPr>
            <w:r>
              <w:t xml:space="preserve">A</w:t>
            </w:r>
          </w:p>
        </w:tc>
      </w:tr>
      <w:tr>
        <w:tc>
          <w:tcPr/>
          <w:p>
            <w:pPr>
              <w:pStyle w:val="Compact"/>
              <w:jc w:val="left"/>
            </w:pPr>
            <w:r>
              <w:t xml:space="preserve">Espace documentaire privé d’une unité</w:t>
            </w:r>
          </w:p>
        </w:tc>
        <w:tc>
          <w:tcPr/>
          <w:p>
            <w:pPr>
              <w:pStyle w:val="Compact"/>
              <w:jc w:val="left"/>
            </w:pPr>
            <w:r>
              <w:t xml:space="preserve">Les membres de l’unité</w:t>
            </w:r>
          </w:p>
        </w:tc>
        <w:tc>
          <w:tcPr/>
          <w:p>
            <w:pPr>
              <w:pStyle w:val="Compact"/>
              <w:jc w:val="left"/>
            </w:pPr>
            <w:r>
              <w:t xml:space="preserve">A</w:t>
            </w:r>
          </w:p>
        </w:tc>
      </w:tr>
      <w:tr>
        <w:tc>
          <w:tcPr/>
          <w:p>
            <w:pPr>
              <w:pStyle w:val="Compact"/>
              <w:jc w:val="left"/>
            </w:pPr>
            <w:r>
              <w:t xml:space="preserve">Simulation au statut exploratoire</w:t>
            </w:r>
          </w:p>
        </w:tc>
        <w:tc>
          <w:tcPr/>
          <w:p>
            <w:pPr>
              <w:pStyle w:val="Compact"/>
              <w:jc w:val="left"/>
            </w:pPr>
            <w:r>
              <w:t xml:space="preserve">Son auteur, le responsable du modèle, l’administrateur</w:t>
            </w:r>
          </w:p>
        </w:tc>
        <w:tc>
          <w:tcPr/>
          <w:p>
            <w:pPr>
              <w:pStyle w:val="Compact"/>
              <w:jc w:val="left"/>
            </w:pPr>
            <w:r>
              <w:t xml:space="preserve">B</w:t>
            </w:r>
          </w:p>
        </w:tc>
      </w:tr>
    </w:tbl>
    <w:p>
      <w:pPr>
        <w:pStyle w:val="BodyText"/>
      </w:pPr>
      <w:r>
        <w:t xml:space="preserve">Le DN et le DNA conservent la visibilité sur l’</w:t>
      </w:r>
      <w:r>
        <w:rPr>
          <w:bCs/>
          <w:b/>
        </w:rPr>
        <w:t xml:space="preserve">existence</w:t>
      </w:r>
      <w:r>
        <w:t xml:space="preserve"> </w:t>
      </w:r>
      <w:r>
        <w:t xml:space="preserve">des objets — qu’une absence est en cours, qu’une campagne de paie a été publiée, qu’une simulation a été exécutée — sans accès au contenu protégé.</w:t>
      </w:r>
    </w:p>
    <w:p>
      <w:pPr>
        <w:pStyle w:val="BodyText"/>
      </w:pPr>
      <w:r>
        <w:t xml:space="preserve">La fusion étend l’exception dans un second sens, absent des deux cahiers sources :</w:t>
      </w:r>
      <w:r>
        <w:t xml:space="preserve"> </w:t>
      </w:r>
      <w:r>
        <w:rPr>
          <w:bCs/>
          <w:b/>
        </w:rPr>
        <w:t xml:space="preserve">aucun compte externe n’accède à quelque objet du domaine A que ce soit</w:t>
      </w:r>
      <w:r>
        <w:t xml:space="preserve">, quel que soit son rôle fonctionnel dans le domaine B. Le cloisonnement entre domaines est une règle du socle, pas un paramétrage.</w:t>
      </w:r>
    </w:p>
    <w:bookmarkEnd w:id="24"/>
    <w:bookmarkStart w:id="25" w:name="suppléance-et-intérim"/>
    <w:p>
      <w:pPr>
        <w:pStyle w:val="Heading3"/>
      </w:pPr>
      <w:r>
        <w:t xml:space="preserve">3.3 Suppléance et intérim</w:t>
      </w:r>
    </w:p>
    <w:p>
      <w:pPr>
        <w:pStyle w:val="FirstParagraph"/>
      </w:pPr>
      <w:r>
        <w:t xml:space="preserve">Tout responsable peut désigner, ou voir désigner par son supérieur, un suppléant pour une période datée. Le suppléant exerce les droits de validation du titulaire, chaque action étant journalisée sous la mention « par intérim, au nom de ». L’absence d’un responsable ne bloque jamais un circuit — congé, validation de tâche, instruction, validation d’une simulation diffusable.</w:t>
      </w:r>
    </w:p>
    <w:bookmarkEnd w:id="25"/>
    <w:bookmarkEnd w:id="26"/>
    <w:bookmarkStart w:id="31" w:name="comptes-identité-et-authentification"/>
    <w:p>
      <w:pPr>
        <w:pStyle w:val="Heading2"/>
      </w:pPr>
      <w:r>
        <w:t xml:space="preserve">4. Comptes, identité et authentification</w:t>
      </w:r>
    </w:p>
    <w:p>
      <w:pPr>
        <w:pStyle w:val="FirstParagraph"/>
      </w:pPr>
      <w:r>
        <w:t xml:space="preserve">Un agent, un compte, un mot de passe, pour les deux domaines. Un compte interne ne peut être activé que s’il est rattaché à un dossier agent : il n’existe pas de compte sans agent.</w:t>
      </w:r>
    </w:p>
    <w:bookmarkStart w:id="27" w:name="cycle-de-vie-des-comptes"/>
    <w:p>
      <w:pPr>
        <w:pStyle w:val="Heading3"/>
      </w:pPr>
      <w:r>
        <w:t xml:space="preserve">4.1 Cycle de vie des comptes</w:t>
      </w:r>
    </w:p>
    <w:tbl>
      <w:tblPr>
        <w:tblStyle w:val="Table"/>
        <w:tblW w:type="dxa" w:w="9354"/>
        <w:tblLayout w:type="fixed"/>
        <w:tblLook w:firstRow="1" w:lastRow="0" w:firstColumn="0" w:lastColumn="0" w:noHBand="0" w:noVBand="0" w:val="0020"/>
        <w:jc w:val="start"/>
      </w:tblPr>
      <w:tblGrid>
        <w:gridCol w:w="3825"/>
        <w:gridCol w:w="5529"/>
      </w:tblGrid>
      <w:tr>
        <w:trPr>
          <w:tblHeader w:val="true"/>
        </w:trPr>
        <w:tc>
          <w:tcPr/>
          <w:p>
            <w:pPr>
              <w:pStyle w:val="Compact"/>
              <w:jc w:val="left"/>
            </w:pPr>
            <w:r>
              <w:t xml:space="preserve">Événement</w:t>
            </w:r>
          </w:p>
        </w:tc>
        <w:tc>
          <w:tcPr/>
          <w:p>
            <w:pPr>
              <w:pStyle w:val="Compact"/>
              <w:jc w:val="left"/>
            </w:pPr>
            <w:r>
              <w:t xml:space="preserve">Effet attendu</w:t>
            </w:r>
          </w:p>
        </w:tc>
      </w:tr>
      <w:tr>
        <w:tc>
          <w:tcPr/>
          <w:p>
            <w:pPr>
              <w:pStyle w:val="Compact"/>
              <w:jc w:val="left"/>
            </w:pPr>
            <w:r>
              <w:t xml:space="preserve">Arrivée d’un agent</w:t>
            </w:r>
          </w:p>
        </w:tc>
        <w:tc>
          <w:tcPr/>
          <w:p>
            <w:pPr>
              <w:pStyle w:val="Compact"/>
              <w:jc w:val="left"/>
            </w:pPr>
            <w:r>
              <w:t xml:space="preserve">Dossier agent créé par les RH, puis compte créé par la CSID ou auto-inscription validée</w:t>
            </w:r>
          </w:p>
        </w:tc>
      </w:tr>
      <w:tr>
        <w:tc>
          <w:tcPr/>
          <w:p>
            <w:pPr>
              <w:pStyle w:val="Compact"/>
              <w:jc w:val="left"/>
            </w:pPr>
            <w:r>
              <w:t xml:space="preserve">Affectation ou mutation</w:t>
            </w:r>
          </w:p>
        </w:tc>
        <w:tc>
          <w:tcPr/>
          <w:p>
            <w:pPr>
              <w:pStyle w:val="Compact"/>
              <w:jc w:val="left"/>
            </w:pPr>
            <w:r>
              <w:t xml:space="preserve">Changement d’unité daté ; les droits de l’unité précédente cessent à la date d’effet ; l’historique reste consultable par l’intéressé et sa hiérarchie d’alors</w:t>
            </w:r>
          </w:p>
        </w:tc>
      </w:tr>
      <w:tr>
        <w:tc>
          <w:tcPr/>
          <w:p>
            <w:pPr>
              <w:pStyle w:val="Compact"/>
              <w:jc w:val="left"/>
            </w:pPr>
            <w:r>
              <w:t xml:space="preserve">Promotion ou changement de fonction</w:t>
            </w:r>
          </w:p>
        </w:tc>
        <w:tc>
          <w:tcPr/>
          <w:p>
            <w:pPr>
              <w:pStyle w:val="Compact"/>
              <w:jc w:val="left"/>
            </w:pPr>
            <w:r>
              <w:t xml:space="preserve">Changement de rôle daté, historique conservé</w:t>
            </w:r>
          </w:p>
        </w:tc>
      </w:tr>
      <w:tr>
        <w:tc>
          <w:tcPr/>
          <w:p>
            <w:pPr>
              <w:pStyle w:val="Compact"/>
              <w:jc w:val="left"/>
            </w:pPr>
            <w:r>
              <w:t xml:space="preserve">Absence prolongée</w:t>
            </w:r>
          </w:p>
        </w:tc>
        <w:tc>
          <w:tcPr/>
          <w:p>
            <w:pPr>
              <w:pStyle w:val="Compact"/>
              <w:jc w:val="left"/>
            </w:pPr>
            <w:r>
              <w:t xml:space="preserve">Suspension possible du compte et désignation d’un suppléant</w:t>
            </w:r>
          </w:p>
        </w:tc>
      </w:tr>
      <w:tr>
        <w:tc>
          <w:tcPr/>
          <w:p>
            <w:pPr>
              <w:pStyle w:val="Compact"/>
              <w:jc w:val="left"/>
            </w:pPr>
            <w:r>
              <w:t xml:space="preserve">Fin de stage ou de contrat</w:t>
            </w:r>
          </w:p>
        </w:tc>
        <w:tc>
          <w:tcPr/>
          <w:p>
            <w:pPr>
              <w:pStyle w:val="Compact"/>
              <w:jc w:val="left"/>
            </w:pPr>
            <w:r>
              <w:t xml:space="preserve">Désactivation automatique à l’échéance, alerte au DRH 15 jours avant</w:t>
            </w:r>
          </w:p>
        </w:tc>
      </w:tr>
      <w:tr>
        <w:tc>
          <w:tcPr/>
          <w:p>
            <w:pPr>
              <w:pStyle w:val="Compact"/>
              <w:jc w:val="left"/>
            </w:pPr>
            <w:r>
              <w:t xml:space="preserve">Départ définitif</w:t>
            </w:r>
          </w:p>
        </w:tc>
        <w:tc>
          <w:tcPr/>
          <w:p>
            <w:pPr>
              <w:pStyle w:val="Compact"/>
              <w:jc w:val="left"/>
            </w:pPr>
            <w:r>
              <w:t xml:space="preserve">Compte désactivé, tâches en cours transférées au chef d’unité, dossier agent conservé selon le référentiel de conservation</w:t>
            </w:r>
          </w:p>
        </w:tc>
      </w:tr>
    </w:tbl>
    <w:p>
      <w:pPr>
        <w:pStyle w:val="BodyText"/>
      </w:pPr>
      <w:r>
        <w:t xml:space="preserve">Le départ d’un agent ne supprime aucune simulation ni aucun rapport dont il était l’auteur : la traçabilité du domaine B survit au compte, comme le dossier agent survit au compte dans le domaine A.</w:t>
      </w:r>
    </w:p>
    <w:bookmarkEnd w:id="27"/>
    <w:bookmarkStart w:id="28" w:name="création-des-comptes-internes"/>
    <w:p>
      <w:pPr>
        <w:pStyle w:val="Heading3"/>
      </w:pPr>
      <w:r>
        <w:t xml:space="preserve">4.2 Création des comptes internes</w:t>
      </w:r>
    </w:p>
    <w:p>
      <w:pPr>
        <w:pStyle w:val="FirstParagraph"/>
      </w:pPr>
      <w:r>
        <w:t xml:space="preserve">Trois modalités simultanées : création manuelle par l’administrateur CSID ; auto-inscription avec adresse professionnelle du domaine institutionnel, soumise à validation et rapprochement avec un dossier agent ; import en masse par fichier Excel au lancement, avec contrôle de doublons sur le matricule de la Fonction publique, qui reste la clé du dossier agent lorsqu’il existe.</w:t>
      </w:r>
    </w:p>
    <w:bookmarkEnd w:id="28"/>
    <w:bookmarkStart w:id="29" w:name="comptes-externes"/>
    <w:p>
      <w:pPr>
        <w:pStyle w:val="Heading3"/>
      </w:pPr>
      <w:r>
        <w:t xml:space="preserve">4.3 Comptes externes</w:t>
      </w:r>
    </w:p>
    <w:p>
      <w:pPr>
        <w:pStyle w:val="FirstParagraph"/>
      </w:pPr>
      <w:r>
        <w:t xml:space="preserve">Nouveauté de la fusion : le domaine B prévoit des lecteurs extérieurs à la Direction (missions du FMI, Banque mondiale, partenaires), qui ne sont pas des agents et ne peuvent donc pas suivre le cycle ci-dessus. Le socle définit une classe distincte de comptes, dont les règles sont non négociables.</w:t>
      </w:r>
    </w:p>
    <w:p>
      <w:pPr>
        <w:numPr>
          <w:ilvl w:val="0"/>
          <w:numId w:val="1002"/>
        </w:numPr>
        <w:pStyle w:val="Compact"/>
      </w:pPr>
      <w:r>
        <w:t xml:space="preserve">Rattachement à une</w:t>
      </w:r>
      <w:r>
        <w:t xml:space="preserve"> </w:t>
      </w:r>
      <w:r>
        <w:rPr>
          <w:bCs/>
          <w:b/>
        </w:rPr>
        <w:t xml:space="preserve">organisation invitée</w:t>
      </w:r>
      <w:r>
        <w:t xml:space="preserve"> </w:t>
      </w:r>
      <w:r>
        <w:t xml:space="preserve">et non à une unité organisationnelle ; aucun périmètre hiérarchique, donc aucun accès par cascade.</w:t>
      </w:r>
    </w:p>
    <w:p>
      <w:pPr>
        <w:numPr>
          <w:ilvl w:val="0"/>
          <w:numId w:val="1002"/>
        </w:numPr>
        <w:pStyle w:val="Compact"/>
      </w:pPr>
      <w:r>
        <w:rPr>
          <w:bCs/>
          <w:b/>
        </w:rPr>
        <w:t xml:space="preserve">Aucun accès au domaine A</w:t>
      </w:r>
      <w:r>
        <w:t xml:space="preserve">, quel qu’en soit le motif, et aucune inscription à l’annuaire des agents.</w:t>
      </w:r>
    </w:p>
    <w:p>
      <w:pPr>
        <w:numPr>
          <w:ilvl w:val="0"/>
          <w:numId w:val="1002"/>
        </w:numPr>
        <w:pStyle w:val="Compact"/>
      </w:pPr>
      <w:r>
        <w:t xml:space="preserve">Accès limité aux objets explicitement portés au statut diffusable.</w:t>
      </w:r>
    </w:p>
    <w:p>
      <w:pPr>
        <w:numPr>
          <w:ilvl w:val="0"/>
          <w:numId w:val="1002"/>
        </w:numPr>
        <w:pStyle w:val="Compact"/>
      </w:pPr>
      <w:r>
        <w:rPr>
          <w:bCs/>
          <w:b/>
        </w:rPr>
        <w:t xml:space="preserve">Date d’expiration obligatoire</w:t>
      </w:r>
      <w:r>
        <w:t xml:space="preserve">, 90 jours au maximum, renouvelable par décision tracée du validateur.</w:t>
      </w:r>
    </w:p>
    <w:p>
      <w:pPr>
        <w:numPr>
          <w:ilvl w:val="0"/>
          <w:numId w:val="1002"/>
        </w:numPr>
        <w:pStyle w:val="Compact"/>
      </w:pPr>
      <w:r>
        <w:t xml:space="preserve">Parrain interne nommé, responsable de la demande et destinataire des alertes d’expiration.</w:t>
      </w:r>
    </w:p>
    <w:bookmarkEnd w:id="29"/>
    <w:bookmarkStart w:id="30" w:name="authentification"/>
    <w:p>
      <w:pPr>
        <w:pStyle w:val="Heading3"/>
      </w:pPr>
      <w:r>
        <w:t xml:space="preserve">4.4 Authentification</w:t>
      </w:r>
    </w:p>
    <w:p>
      <w:pPr>
        <w:pStyle w:val="FirstParagraph"/>
      </w:pPr>
      <w:r>
        <w:t xml:space="preserve">Authentification unique pour les deux domaines, mutualisable avec les autres applications de la Direction.</w:t>
      </w:r>
    </w:p>
    <w:p>
      <w:pPr>
        <w:numPr>
          <w:ilvl w:val="0"/>
          <w:numId w:val="1003"/>
        </w:numPr>
        <w:pStyle w:val="Compact"/>
      </w:pPr>
      <w:r>
        <w:rPr>
          <w:bCs/>
          <w:b/>
        </w:rPr>
        <w:t xml:space="preserve">Mot de passe</w:t>
      </w:r>
      <w:r>
        <w:t xml:space="preserve"> </w:t>
      </w:r>
      <w:r>
        <w:t xml:space="preserve">: 12 caractères minimum, contrôle contre une liste de mots de passe compromis, pas d’expiration forcée, verrouillage temporaire après plusieurs échecs.</w:t>
      </w:r>
    </w:p>
    <w:p>
      <w:pPr>
        <w:numPr>
          <w:ilvl w:val="0"/>
          <w:numId w:val="1003"/>
        </w:numPr>
        <w:pStyle w:val="Compact"/>
      </w:pPr>
      <w:r>
        <w:rPr>
          <w:bCs/>
          <w:b/>
        </w:rPr>
        <w:t xml:space="preserve">Double facteur</w:t>
      </w:r>
      <w:r>
        <w:t xml:space="preserve"> </w:t>
      </w:r>
      <w:r>
        <w:t xml:space="preserve">: TOTP comme mécanisme principal, obligatoire pour le DN, le DNA, les chefs de division et de cellule, le DRH, les gestionnaires de paie, les administrateurs,</w:t>
      </w:r>
      <w:r>
        <w:t xml:space="preserve"> </w:t>
      </w:r>
      <w:r>
        <w:rPr>
          <w:bCs/>
          <w:b/>
        </w:rPr>
        <w:t xml:space="preserve">et pour tout compte externe</w:t>
      </w:r>
      <w:r>
        <w:t xml:space="preserve">. Le SMS est un mécanisme de secours. Le courriel n’est pas admis comme second facteur.</w:t>
      </w:r>
    </w:p>
    <w:p>
      <w:pPr>
        <w:numPr>
          <w:ilvl w:val="0"/>
          <w:numId w:val="1003"/>
        </w:numPr>
        <w:pStyle w:val="Compact"/>
      </w:pPr>
      <w:r>
        <w:rPr>
          <w:bCs/>
          <w:b/>
        </w:rPr>
        <w:t xml:space="preserve">Session</w:t>
      </w:r>
      <w:r>
        <w:t xml:space="preserve"> </w:t>
      </w:r>
      <w:r>
        <w:t xml:space="preserve">: longue sur un appareil enrôlé, avec réauthentification locale à l’ouverture de l’application mobile, expiration du jeton de rafraîchissement après 30 jours d’inactivité, déconnexion à distance de tous les appareils.</w:t>
      </w:r>
    </w:p>
    <w:p>
      <w:pPr>
        <w:numPr>
          <w:ilvl w:val="0"/>
          <w:numId w:val="1003"/>
        </w:numPr>
        <w:pStyle w:val="Compact"/>
      </w:pPr>
      <w:r>
        <w:rPr>
          <w:bCs/>
          <w:b/>
        </w:rPr>
        <w:t xml:space="preserve">Réauthentification systématique</w:t>
      </w:r>
      <w:r>
        <w:t xml:space="preserve"> </w:t>
      </w:r>
      <w:r>
        <w:t xml:space="preserve">avant toute action sur un objet protégé : consultation d’un bulletin, publication d’une campagne de paie, émission d’une instruction financière, accès à un certificat médical, et — ajout de la fusion — passage d’une simulation ou d’un rapport au statut diffusable.</w:t>
      </w:r>
    </w:p>
    <w:bookmarkEnd w:id="30"/>
    <w:bookmarkEnd w:id="31"/>
    <w:bookmarkStart w:id="37" w:name="modèle-dhabilitation-à-deux-axes"/>
    <w:p>
      <w:pPr>
        <w:pStyle w:val="Heading2"/>
      </w:pPr>
      <w:r>
        <w:t xml:space="preserve">5. Modèle d’habilitation à deux axes</w:t>
      </w:r>
    </w:p>
    <w:p>
      <w:pPr>
        <w:pStyle w:val="FirstParagraph"/>
      </w:pPr>
      <w:r>
        <w:t xml:space="preserve">Les deux cahiers sources raisonnaient différemment : le domaine A en cascade hiérarchique avec exceptions, le domaine B en rôles fonctionnels plus statut de l’objet. Les fusionner en une seule liste de rôles produirait une matrice ingérable. Le socle les tient donc comme</w:t>
      </w:r>
      <w:r>
        <w:t xml:space="preserve"> </w:t>
      </w:r>
      <w:r>
        <w:rPr>
          <w:bCs/>
          <w:b/>
        </w:rPr>
        <w:t xml:space="preserve">deux axes orthogonaux</w:t>
      </w:r>
      <w:r>
        <w:t xml:space="preserve">, et un droit n’existe que par leur croisement.</w:t>
      </w:r>
    </w:p>
    <w:p>
      <w:pPr>
        <w:numPr>
          <w:ilvl w:val="0"/>
          <w:numId w:val="1004"/>
        </w:numPr>
        <w:pStyle w:val="Compact"/>
      </w:pPr>
      <w:r>
        <w:rPr>
          <w:bCs/>
          <w:b/>
        </w:rPr>
        <w:t xml:space="preserve">Axe 1 — le périmètre.</w:t>
      </w:r>
      <w:r>
        <w:t xml:space="preserve"> </w:t>
      </w:r>
      <w:r>
        <w:t xml:space="preserve">Ce que l’agent voit. Déduit de sa position dans le référentiel organisationnel et de ses suppléances actives. Jamais saisi à la main, jamais attribué par un rôle.</w:t>
      </w:r>
    </w:p>
    <w:p>
      <w:pPr>
        <w:numPr>
          <w:ilvl w:val="0"/>
          <w:numId w:val="1004"/>
        </w:numPr>
        <w:pStyle w:val="Compact"/>
      </w:pPr>
      <w:r>
        <w:rPr>
          <w:bCs/>
          <w:b/>
        </w:rPr>
        <w:t xml:space="preserve">Axe 2 — le rôle fonctionnel.</w:t>
      </w:r>
      <w:r>
        <w:t xml:space="preserve"> </w:t>
      </w:r>
      <w:r>
        <w:t xml:space="preserve">Ce que l’agent peut faire. Attribué explicitement, sans portée hiérarchique propre.</w:t>
      </w:r>
    </w:p>
    <w:p>
      <w:pPr>
        <w:pStyle w:val="FirstParagraph"/>
      </w:pPr>
      <w:r>
        <w:t xml:space="preserve">Être chef de division ne donne aucun droit d’exécuter une simulation : il faut le rôle Analyste. Détenir le rôle Analyste ne donne accès à aucune donnée hors de son périmètre. La règle vaut dans les deux sens et vaut pour tous.</w:t>
      </w:r>
    </w:p>
    <w:bookmarkStart w:id="32" w:name="périmètres"/>
    <w:p>
      <w:pPr>
        <w:pStyle w:val="Heading3"/>
      </w:pPr>
      <w:r>
        <w:t xml:space="preserve">5.1 Périmètres</w:t>
      </w:r>
    </w:p>
    <w:tbl>
      <w:tblPr>
        <w:tblStyle w:val="Table"/>
        <w:tblW w:type="dxa" w:w="9354"/>
        <w:tblLayout w:type="fixed"/>
        <w:tblLook w:firstRow="1" w:lastRow="0" w:firstColumn="0" w:lastColumn="0" w:noHBand="0" w:noVBand="0" w:val="0020"/>
        <w:jc w:val="start"/>
      </w:tblPr>
      <w:tblGrid>
        <w:gridCol w:w="3818"/>
        <w:gridCol w:w="5536"/>
      </w:tblGrid>
      <w:tr>
        <w:trPr>
          <w:tblHeader w:val="true"/>
        </w:trPr>
        <w:tc>
          <w:tcPr/>
          <w:p>
            <w:pPr>
              <w:pStyle w:val="Compact"/>
              <w:jc w:val="left"/>
            </w:pPr>
            <w:r>
              <w:t xml:space="preserve">Périmètre</w:t>
            </w:r>
          </w:p>
        </w:tc>
        <w:tc>
          <w:tcPr/>
          <w:p>
            <w:pPr>
              <w:pStyle w:val="Compact"/>
              <w:jc w:val="left"/>
            </w:pPr>
            <w:r>
              <w:t xml:space="preserve">Étendue</w:t>
            </w:r>
          </w:p>
        </w:tc>
      </w:tr>
      <w:tr>
        <w:tc>
          <w:tcPr/>
          <w:p>
            <w:pPr>
              <w:pStyle w:val="Compact"/>
              <w:jc w:val="left"/>
            </w:pPr>
            <w:r>
              <w:t xml:space="preserve">Direction</w:t>
            </w:r>
          </w:p>
        </w:tc>
        <w:tc>
          <w:tcPr/>
          <w:p>
            <w:pPr>
              <w:pStyle w:val="Compact"/>
              <w:jc w:val="left"/>
            </w:pPr>
            <w:r>
              <w:t xml:space="preserve">DN et DNA, même niveau d’autorité, sous réserve des objets protégés</w:t>
            </w:r>
          </w:p>
        </w:tc>
      </w:tr>
      <w:tr>
        <w:tc>
          <w:tcPr/>
          <w:p>
            <w:pPr>
              <w:pStyle w:val="Compact"/>
              <w:jc w:val="left"/>
            </w:pPr>
            <w:r>
              <w:t xml:space="preserve">Unité et sous-unités</w:t>
            </w:r>
          </w:p>
        </w:tc>
        <w:tc>
          <w:tcPr/>
          <w:p>
            <w:pPr>
              <w:pStyle w:val="Compact"/>
              <w:jc w:val="left"/>
            </w:pPr>
            <w:r>
              <w:t xml:space="preserve">Chef de division, chef de section, chef de cellule, sur sa branche</w:t>
            </w:r>
          </w:p>
        </w:tc>
      </w:tr>
      <w:tr>
        <w:tc>
          <w:tcPr/>
          <w:p>
            <w:pPr>
              <w:pStyle w:val="Compact"/>
              <w:jc w:val="left"/>
            </w:pPr>
            <w:r>
              <w:t xml:space="preserve">Unité d’affectation</w:t>
            </w:r>
          </w:p>
        </w:tc>
        <w:tc>
          <w:tcPr/>
          <w:p>
            <w:pPr>
              <w:pStyle w:val="Compact"/>
              <w:jc w:val="left"/>
            </w:pPr>
            <w:r>
              <w:t xml:space="preserve">Agent : ses propres objets en action, ceux de son unité en lecture</w:t>
            </w:r>
          </w:p>
        </w:tc>
      </w:tr>
      <w:tr>
        <w:tc>
          <w:tcPr/>
          <w:p>
            <w:pPr>
              <w:pStyle w:val="Compact"/>
              <w:jc w:val="left"/>
            </w:pPr>
            <w:r>
              <w:t xml:space="preserve">Restreint</w:t>
            </w:r>
          </w:p>
        </w:tc>
        <w:tc>
          <w:tcPr/>
          <w:p>
            <w:pPr>
              <w:pStyle w:val="Compact"/>
              <w:jc w:val="left"/>
            </w:pPr>
            <w:r>
              <w:t xml:space="preserve">Stagiaire : ses tâches, son rapport, l’annuaire, les annonces le concernant</w:t>
            </w:r>
          </w:p>
        </w:tc>
      </w:tr>
      <w:tr>
        <w:tc>
          <w:tcPr/>
          <w:p>
            <w:pPr>
              <w:pStyle w:val="Compact"/>
              <w:jc w:val="left"/>
            </w:pPr>
            <w:r>
              <w:t xml:space="preserve">Direction, par délégation</w:t>
            </w:r>
          </w:p>
        </w:tc>
        <w:tc>
          <w:tcPr/>
          <w:p>
            <w:pPr>
              <w:pStyle w:val="Compact"/>
              <w:jc w:val="left"/>
            </w:pPr>
            <w:r>
              <w:t xml:space="preserve">Assistant DN/DNA : périmètre de la Direction pour le courrier, les réunions, les instructions et le suivi,</w:t>
            </w:r>
            <w:r>
              <w:t xml:space="preserve"> </w:t>
            </w:r>
            <w:r>
              <w:rPr>
                <w:bCs/>
                <w:b/>
              </w:rPr>
              <w:t xml:space="preserve">jamais pour un objet protégé</w:t>
            </w:r>
            <w:r>
              <w:t xml:space="preserve"> </w:t>
            </w:r>
            <w:r>
              <w:t xml:space="preserve">(décision D-06)</w:t>
            </w:r>
          </w:p>
        </w:tc>
      </w:tr>
      <w:tr>
        <w:tc>
          <w:tcPr/>
          <w:p>
            <w:pPr>
              <w:pStyle w:val="Compact"/>
              <w:jc w:val="left"/>
            </w:pPr>
            <w:r>
              <w:t xml:space="preserve">Organisation invitée</w:t>
            </w:r>
          </w:p>
        </w:tc>
        <w:tc>
          <w:tcPr/>
          <w:p>
            <w:pPr>
              <w:pStyle w:val="Compact"/>
              <w:jc w:val="left"/>
            </w:pPr>
            <w:r>
              <w:t xml:space="preserve">Compte externe : aucun périmètre interne, objets diffusables uniquement</w:t>
            </w:r>
          </w:p>
        </w:tc>
      </w:tr>
    </w:tbl>
    <w:bookmarkEnd w:id="32"/>
    <w:bookmarkStart w:id="33" w:name="rôles-fonctionnels"/>
    <w:p>
      <w:pPr>
        <w:pStyle w:val="Heading3"/>
      </w:pPr>
      <w:r>
        <w:t xml:space="preserve">5.2 Rôles fonctionnels</w:t>
      </w:r>
    </w:p>
    <w:tbl>
      <w:tblPr>
        <w:tblStyle w:val="Table"/>
        <w:tblW w:type="dxa" w:w="9354"/>
        <w:tblLayout w:type="fixed"/>
        <w:tblLook w:firstRow="1" w:lastRow="0" w:firstColumn="0" w:lastColumn="0" w:noHBand="0" w:noVBand="0" w:val="0020"/>
        <w:jc w:val="start"/>
      </w:tblPr>
      <w:tblGrid>
        <w:gridCol w:w="2596"/>
        <w:gridCol w:w="2382"/>
        <w:gridCol w:w="4376"/>
      </w:tblGrid>
      <w:tr>
        <w:trPr>
          <w:tblHeader w:val="true"/>
        </w:trPr>
        <w:tc>
          <w:tcPr/>
          <w:p>
            <w:pPr>
              <w:pStyle w:val="Compact"/>
              <w:jc w:val="left"/>
            </w:pPr>
            <w:r>
              <w:t xml:space="preserve">Rôle</w:t>
            </w:r>
          </w:p>
        </w:tc>
        <w:tc>
          <w:tcPr/>
          <w:p>
            <w:pPr>
              <w:pStyle w:val="Compact"/>
              <w:jc w:val="left"/>
            </w:pPr>
            <w:r>
              <w:t xml:space="preserve">Domaine</w:t>
            </w:r>
          </w:p>
        </w:tc>
        <w:tc>
          <w:tcPr/>
          <w:p>
            <w:pPr>
              <w:pStyle w:val="Compact"/>
              <w:jc w:val="left"/>
            </w:pPr>
            <w:r>
              <w:t xml:space="preserve">Ce qu’il autorise</w:t>
            </w:r>
          </w:p>
        </w:tc>
      </w:tr>
      <w:tr>
        <w:tc>
          <w:tcPr/>
          <w:p>
            <w:pPr>
              <w:pStyle w:val="Compact"/>
              <w:jc w:val="left"/>
            </w:pPr>
            <w:r>
              <w:t xml:space="preserve">DRH</w:t>
            </w:r>
          </w:p>
        </w:tc>
        <w:tc>
          <w:tcPr/>
          <w:p>
            <w:pPr>
              <w:pStyle w:val="Compact"/>
              <w:jc w:val="left"/>
            </w:pPr>
            <w:r>
              <w:t xml:space="preserve">A</w:t>
            </w:r>
          </w:p>
        </w:tc>
        <w:tc>
          <w:tcPr/>
          <w:p>
            <w:pPr>
              <w:pStyle w:val="Compact"/>
              <w:jc w:val="left"/>
            </w:pPr>
            <w:r>
              <w:t xml:space="preserve">Décision sur congés, absences et missions de toute la Direction ; dossiers agents ; accès exclusif aux motifs médicaux</w:t>
            </w:r>
          </w:p>
        </w:tc>
      </w:tr>
      <w:tr>
        <w:tc>
          <w:tcPr/>
          <w:p>
            <w:pPr>
              <w:pStyle w:val="Compact"/>
              <w:jc w:val="left"/>
            </w:pPr>
            <w:r>
              <w:t xml:space="preserve">Gestionnaire SAF/paie</w:t>
            </w:r>
          </w:p>
        </w:tc>
        <w:tc>
          <w:tcPr/>
          <w:p>
            <w:pPr>
              <w:pStyle w:val="Compact"/>
              <w:jc w:val="left"/>
            </w:pPr>
            <w:r>
              <w:t xml:space="preserve">A</w:t>
            </w:r>
          </w:p>
        </w:tc>
        <w:tc>
          <w:tcPr/>
          <w:p>
            <w:pPr>
              <w:pStyle w:val="Compact"/>
              <w:jc w:val="left"/>
            </w:pPr>
            <w:r>
              <w:t xml:space="preserve">Préparation des campagnes, saisie des éléments variables, publication après validation</w:t>
            </w:r>
          </w:p>
        </w:tc>
      </w:tr>
      <w:tr>
        <w:tc>
          <w:tcPr/>
          <w:p>
            <w:pPr>
              <w:pStyle w:val="Compact"/>
              <w:jc w:val="left"/>
            </w:pPr>
            <w:r>
              <w:t xml:space="preserve">Chef SAF</w:t>
            </w:r>
          </w:p>
        </w:tc>
        <w:tc>
          <w:tcPr/>
          <w:p>
            <w:pPr>
              <w:pStyle w:val="Compact"/>
              <w:jc w:val="left"/>
            </w:pPr>
            <w:r>
              <w:t xml:space="preserve">A</w:t>
            </w:r>
          </w:p>
        </w:tc>
        <w:tc>
          <w:tcPr/>
          <w:p>
            <w:pPr>
              <w:pStyle w:val="Compact"/>
              <w:jc w:val="left"/>
            </w:pPr>
            <w:r>
              <w:t xml:space="preserve">Validation des campagnes de paie avant publication ; exécution des instructions financières</w:t>
            </w:r>
          </w:p>
        </w:tc>
      </w:tr>
      <w:tr>
        <w:tc>
          <w:tcPr/>
          <w:p>
            <w:pPr>
              <w:pStyle w:val="Compact"/>
              <w:jc w:val="left"/>
            </w:pPr>
            <w:r>
              <w:t xml:space="preserve">Encadreur de stage</w:t>
            </w:r>
          </w:p>
        </w:tc>
        <w:tc>
          <w:tcPr/>
          <w:p>
            <w:pPr>
              <w:pStyle w:val="Compact"/>
              <w:jc w:val="left"/>
            </w:pPr>
            <w:r>
              <w:t xml:space="preserve">A</w:t>
            </w:r>
          </w:p>
        </w:tc>
        <w:tc>
          <w:tcPr/>
          <w:p>
            <w:pPr>
              <w:pStyle w:val="Compact"/>
              <w:jc w:val="left"/>
            </w:pPr>
            <w:r>
              <w:t xml:space="preserve">Suivi des stagiaires confiés, validation du rapport, avis sur l’attestation</w:t>
            </w:r>
          </w:p>
        </w:tc>
      </w:tr>
      <w:tr>
        <w:tc>
          <w:tcPr/>
          <w:p>
            <w:pPr>
              <w:pStyle w:val="Compact"/>
              <w:jc w:val="left"/>
            </w:pPr>
            <w:r>
              <w:t xml:space="preserve">Agent du courrier</w:t>
            </w:r>
          </w:p>
        </w:tc>
        <w:tc>
          <w:tcPr/>
          <w:p>
            <w:pPr>
              <w:pStyle w:val="Compact"/>
              <w:jc w:val="left"/>
            </w:pPr>
            <w:r>
              <w:t xml:space="preserve">A</w:t>
            </w:r>
          </w:p>
        </w:tc>
        <w:tc>
          <w:tcPr/>
          <w:p>
            <w:pPr>
              <w:pStyle w:val="Compact"/>
              <w:jc w:val="left"/>
            </w:pPr>
            <w:r>
              <w:t xml:space="preserve">Enregistrement du courrier entrant et sortant, accusés, classement</w:t>
            </w:r>
          </w:p>
        </w:tc>
      </w:tr>
      <w:tr>
        <w:tc>
          <w:tcPr/>
          <w:p>
            <w:pPr>
              <w:pStyle w:val="Compact"/>
              <w:jc w:val="left"/>
            </w:pPr>
            <w:r>
              <w:t xml:space="preserve">Assistant DN/DNA</w:t>
            </w:r>
          </w:p>
        </w:tc>
        <w:tc>
          <w:tcPr/>
          <w:p>
            <w:pPr>
              <w:pStyle w:val="Compact"/>
              <w:jc w:val="left"/>
            </w:pPr>
            <w:r>
              <w:t xml:space="preserve">A</w:t>
            </w:r>
          </w:p>
        </w:tc>
        <w:tc>
          <w:tcPr/>
          <w:p>
            <w:pPr>
              <w:pStyle w:val="Compact"/>
              <w:jc w:val="left"/>
            </w:pPr>
            <w:r>
              <w:t xml:space="preserve">Périmètre délégué par le DN ou le DNA, sans accès aux objets protégés</w:t>
            </w:r>
          </w:p>
        </w:tc>
      </w:tr>
      <w:tr>
        <w:tc>
          <w:tcPr/>
          <w:p>
            <w:pPr>
              <w:pStyle w:val="Compact"/>
              <w:jc w:val="left"/>
            </w:pPr>
            <w:r>
              <w:t xml:space="preserve">Responsable de modèle</w:t>
            </w:r>
          </w:p>
        </w:tc>
        <w:tc>
          <w:tcPr/>
          <w:p>
            <w:pPr>
              <w:pStyle w:val="Compact"/>
              <w:jc w:val="left"/>
            </w:pPr>
            <w:r>
              <w:t xml:space="preserve">B</w:t>
            </w:r>
          </w:p>
        </w:tc>
        <w:tc>
          <w:tcPr/>
          <w:p>
            <w:pPr>
              <w:pStyle w:val="Compact"/>
              <w:jc w:val="left"/>
            </w:pPr>
            <w:r>
              <w:t xml:space="preserve">Valide économiquement une version avant activation, tranche les anomalies de calibrage, valide les correspondances de variables</w:t>
            </w:r>
          </w:p>
        </w:tc>
      </w:tr>
      <w:tr>
        <w:tc>
          <w:tcPr/>
          <w:p>
            <w:pPr>
              <w:pStyle w:val="Compact"/>
              <w:jc w:val="left"/>
            </w:pPr>
            <w:r>
              <w:t xml:space="preserve">Analyste</w:t>
            </w:r>
          </w:p>
        </w:tc>
        <w:tc>
          <w:tcPr/>
          <w:p>
            <w:pPr>
              <w:pStyle w:val="Compact"/>
              <w:jc w:val="left"/>
            </w:pPr>
            <w:r>
              <w:t xml:space="preserve">B</w:t>
            </w:r>
          </w:p>
        </w:tc>
        <w:tc>
          <w:tcPr/>
          <w:p>
            <w:pPr>
              <w:pStyle w:val="Compact"/>
              <w:jc w:val="left"/>
            </w:pPr>
            <w:r>
              <w:t xml:space="preserve">Crée et exécute des simulations, compare des scénarios, produit des projets de rapport</w:t>
            </w:r>
          </w:p>
        </w:tc>
      </w:tr>
      <w:tr>
        <w:tc>
          <w:tcPr/>
          <w:p>
            <w:pPr>
              <w:pStyle w:val="Compact"/>
              <w:jc w:val="left"/>
            </w:pPr>
            <w:r>
              <w:t xml:space="preserve">Décideur</w:t>
            </w:r>
          </w:p>
        </w:tc>
        <w:tc>
          <w:tcPr/>
          <w:p>
            <w:pPr>
              <w:pStyle w:val="Compact"/>
              <w:jc w:val="left"/>
            </w:pPr>
            <w:r>
              <w:t xml:space="preserve">B</w:t>
            </w:r>
          </w:p>
        </w:tc>
        <w:tc>
          <w:tcPr/>
          <w:p>
            <w:pPr>
              <w:pStyle w:val="Compact"/>
              <w:jc w:val="left"/>
            </w:pPr>
            <w:r>
              <w:t xml:space="preserve">Interroge, consulte et exporte les simulations, sans droit de modification</w:t>
            </w:r>
          </w:p>
        </w:tc>
      </w:tr>
      <w:tr>
        <w:tc>
          <w:tcPr/>
          <w:p>
            <w:pPr>
              <w:pStyle w:val="Compact"/>
              <w:jc w:val="left"/>
            </w:pPr>
            <w:r>
              <w:t xml:space="preserve">Validateur</w:t>
            </w:r>
          </w:p>
        </w:tc>
        <w:tc>
          <w:tcPr/>
          <w:p>
            <w:pPr>
              <w:pStyle w:val="Compact"/>
              <w:jc w:val="left"/>
            </w:pPr>
            <w:r>
              <w:t xml:space="preserve">A et B</w:t>
            </w:r>
          </w:p>
        </w:tc>
        <w:tc>
          <w:tcPr/>
          <w:p>
            <w:pPr>
              <w:pStyle w:val="Compact"/>
              <w:jc w:val="left"/>
            </w:pPr>
            <w:r>
              <w:t xml:space="preserve">Fait passer un acte, un rapport ou une simulation au statut diffusable, sur son périmètre</w:t>
            </w:r>
          </w:p>
        </w:tc>
      </w:tr>
      <w:tr>
        <w:tc>
          <w:tcPr/>
          <w:p>
            <w:pPr>
              <w:pStyle w:val="Compact"/>
              <w:jc w:val="left"/>
            </w:pPr>
            <w:r>
              <w:t xml:space="preserve">Administrateur</w:t>
            </w:r>
          </w:p>
        </w:tc>
        <w:tc>
          <w:tcPr/>
          <w:p>
            <w:pPr>
              <w:pStyle w:val="Compact"/>
              <w:jc w:val="left"/>
            </w:pPr>
            <w:r>
              <w:t xml:space="preserve">Socle</w:t>
            </w:r>
          </w:p>
        </w:tc>
        <w:tc>
          <w:tcPr/>
          <w:p>
            <w:pPr>
              <w:pStyle w:val="Compact"/>
              <w:jc w:val="left"/>
            </w:pPr>
            <w:r>
              <w:rPr>
                <w:bCs/>
                <w:b/>
              </w:rPr>
              <w:t xml:space="preserve">Paramétrer, surveiller, veiller au bon fonctionnement</w:t>
            </w:r>
            <w:r>
              <w:t xml:space="preserve"> </w:t>
            </w:r>
            <w:r>
              <w:t xml:space="preserve">: comptes, rôles, réglages, supervision technique, incidents. Ne valide rien, n’active seul aucune version de modèle,</w:t>
            </w:r>
            <w:r>
              <w:t xml:space="preserve"> </w:t>
            </w:r>
            <w:r>
              <w:rPr>
                <w:bCs/>
                <w:b/>
              </w:rPr>
              <w:t xml:space="preserve">aucun accès aux objets protégés</w:t>
            </w:r>
            <w:r>
              <w:t xml:space="preserve"> </w:t>
            </w:r>
            <w:r>
              <w:t xml:space="preserve">(section 13.5)</w:t>
            </w:r>
          </w:p>
        </w:tc>
      </w:tr>
    </w:tbl>
    <w:p>
      <w:pPr>
        <w:pStyle w:val="BodyText"/>
      </w:pPr>
      <w:r>
        <w:t xml:space="preserve">Deux administrateurs au minimum, pour éviter le point unique de défaillance. La restriction de l’administrateur sur les objets protégés est</w:t>
      </w:r>
      <w:r>
        <w:t xml:space="preserve"> </w:t>
      </w:r>
      <w:r>
        <w:rPr>
          <w:bCs/>
          <w:b/>
        </w:rPr>
        <w:t xml:space="preserve">technique</w:t>
      </w:r>
      <w:r>
        <w:t xml:space="preserve"> </w:t>
      </w:r>
      <w:r>
        <w:t xml:space="preserve">— cloisonnement applicatif et chiffrement des champs sensibles — et non déclarative ; toute action d’administration est journalisée dans un journal que l’administrateur ne peut ni modifier ni purger.</w:t>
      </w:r>
    </w:p>
    <w:bookmarkEnd w:id="33"/>
    <w:bookmarkStart w:id="34" w:name="règles-de-composition"/>
    <w:p>
      <w:pPr>
        <w:pStyle w:val="Heading3"/>
      </w:pPr>
      <w:r>
        <w:t xml:space="preserve">5.3 Règles de composition</w:t>
      </w:r>
    </w:p>
    <w:p>
      <w:pPr>
        <w:numPr>
          <w:ilvl w:val="0"/>
          <w:numId w:val="1005"/>
        </w:numPr>
        <w:pStyle w:val="Compact"/>
      </w:pPr>
      <w:r>
        <w:t xml:space="preserve">Un agent porte un périmètre et zéro, un ou plusieurs rôles fonctionnels. Les droits s’additionnent.</w:t>
      </w:r>
    </w:p>
    <w:p>
      <w:pPr>
        <w:numPr>
          <w:ilvl w:val="0"/>
          <w:numId w:val="1005"/>
        </w:numPr>
        <w:pStyle w:val="Compact"/>
      </w:pPr>
      <w:r>
        <w:t xml:space="preserve">L’addition ne joue jamais sur les objets protégés : l’accès y reste déterminé par le besoin d’en connaître, quel que soit le cumul.</w:t>
      </w:r>
    </w:p>
    <w:p>
      <w:pPr>
        <w:numPr>
          <w:ilvl w:val="0"/>
          <w:numId w:val="1005"/>
        </w:numPr>
        <w:pStyle w:val="Compact"/>
      </w:pPr>
      <w:r>
        <w:t xml:space="preserve">Un rôle fonctionnel du domaine A s’exerce dans la limite du périmètre de son porteur, sauf mention contraire explicite dans la table ci-dessus (DRH, gestionnaire de paie).</w:t>
      </w:r>
    </w:p>
    <w:p>
      <w:pPr>
        <w:numPr>
          <w:ilvl w:val="0"/>
          <w:numId w:val="1005"/>
        </w:numPr>
        <w:pStyle w:val="Compact"/>
      </w:pPr>
      <w:r>
        <w:rPr>
          <w:bCs/>
          <w:b/>
        </w:rPr>
        <w:t xml:space="preserve">Les rôles fonctionnels du domaine B ne sont pas bornés par le périmètre organisationnel.</w:t>
      </w:r>
      <w:r>
        <w:t xml:space="preserve"> </w:t>
      </w:r>
      <w:r>
        <w:t xml:space="preserve">Les modèles, les bases, les scénarios et les simulations appartiennent à la Direction, non à une division : un chef de section titulaire du rôle Analyste accède au référentiel entier et aux scénarios de référence, comme n’importe quel autre analyste. Leur visibilité est déterminée par le statut de l’objet, selon la section 7.1 et l’annexe 1.3, et non par l’unité d’affectation de leur auteur.</w:t>
      </w:r>
    </w:p>
    <w:p>
      <w:pPr>
        <w:numPr>
          <w:ilvl w:val="0"/>
          <w:numId w:val="1005"/>
        </w:numPr>
        <w:pStyle w:val="Compact"/>
      </w:pPr>
      <w:r>
        <w:t xml:space="preserve">Un compte externe ne reçoit jamais de rôle du domaine A, ni de rôle Administrateur.</w:t>
      </w:r>
    </w:p>
    <w:p>
      <w:pPr>
        <w:numPr>
          <w:ilvl w:val="0"/>
          <w:numId w:val="1005"/>
        </w:numPr>
        <w:pStyle w:val="Compact"/>
      </w:pPr>
      <w:r>
        <w:t xml:space="preserve">Toute attribution ou retrait de rôle est daté, journalisé et réversible sans perte d’historique.</w:t>
      </w:r>
    </w:p>
    <w:bookmarkEnd w:id="34"/>
    <w:bookmarkStart w:id="35" w:name="cumul-des-rôles-cas-dusage"/>
    <w:p>
      <w:pPr>
        <w:pStyle w:val="Heading3"/>
      </w:pPr>
      <w:r>
        <w:t xml:space="preserve">5.4 Cumul des rôles : cas d’usage</w:t>
      </w:r>
    </w:p>
    <w:p>
      <w:pPr>
        <w:pStyle w:val="FirstParagraph"/>
      </w:pPr>
      <w:r>
        <w:t xml:space="preserve">Le cumul est la situation normale à la DNPEC, où les mêmes agents pilotent une unité et produisent de l’analyse. Aucun des cas ci-dessous n’est une exception : ils découlent tous des deux axes.</w:t>
      </w:r>
    </w:p>
    <w:tbl>
      <w:tblPr>
        <w:tblStyle w:val="Table"/>
        <w:tblW w:type="dxa" w:w="9354"/>
        <w:tblLayout w:type="fixed"/>
        <w:tblLook w:firstRow="1" w:lastRow="0" w:firstColumn="0" w:lastColumn="0" w:noHBand="0" w:noVBand="0" w:val="0020"/>
        <w:jc w:val="start"/>
      </w:tblPr>
      <w:tblGrid>
        <w:gridCol w:w="1915"/>
        <w:gridCol w:w="1919"/>
        <w:gridCol w:w="2021"/>
        <w:gridCol w:w="3499"/>
      </w:tblGrid>
      <w:tr>
        <w:trPr>
          <w:tblHeader w:val="true"/>
        </w:trPr>
        <w:tc>
          <w:tcPr/>
          <w:p>
            <w:pPr>
              <w:pStyle w:val="Compact"/>
              <w:jc w:val="left"/>
            </w:pPr>
            <w:r>
              <w:t xml:space="preserve">Agent</w:t>
            </w:r>
          </w:p>
        </w:tc>
        <w:tc>
          <w:tcPr/>
          <w:p>
            <w:pPr>
              <w:pStyle w:val="Compact"/>
              <w:jc w:val="left"/>
            </w:pPr>
            <w:r>
              <w:t xml:space="preserve">Périmètre (axe 1)</w:t>
            </w:r>
          </w:p>
        </w:tc>
        <w:tc>
          <w:tcPr/>
          <w:p>
            <w:pPr>
              <w:pStyle w:val="Compact"/>
              <w:jc w:val="left"/>
            </w:pPr>
            <w:r>
              <w:t xml:space="preserve">Rôles fonctionnels (axe 2)</w:t>
            </w:r>
          </w:p>
        </w:tc>
        <w:tc>
          <w:tcPr/>
          <w:p>
            <w:pPr>
              <w:pStyle w:val="Compact"/>
              <w:jc w:val="left"/>
            </w:pPr>
            <w:r>
              <w:t xml:space="preserve">Ce qu’il peut faire</w:t>
            </w:r>
          </w:p>
        </w:tc>
      </w:tr>
      <w:tr>
        <w:tc>
          <w:tcPr/>
          <w:p>
            <w:pPr>
              <w:pStyle w:val="Compact"/>
              <w:jc w:val="left"/>
            </w:pPr>
            <w:r>
              <w:t xml:space="preserve">Directeur National</w:t>
            </w:r>
          </w:p>
        </w:tc>
        <w:tc>
          <w:tcPr/>
          <w:p>
            <w:pPr>
              <w:pStyle w:val="Compact"/>
              <w:jc w:val="left"/>
            </w:pPr>
            <w:r>
              <w:t xml:space="preserve">Direction</w:t>
            </w:r>
          </w:p>
        </w:tc>
        <w:tc>
          <w:tcPr/>
          <w:p>
            <w:pPr>
              <w:pStyle w:val="Compact"/>
              <w:jc w:val="left"/>
            </w:pPr>
            <w:r>
              <w:t xml:space="preserve">Décideur</w:t>
            </w:r>
            <w:r>
              <w:t xml:space="preserve"> </w:t>
            </w:r>
            <w:r>
              <w:rPr>
                <w:bCs/>
                <w:b/>
              </w:rPr>
              <w:t xml:space="preserve">et</w:t>
            </w:r>
            <w:r>
              <w:t xml:space="preserve"> </w:t>
            </w:r>
            <w:r>
              <w:t xml:space="preserve">Analyste,</w:t>
            </w:r>
            <w:r>
              <w:t xml:space="preserve"> </w:t>
            </w:r>
            <w:r>
              <w:rPr>
                <w:bCs/>
                <w:b/>
              </w:rPr>
              <w:t xml:space="preserve">et</w:t>
            </w:r>
            <w:r>
              <w:t xml:space="preserve"> </w:t>
            </w:r>
            <w:r>
              <w:t xml:space="preserve">Validateur</w:t>
            </w:r>
          </w:p>
        </w:tc>
        <w:tc>
          <w:tcPr/>
          <w:p>
            <w:pPr>
              <w:pStyle w:val="Compact"/>
              <w:jc w:val="left"/>
            </w:pPr>
            <w:r>
              <w:t xml:space="preserve">Attribue des tâches à toute la Direction, suit l’avancement par division,</w:t>
            </w:r>
            <w:r>
              <w:t xml:space="preserve"> </w:t>
            </w:r>
            <w:r>
              <w:rPr>
                <w:bCs/>
                <w:b/>
              </w:rPr>
              <w:t xml:space="preserve">et</w:t>
            </w:r>
            <w:r>
              <w:t xml:space="preserve"> </w:t>
            </w:r>
            <w:r>
              <w:t xml:space="preserve">crée lui-même un scénario, l’exécute, lit les résultats, produit un projet de note et la porte au statut diffusable</w:t>
            </w:r>
          </w:p>
        </w:tc>
      </w:tr>
      <w:tr>
        <w:tc>
          <w:tcPr/>
          <w:p>
            <w:pPr>
              <w:pStyle w:val="Compact"/>
              <w:jc w:val="left"/>
            </w:pPr>
            <w:r>
              <w:t xml:space="preserve">Chef de division</w:t>
            </w:r>
          </w:p>
        </w:tc>
        <w:tc>
          <w:tcPr/>
          <w:p>
            <w:pPr>
              <w:pStyle w:val="Compact"/>
              <w:jc w:val="left"/>
            </w:pPr>
            <w:r>
              <w:t xml:space="preserve">Sa division et ses sections</w:t>
            </w:r>
          </w:p>
        </w:tc>
        <w:tc>
          <w:tcPr/>
          <w:p>
            <w:pPr>
              <w:pStyle w:val="Compact"/>
              <w:jc w:val="left"/>
            </w:pPr>
            <w:r>
              <w:t xml:space="preserve">Analyste, éventuellement Responsable de modèle</w:t>
            </w:r>
          </w:p>
        </w:tc>
        <w:tc>
          <w:tcPr/>
          <w:p>
            <w:pPr>
              <w:pStyle w:val="Compact"/>
              <w:jc w:val="left"/>
            </w:pPr>
            <w:r>
              <w:t xml:space="preserve">Pilote le plan de travail de sa division, donne son avis sur les congés de ses agents,</w:t>
            </w:r>
            <w:r>
              <w:t xml:space="preserve"> </w:t>
            </w:r>
            <w:r>
              <w:rPr>
                <w:bCs/>
                <w:b/>
              </w:rPr>
              <w:t xml:space="preserve">et</w:t>
            </w:r>
            <w:r>
              <w:t xml:space="preserve"> </w:t>
            </w:r>
            <w:r>
              <w:t xml:space="preserve">exécute des simulations sur l’ensemble du référentiel, sans restriction liée à sa division</w:t>
            </w:r>
          </w:p>
        </w:tc>
      </w:tr>
      <w:tr>
        <w:tc>
          <w:tcPr/>
          <w:p>
            <w:pPr>
              <w:pStyle w:val="Compact"/>
              <w:jc w:val="left"/>
            </w:pPr>
            <w:r>
              <w:t xml:space="preserve">Chef de section</w:t>
            </w:r>
          </w:p>
        </w:tc>
        <w:tc>
          <w:tcPr/>
          <w:p>
            <w:pPr>
              <w:pStyle w:val="Compact"/>
              <w:jc w:val="left"/>
            </w:pPr>
            <w:r>
              <w:t xml:space="preserve">Sa section</w:t>
            </w:r>
          </w:p>
        </w:tc>
        <w:tc>
          <w:tcPr/>
          <w:p>
            <w:pPr>
              <w:pStyle w:val="Compact"/>
              <w:jc w:val="left"/>
            </w:pPr>
            <w:r>
              <w:t xml:space="preserve">Analyste</w:t>
            </w:r>
          </w:p>
        </w:tc>
        <w:tc>
          <w:tcPr/>
          <w:p>
            <w:pPr>
              <w:pStyle w:val="Compact"/>
              <w:jc w:val="left"/>
            </w:pPr>
            <w:r>
              <w:t xml:space="preserve">Suit les tâches de sa seule section,</w:t>
            </w:r>
            <w:r>
              <w:t xml:space="preserve"> </w:t>
            </w:r>
            <w:r>
              <w:rPr>
                <w:bCs/>
                <w:b/>
              </w:rPr>
              <w:t xml:space="preserve">et</w:t>
            </w:r>
            <w:r>
              <w:t xml:space="preserve"> </w:t>
            </w:r>
            <w:r>
              <w:t xml:space="preserve">accède au référentiel entier, exécute des simulations, compare des scénarios, exporte</w:t>
            </w:r>
          </w:p>
        </w:tc>
      </w:tr>
      <w:tr>
        <w:tc>
          <w:tcPr/>
          <w:p>
            <w:pPr>
              <w:pStyle w:val="Compact"/>
              <w:jc w:val="left"/>
            </w:pPr>
            <w:r>
              <w:t xml:space="preserve">Chargé d’études</w:t>
            </w:r>
          </w:p>
        </w:tc>
        <w:tc>
          <w:tcPr/>
          <w:p>
            <w:pPr>
              <w:pStyle w:val="Compact"/>
              <w:jc w:val="left"/>
            </w:pPr>
            <w:r>
              <w:t xml:space="preserve">Son unité d’affectation</w:t>
            </w:r>
          </w:p>
        </w:tc>
        <w:tc>
          <w:tcPr/>
          <w:p>
            <w:pPr>
              <w:pStyle w:val="Compact"/>
              <w:jc w:val="left"/>
            </w:pPr>
            <w:r>
              <w:t xml:space="preserve">Analyste</w:t>
            </w:r>
          </w:p>
        </w:tc>
        <w:tc>
          <w:tcPr/>
          <w:p>
            <w:pPr>
              <w:pStyle w:val="Compact"/>
              <w:jc w:val="left"/>
            </w:pPr>
            <w:r>
              <w:t xml:space="preserve">Ses propres tâches et celles de son unité en lecture,</w:t>
            </w:r>
            <w:r>
              <w:t xml:space="preserve"> </w:t>
            </w:r>
            <w:r>
              <w:rPr>
                <w:bCs/>
                <w:b/>
              </w:rPr>
              <w:t xml:space="preserve">et</w:t>
            </w:r>
            <w:r>
              <w:t xml:space="preserve"> </w:t>
            </w:r>
            <w:r>
              <w:t xml:space="preserve">l’ensemble des fonctions d’analyse du domaine B</w:t>
            </w:r>
          </w:p>
        </w:tc>
      </w:tr>
      <w:tr>
        <w:tc>
          <w:tcPr/>
          <w:p>
            <w:pPr>
              <w:pStyle w:val="Compact"/>
              <w:jc w:val="left"/>
            </w:pPr>
            <w:r>
              <w:t xml:space="preserve">Chef de division sans rôle de modélisation</w:t>
            </w:r>
          </w:p>
        </w:tc>
        <w:tc>
          <w:tcPr/>
          <w:p>
            <w:pPr>
              <w:pStyle w:val="Compact"/>
              <w:jc w:val="left"/>
            </w:pPr>
            <w:r>
              <w:t xml:space="preserve">Sa division et ses sections</w:t>
            </w:r>
          </w:p>
        </w:tc>
        <w:tc>
          <w:tcPr/>
          <w:p>
            <w:pPr>
              <w:pStyle w:val="Compact"/>
              <w:jc w:val="left"/>
            </w:pPr>
            <w:r>
              <w:t xml:space="preserve">aucun rôle du domaine B</w:t>
            </w:r>
          </w:p>
        </w:tc>
        <w:tc>
          <w:tcPr/>
          <w:p>
            <w:pPr>
              <w:pStyle w:val="Compact"/>
              <w:jc w:val="left"/>
            </w:pPr>
            <w:r>
              <w:t xml:space="preserve">Pilote son unité ;</w:t>
            </w:r>
            <w:r>
              <w:t xml:space="preserve"> </w:t>
            </w:r>
            <w:r>
              <w:rPr>
                <w:bCs/>
                <w:b/>
              </w:rPr>
              <w:t xml:space="preserve">n’accède à aucun écran de modélisation</w:t>
            </w:r>
            <w:r>
              <w:t xml:space="preserve">, le domaine B n’apparaissant pas dans sa navigation</w:t>
            </w:r>
          </w:p>
        </w:tc>
      </w:tr>
    </w:tbl>
    <w:p>
      <w:pPr>
        <w:pStyle w:val="BodyText"/>
      </w:pPr>
      <w:r>
        <w:t xml:space="preserve">Trois conséquences, normatives :</w:t>
      </w:r>
    </w:p>
    <w:p>
      <w:pPr>
        <w:numPr>
          <w:ilvl w:val="0"/>
          <w:numId w:val="1006"/>
        </w:numPr>
        <w:pStyle w:val="Compact"/>
      </w:pPr>
      <w:r>
        <w:rPr>
          <w:bCs/>
          <w:b/>
        </w:rPr>
        <w:t xml:space="preserve">Le rôle du domaine B est attribué explicitement par l’administrateur</w:t>
      </w:r>
      <w:r>
        <w:t xml:space="preserve">, sur décision du chef de la Division des Prévisions Économiques pour les rôles Analyste et Responsable de modèle. Aucun rôle de modélisation ne découle d’une fonction hiérarchique, et aucune fonction hiérarchique n’en prive.</w:t>
      </w:r>
    </w:p>
    <w:p>
      <w:pPr>
        <w:numPr>
          <w:ilvl w:val="0"/>
          <w:numId w:val="1006"/>
        </w:numPr>
        <w:pStyle w:val="Compact"/>
      </w:pPr>
      <w:r>
        <w:rPr>
          <w:bCs/>
          <w:b/>
        </w:rPr>
        <w:t xml:space="preserve">Le rang hiérarchique ne donne aucun privilège dans le domaine B.</w:t>
      </w:r>
      <w:r>
        <w:t xml:space="preserve"> </w:t>
      </w:r>
      <w:r>
        <w:t xml:space="preserve">Le Directeur National titulaire du rôle Analyste a exactement les droits d’un chargé d’études titulaire du même rôle : il ne peut ni modifier une version active, ni lever un contrôle bloquant, ni voir la simulation exploratoire d’un autre agent. Ces actions appartiennent au Responsable de modèle et à l’Administrateur.</w:t>
      </w:r>
    </w:p>
    <w:p>
      <w:pPr>
        <w:numPr>
          <w:ilvl w:val="0"/>
          <w:numId w:val="1006"/>
        </w:numPr>
        <w:pStyle w:val="Compact"/>
      </w:pPr>
      <w:r>
        <w:rPr>
          <w:bCs/>
          <w:b/>
        </w:rPr>
        <w:t xml:space="preserve">Le cumul ne perce jamais les objets protégés.</w:t>
      </w:r>
      <w:r>
        <w:t xml:space="preserve"> </w:t>
      </w:r>
      <w:r>
        <w:t xml:space="preserve">Un chef de division titulaire de tous les rôles du domaine B ne voit pas davantage le bulletin de paie de ses agents ni le motif médical d’une absence : la section 3.2 prime sur tout cumul.</w:t>
      </w:r>
    </w:p>
    <w:bookmarkEnd w:id="35"/>
    <w:bookmarkStart w:id="36" w:name="ordre-dévaluation-dun-accès"/>
    <w:p>
      <w:pPr>
        <w:pStyle w:val="Heading3"/>
      </w:pPr>
      <w:r>
        <w:t xml:space="preserve">5.5 Ordre d’évaluation d’un accès</w:t>
      </w:r>
    </w:p>
    <w:p>
      <w:pPr>
        <w:pStyle w:val="FirstParagraph"/>
      </w:pPr>
      <w:r>
        <w:t xml:space="preserve">L’ordre est normatif : une implémentation qui teste le périmètre avant la protection de l’objet expose un bulletin de paie au chef de division.</w:t>
      </w:r>
    </w:p>
    <w:p>
      <w:pPr>
        <w:numPr>
          <w:ilvl w:val="0"/>
          <w:numId w:val="1007"/>
        </w:numPr>
        <w:pStyle w:val="Compact"/>
      </w:pPr>
      <w:r>
        <w:rPr>
          <w:bCs/>
          <w:b/>
        </w:rPr>
        <w:t xml:space="preserve">L’objet est-il protégé au sens de la section 3.2 ?</w:t>
      </w:r>
      <w:r>
        <w:t xml:space="preserve"> </w:t>
      </w:r>
      <w:r>
        <w:t xml:space="preserve">Si oui, l’accès est accordé au seul titre du besoin d’en connaître, et refusé sinon. L’évaluation s’arrête là.</w:t>
      </w:r>
    </w:p>
    <w:p>
      <w:pPr>
        <w:numPr>
          <w:ilvl w:val="0"/>
          <w:numId w:val="1007"/>
        </w:numPr>
        <w:pStyle w:val="Compact"/>
      </w:pPr>
      <w:r>
        <w:rPr>
          <w:bCs/>
          <w:b/>
        </w:rPr>
        <w:t xml:space="preserve">Le demandeur est-il un compte externe ?</w:t>
      </w:r>
      <w:r>
        <w:t xml:space="preserve"> </w:t>
      </w:r>
      <w:r>
        <w:t xml:space="preserve">Si oui, l’accès est accordé aux seuls objets au statut diffusable, et refusé sinon. L’évaluation s’arrête là.</w:t>
      </w:r>
    </w:p>
    <w:p>
      <w:pPr>
        <w:numPr>
          <w:ilvl w:val="0"/>
          <w:numId w:val="1007"/>
        </w:numPr>
        <w:pStyle w:val="Compact"/>
      </w:pPr>
      <w:r>
        <w:rPr>
          <w:bCs/>
          <w:b/>
        </w:rPr>
        <w:t xml:space="preserve">Le périmètre du demandeur couvre-t-il l’objet ?</w:t>
      </w:r>
      <w:r>
        <w:t xml:space="preserve"> </w:t>
      </w:r>
      <w:r>
        <w:t xml:space="preserve">Si non, refus.</w:t>
      </w:r>
    </w:p>
    <w:p>
      <w:pPr>
        <w:numPr>
          <w:ilvl w:val="0"/>
          <w:numId w:val="1007"/>
        </w:numPr>
        <w:pStyle w:val="Compact"/>
      </w:pPr>
      <w:r>
        <w:rPr>
          <w:bCs/>
          <w:b/>
        </w:rPr>
        <w:t xml:space="preserve">Le demandeur détient-il le rôle fonctionnel requis par l’action ?</w:t>
      </w:r>
      <w:r>
        <w:t xml:space="preserve"> </w:t>
      </w:r>
      <w:r>
        <w:t xml:space="preserve">Si non, refus. Si oui, accès.</w:t>
      </w:r>
    </w:p>
    <w:p>
      <w:pPr>
        <w:pStyle w:val="FirstParagraph"/>
      </w:pPr>
      <w:r>
        <w:t xml:space="preserve">Tout refus est journalisé. La couverture de tests automatisés porte en priorité sur ce chemin de décision et sur les circuits de validation.</w:t>
      </w:r>
    </w:p>
    <w:bookmarkEnd w:id="36"/>
    <w:bookmarkEnd w:id="37"/>
    <w:bookmarkStart w:id="42" w:name="modèle-de-données-consolidé"/>
    <w:p>
      <w:pPr>
        <w:pStyle w:val="Heading2"/>
      </w:pPr>
      <w:r>
        <w:t xml:space="preserve">6. Modèle de données consolidé</w:t>
      </w:r>
    </w:p>
    <w:p>
      <w:pPr>
        <w:pStyle w:val="FirstParagraph"/>
      </w:pPr>
      <w:r>
        <w:t xml:space="preserve">Les noms d’entités et de champs sont normatifs : ils font le vocabulaire commun du cahier, de la base de données et de l’API. Les identifiants sont des UUID. Tout enregistrement porte</w:t>
      </w:r>
      <w:r>
        <w:t xml:space="preserve"> </w:t>
      </w:r>
      <w:r>
        <w:rPr>
          <w:rStyle w:val="VerbatimChar"/>
        </w:rPr>
        <w:t xml:space="preserve">cree_le</w:t>
      </w:r>
      <w:r>
        <w:t xml:space="preserve"> </w:t>
      </w:r>
      <w:r>
        <w:t xml:space="preserve">(horodatage UTC) et</w:t>
      </w:r>
      <w:r>
        <w:t xml:space="preserve"> </w:t>
      </w:r>
      <w:r>
        <w:rPr>
          <w:rStyle w:val="VerbatimChar"/>
        </w:rPr>
        <w:t xml:space="preserve">cree_par</w:t>
      </w:r>
      <w:r>
        <w:t xml:space="preserve"> </w:t>
      </w:r>
      <w:r>
        <w:t xml:space="preserve">(référence utilisateur).</w:t>
      </w:r>
    </w:p>
    <w:bookmarkStart w:id="38" w:name="objets-du-socle"/>
    <w:p>
      <w:pPr>
        <w:pStyle w:val="Heading3"/>
      </w:pPr>
      <w:r>
        <w:t xml:space="preserve">6.1 Objets du socle</w:t>
      </w:r>
    </w:p>
    <w:p>
      <w:pPr>
        <w:pStyle w:val="FirstParagraph"/>
      </w:pPr>
      <w:r>
        <w:t xml:space="preserve">Ces objets sont uniques et partagés. Aucune partie de domaine ne peut en créer une variante.</w:t>
      </w:r>
    </w:p>
    <w:tbl>
      <w:tblPr>
        <w:tblStyle w:val="Table"/>
        <w:tblW w:type="dxa" w:w="9354"/>
        <w:tblLayout w:type="fixed"/>
        <w:tblLook w:firstRow="1" w:lastRow="0" w:firstColumn="0" w:lastColumn="0" w:noHBand="0" w:noVBand="0" w:val="0020"/>
        <w:jc w:val="start"/>
      </w:tblPr>
      <w:tblGrid>
        <w:gridCol w:w="3373"/>
        <w:gridCol w:w="3537"/>
        <w:gridCol w:w="2444"/>
      </w:tblGrid>
      <w:tr>
        <w:trPr>
          <w:tblHeader w:val="true"/>
        </w:trPr>
        <w:tc>
          <w:tcPr/>
          <w:p>
            <w:pPr>
              <w:pStyle w:val="Compact"/>
              <w:jc w:val="left"/>
            </w:pPr>
            <w:r>
              <w:t xml:space="preserve">Objet</w:t>
            </w:r>
          </w:p>
        </w:tc>
        <w:tc>
          <w:tcPr/>
          <w:p>
            <w:pPr>
              <w:pStyle w:val="Compact"/>
              <w:jc w:val="left"/>
            </w:pPr>
            <w:r>
              <w:t xml:space="preserve">Rôle</w:t>
            </w:r>
          </w:p>
        </w:tc>
        <w:tc>
          <w:tcPr/>
          <w:p>
            <w:pPr>
              <w:pStyle w:val="Compact"/>
              <w:jc w:val="left"/>
            </w:pPr>
            <w:r>
              <w:t xml:space="preserve">Source</w:t>
            </w:r>
          </w:p>
        </w:tc>
      </w:tr>
      <w:tr>
        <w:tc>
          <w:tcPr/>
          <w:p>
            <w:pPr>
              <w:pStyle w:val="Compact"/>
              <w:jc w:val="left"/>
            </w:pPr>
            <w:r>
              <w:rPr>
                <w:rStyle w:val="VerbatimChar"/>
              </w:rPr>
              <w:t xml:space="preserve">unite_organisationnelle</w:t>
            </w:r>
          </w:p>
        </w:tc>
        <w:tc>
          <w:tcPr/>
          <w:p>
            <w:pPr>
              <w:pStyle w:val="Compact"/>
              <w:jc w:val="left"/>
            </w:pPr>
            <w:r>
              <w:t xml:space="preserve">Récursif : code, libellé, type, parente, responsable, suppléant, dates</w:t>
            </w:r>
          </w:p>
        </w:tc>
        <w:tc>
          <w:tcPr/>
          <w:p>
            <w:pPr>
              <w:pStyle w:val="Compact"/>
              <w:jc w:val="left"/>
            </w:pPr>
            <w:r>
              <w:t xml:space="preserve">SI E.1</w:t>
            </w:r>
          </w:p>
        </w:tc>
      </w:tr>
      <w:tr>
        <w:tc>
          <w:tcPr/>
          <w:p>
            <w:pPr>
              <w:pStyle w:val="Compact"/>
              <w:jc w:val="left"/>
            </w:pPr>
            <w:r>
              <w:rPr>
                <w:rStyle w:val="VerbatimChar"/>
              </w:rPr>
              <w:t xml:space="preserve">agent</w:t>
            </w:r>
          </w:p>
        </w:tc>
        <w:tc>
          <w:tcPr/>
          <w:p>
            <w:pPr>
              <w:pStyle w:val="Compact"/>
              <w:jc w:val="left"/>
            </w:pPr>
            <w:r>
              <w:t xml:space="preserve">Personne physique : matricule, identité, statut, grade, unité, fonction</w:t>
            </w:r>
          </w:p>
        </w:tc>
        <w:tc>
          <w:tcPr/>
          <w:p>
            <w:pPr>
              <w:pStyle w:val="Compact"/>
              <w:jc w:val="left"/>
            </w:pPr>
            <w:r>
              <w:t xml:space="preserve">SI E.2</w:t>
            </w:r>
          </w:p>
        </w:tc>
      </w:tr>
      <w:tr>
        <w:tc>
          <w:tcPr/>
          <w:p>
            <w:pPr>
              <w:pStyle w:val="Compact"/>
              <w:jc w:val="left"/>
            </w:pPr>
            <w:r>
              <w:rPr>
                <w:rStyle w:val="VerbatimChar"/>
              </w:rPr>
              <w:t xml:space="preserve">compte</w:t>
            </w:r>
          </w:p>
        </w:tc>
        <w:tc>
          <w:tcPr/>
          <w:p>
            <w:pPr>
              <w:pStyle w:val="Compact"/>
              <w:jc w:val="left"/>
            </w:pPr>
            <w:r>
              <w:t xml:space="preserve">Accès rattaché à un agent ou à une organisation invitée, ses rôles, son état</w:t>
            </w:r>
          </w:p>
        </w:tc>
        <w:tc>
          <w:tcPr/>
          <w:p>
            <w:pPr>
              <w:pStyle w:val="Compact"/>
              <w:jc w:val="left"/>
            </w:pPr>
            <w:r>
              <w:t xml:space="preserve">SI E.3</w:t>
            </w:r>
          </w:p>
        </w:tc>
      </w:tr>
      <w:tr>
        <w:tc>
          <w:tcPr/>
          <w:p>
            <w:pPr>
              <w:pStyle w:val="Compact"/>
              <w:jc w:val="left"/>
            </w:pPr>
            <w:r>
              <w:rPr>
                <w:rStyle w:val="VerbatimChar"/>
              </w:rPr>
              <w:t xml:space="preserve">organisation_invitee</w:t>
            </w:r>
          </w:p>
        </w:tc>
        <w:tc>
          <w:tcPr/>
          <w:p>
            <w:pPr>
              <w:pStyle w:val="Compact"/>
              <w:jc w:val="left"/>
            </w:pPr>
            <w:r>
              <w:t xml:space="preserve">Entité d’accueil des comptes externes, avec parrain interne et échéance</w:t>
            </w:r>
          </w:p>
        </w:tc>
        <w:tc>
          <w:tcPr/>
          <w:p>
            <w:pPr>
              <w:pStyle w:val="Compact"/>
              <w:jc w:val="left"/>
            </w:pPr>
            <w:r>
              <w:t xml:space="preserve">Fusion</w:t>
            </w:r>
          </w:p>
        </w:tc>
      </w:tr>
      <w:tr>
        <w:tc>
          <w:tcPr/>
          <w:p>
            <w:pPr>
              <w:pStyle w:val="Compact"/>
              <w:jc w:val="left"/>
            </w:pPr>
            <w:r>
              <w:rPr>
                <w:rStyle w:val="VerbatimChar"/>
              </w:rPr>
              <w:t xml:space="preserve">role_attribution</w:t>
            </w:r>
          </w:p>
        </w:tc>
        <w:tc>
          <w:tcPr/>
          <w:p>
            <w:pPr>
              <w:pStyle w:val="Compact"/>
              <w:jc w:val="left"/>
            </w:pPr>
            <w:r>
              <w:t xml:space="preserve">Attribution datée d’un rôle fonctionnel à un compte</w:t>
            </w:r>
          </w:p>
        </w:tc>
        <w:tc>
          <w:tcPr/>
          <w:p>
            <w:pPr>
              <w:pStyle w:val="Compact"/>
              <w:jc w:val="left"/>
            </w:pPr>
            <w:r>
              <w:t xml:space="preserve">Fusion</w:t>
            </w:r>
          </w:p>
        </w:tc>
      </w:tr>
      <w:tr>
        <w:tc>
          <w:tcPr/>
          <w:p>
            <w:pPr>
              <w:pStyle w:val="Compact"/>
              <w:jc w:val="left"/>
            </w:pPr>
            <w:r>
              <w:rPr>
                <w:rStyle w:val="VerbatimChar"/>
              </w:rPr>
              <w:t xml:space="preserve">document</w:t>
            </w:r>
          </w:p>
        </w:tc>
        <w:tc>
          <w:tcPr/>
          <w:p>
            <w:pPr>
              <w:pStyle w:val="Compact"/>
              <w:jc w:val="left"/>
            </w:pPr>
            <w:r>
              <w:t xml:space="preserve">Objet unique de la GED, typé, versionné, rattaché à un espace</w:t>
            </w:r>
          </w:p>
        </w:tc>
        <w:tc>
          <w:tcPr/>
          <w:p>
            <w:pPr>
              <w:pStyle w:val="Compact"/>
              <w:jc w:val="left"/>
            </w:pPr>
            <w:r>
              <w:t xml:space="preserve">SI E.13, absorbe</w:t>
            </w:r>
            <w:r>
              <w:t xml:space="preserve"> </w:t>
            </w:r>
            <w:r>
              <w:rPr>
                <w:rStyle w:val="VerbatimChar"/>
              </w:rPr>
              <w:t xml:space="preserve">rapport</w:t>
            </w:r>
          </w:p>
        </w:tc>
      </w:tr>
      <w:tr>
        <w:tc>
          <w:tcPr/>
          <w:p>
            <w:pPr>
              <w:pStyle w:val="Compact"/>
              <w:jc w:val="left"/>
            </w:pPr>
            <w:r>
              <w:rPr>
                <w:rStyle w:val="VerbatimChar"/>
              </w:rPr>
              <w:t xml:space="preserve">notification</w:t>
            </w:r>
          </w:p>
        </w:tc>
        <w:tc>
          <w:tcPr/>
          <w:p>
            <w:pPr>
              <w:pStyle w:val="Compact"/>
              <w:jc w:val="left"/>
            </w:pPr>
            <w:r>
              <w:t xml:space="preserve">Événement notifiable, canal, destinataire, accusé</w:t>
            </w:r>
          </w:p>
        </w:tc>
        <w:tc>
          <w:tcPr/>
          <w:p>
            <w:pPr>
              <w:pStyle w:val="Compact"/>
              <w:jc w:val="left"/>
            </w:pPr>
            <w:r>
              <w:t xml:space="preserve">SI annexe G</w:t>
            </w:r>
          </w:p>
        </w:tc>
      </w:tr>
      <w:tr>
        <w:tc>
          <w:tcPr/>
          <w:p>
            <w:pPr>
              <w:pStyle w:val="Compact"/>
              <w:jc w:val="left"/>
            </w:pPr>
            <w:r>
              <w:rPr>
                <w:rStyle w:val="VerbatimChar"/>
              </w:rPr>
              <w:t xml:space="preserve">journal_audit</w:t>
            </w:r>
          </w:p>
        </w:tc>
        <w:tc>
          <w:tcPr/>
          <w:p>
            <w:pPr>
              <w:pStyle w:val="Compact"/>
              <w:jc w:val="left"/>
            </w:pPr>
            <w:r>
              <w:t xml:space="preserve">Journal inaltérable, non purgeable par l’administrateur</w:t>
            </w:r>
          </w:p>
        </w:tc>
        <w:tc>
          <w:tcPr/>
          <w:p>
            <w:pPr>
              <w:pStyle w:val="Compact"/>
              <w:jc w:val="left"/>
            </w:pPr>
            <w:r>
              <w:t xml:space="preserve">SI et simulation</w:t>
            </w:r>
          </w:p>
        </w:tc>
      </w:tr>
      <w:tr>
        <w:tc>
          <w:tcPr/>
          <w:p>
            <w:pPr>
              <w:pStyle w:val="Compact"/>
              <w:jc w:val="left"/>
            </w:pPr>
            <w:r>
              <w:rPr>
                <w:rStyle w:val="VerbatimChar"/>
              </w:rPr>
              <w:t xml:space="preserve">export</w:t>
            </w:r>
          </w:p>
        </w:tc>
        <w:tc>
          <w:tcPr/>
          <w:p>
            <w:pPr>
              <w:pStyle w:val="Compact"/>
              <w:jc w:val="left"/>
            </w:pPr>
            <w:r>
              <w:t xml:space="preserve">Trace d’un export, son format, son statut, son demandeur</w:t>
            </w:r>
          </w:p>
        </w:tc>
        <w:tc>
          <w:tcPr/>
          <w:p>
            <w:pPr>
              <w:pStyle w:val="Compact"/>
              <w:jc w:val="left"/>
            </w:pPr>
            <w:r>
              <w:t xml:space="preserve">Fusion</w:t>
            </w:r>
          </w:p>
        </w:tc>
      </w:tr>
      <w:tr>
        <w:tc>
          <w:tcPr/>
          <w:p>
            <w:pPr>
              <w:pStyle w:val="Compact"/>
              <w:jc w:val="left"/>
            </w:pPr>
            <w:r>
              <w:rPr>
                <w:rStyle w:val="VerbatimChar"/>
              </w:rPr>
              <w:t xml:space="preserve">message</w:t>
            </w:r>
          </w:p>
        </w:tc>
        <w:tc>
          <w:tcPr/>
          <w:p>
            <w:pPr>
              <w:pStyle w:val="Compact"/>
              <w:jc w:val="left"/>
            </w:pPr>
            <w:r>
              <w:t xml:space="preserve">Communication interne : émetteur, destinataires, objet, corps, accusés de lecture, pièce jointe référencée</w:t>
            </w:r>
          </w:p>
        </w:tc>
        <w:tc>
          <w:tcPr/>
          <w:p>
            <w:pPr>
              <w:pStyle w:val="Compact"/>
              <w:jc w:val="left"/>
            </w:pPr>
            <w:r>
              <w:t xml:space="preserve">Version 2.0</w:t>
            </w:r>
          </w:p>
        </w:tc>
      </w:tr>
      <w:tr>
        <w:tc>
          <w:tcPr/>
          <w:p>
            <w:pPr>
              <w:pStyle w:val="Compact"/>
              <w:jc w:val="left"/>
            </w:pPr>
            <w:r>
              <w:rPr>
                <w:rStyle w:val="VerbatimChar"/>
              </w:rPr>
              <w:t xml:space="preserve">suppleance</w:t>
            </w:r>
          </w:p>
        </w:tc>
        <w:tc>
          <w:tcPr/>
          <w:p>
            <w:pPr>
              <w:pStyle w:val="Compact"/>
              <w:jc w:val="left"/>
            </w:pPr>
            <w:r>
              <w:t xml:space="preserve">Désignation datée d’un suppléant sur une unité, avec son motif</w:t>
            </w:r>
          </w:p>
        </w:tc>
        <w:tc>
          <w:tcPr/>
          <w:p>
            <w:pPr>
              <w:pStyle w:val="Compact"/>
              <w:jc w:val="left"/>
            </w:pPr>
            <w:r>
              <w:t xml:space="preserve">Version 2.0</w:t>
            </w:r>
          </w:p>
        </w:tc>
      </w:tr>
      <w:tr>
        <w:tc>
          <w:tcPr/>
          <w:p>
            <w:pPr>
              <w:pStyle w:val="Compact"/>
              <w:jc w:val="left"/>
            </w:pPr>
            <w:r>
              <w:rPr>
                <w:rStyle w:val="VerbatimChar"/>
              </w:rPr>
              <w:t xml:space="preserve">reglage</w:t>
            </w:r>
          </w:p>
        </w:tc>
        <w:tc>
          <w:tcPr/>
          <w:p>
            <w:pPr>
              <w:pStyle w:val="Compact"/>
              <w:jc w:val="left"/>
            </w:pPr>
            <w:r>
              <w:t xml:space="preserve">Paramètre de la plateforme, sa valeur, ses bornes et sa référence au cahier</w:t>
            </w:r>
          </w:p>
        </w:tc>
        <w:tc>
          <w:tcPr/>
          <w:p>
            <w:pPr>
              <w:pStyle w:val="Compact"/>
              <w:jc w:val="left"/>
            </w:pPr>
            <w:r>
              <w:t xml:space="preserve">Version 2.0</w:t>
            </w:r>
          </w:p>
        </w:tc>
      </w:tr>
      <w:tr>
        <w:tc>
          <w:tcPr/>
          <w:p>
            <w:pPr>
              <w:pStyle w:val="Compact"/>
              <w:jc w:val="left"/>
            </w:pPr>
            <w:r>
              <w:rPr>
                <w:rStyle w:val="VerbatimChar"/>
              </w:rPr>
              <w:t xml:space="preserve">mouvement_compte</w:t>
            </w:r>
          </w:p>
        </w:tc>
        <w:tc>
          <w:tcPr/>
          <w:p>
            <w:pPr>
              <w:pStyle w:val="Compact"/>
              <w:jc w:val="left"/>
            </w:pPr>
            <w:r>
              <w:t xml:space="preserve">Cycle de vie d’un compte : création, activation, suspension, mutation, désactivation</w:t>
            </w:r>
          </w:p>
        </w:tc>
        <w:tc>
          <w:tcPr/>
          <w:p>
            <w:pPr>
              <w:pStyle w:val="Compact"/>
              <w:jc w:val="left"/>
            </w:pPr>
            <w:r>
              <w:t xml:space="preserve">Version 2.0</w:t>
            </w:r>
          </w:p>
        </w:tc>
      </w:tr>
    </w:tbl>
    <w:bookmarkEnd w:id="38"/>
    <w:bookmarkStart w:id="39" w:name="recouvrements-tranchés"/>
    <w:p>
      <w:pPr>
        <w:pStyle w:val="Heading3"/>
      </w:pPr>
      <w:r>
        <w:t xml:space="preserve">6.2 Recouvrements tranchés</w:t>
      </w:r>
    </w:p>
    <w:p>
      <w:pPr>
        <w:pStyle w:val="FirstParagraph"/>
      </w:pPr>
      <w:r>
        <w:t xml:space="preserve">Quatre objets existaient en double sous des noms différents. Les arbitrages ci-dessous sont normatifs.</w:t>
      </w:r>
    </w:p>
    <w:tbl>
      <w:tblPr>
        <w:tblStyle w:val="Table"/>
        <w:tblW w:type="dxa" w:w="9354"/>
        <w:tblLayout w:type="fixed"/>
        <w:tblLook w:firstRow="1" w:lastRow="0" w:firstColumn="0" w:lastColumn="0" w:noHBand="0" w:noVBand="0" w:val="0020"/>
        <w:jc w:val="start"/>
      </w:tblPr>
      <w:tblGrid>
        <w:gridCol w:w="3823"/>
        <w:gridCol w:w="5531"/>
      </w:tblGrid>
      <w:tr>
        <w:trPr>
          <w:tblHeader w:val="true"/>
        </w:trPr>
        <w:tc>
          <w:tcPr/>
          <w:p>
            <w:pPr>
              <w:pStyle w:val="Compact"/>
              <w:jc w:val="left"/>
            </w:pPr>
            <w:r>
              <w:t xml:space="preserve">Doublon</w:t>
            </w:r>
          </w:p>
        </w:tc>
        <w:tc>
          <w:tcPr/>
          <w:p>
            <w:pPr>
              <w:pStyle w:val="Compact"/>
              <w:jc w:val="left"/>
            </w:pPr>
            <w:r>
              <w:t xml:space="preserve">Arbitrage</w:t>
            </w:r>
          </w:p>
        </w:tc>
      </w:tr>
      <w:tr>
        <w:tc>
          <w:tcPr/>
          <w:p>
            <w:pPr>
              <w:pStyle w:val="Compact"/>
              <w:jc w:val="left"/>
            </w:pPr>
            <w:r>
              <w:rPr>
                <w:rStyle w:val="VerbatimChar"/>
              </w:rPr>
              <w:t xml:space="preserve">rapport</w:t>
            </w:r>
            <w:r>
              <w:t xml:space="preserve"> </w:t>
            </w:r>
            <w:r>
              <w:t xml:space="preserve">(simulation) et</w:t>
            </w:r>
            <w:r>
              <w:t xml:space="preserve"> </w:t>
            </w:r>
            <w:r>
              <w:rPr>
                <w:rStyle w:val="VerbatimChar"/>
              </w:rPr>
              <w:t xml:space="preserve">document</w:t>
            </w:r>
            <w:r>
              <w:t xml:space="preserve"> </w:t>
            </w:r>
            <w:r>
              <w:t xml:space="preserve">(GED)</w:t>
            </w:r>
          </w:p>
        </w:tc>
        <w:tc>
          <w:tcPr/>
          <w:p>
            <w:pPr>
              <w:pStyle w:val="Compact"/>
              <w:jc w:val="left"/>
            </w:pPr>
            <w:r>
              <w:t xml:space="preserve">Un seul objet</w:t>
            </w:r>
            <w:r>
              <w:t xml:space="preserve"> </w:t>
            </w:r>
            <w:r>
              <w:rPr>
                <w:rStyle w:val="VerbatimChar"/>
              </w:rPr>
              <w:t xml:space="preserve">document</w:t>
            </w:r>
            <w:r>
              <w:t xml:space="preserve">. Un rapport est un</w:t>
            </w:r>
            <w:r>
              <w:t xml:space="preserve"> </w:t>
            </w:r>
            <w:r>
              <w:rPr>
                <w:rStyle w:val="VerbatimChar"/>
              </w:rPr>
              <w:t xml:space="preserve">document</w:t>
            </w:r>
            <w:r>
              <w:t xml:space="preserve"> </w:t>
            </w:r>
            <w:r>
              <w:t xml:space="preserve">de type RPEF, note de conjoncture ou élément de cadrage, portant une référence vers les simulations qui l’appuient. L’interface de dépôt documentaire prévue entre les deux systèmes disparaît</w:t>
            </w:r>
          </w:p>
        </w:tc>
      </w:tr>
      <w:tr>
        <w:tc>
          <w:tcPr/>
          <w:p>
            <w:pPr>
              <w:pStyle w:val="Compact"/>
              <w:jc w:val="left"/>
            </w:pPr>
            <w:r>
              <w:t xml:space="preserve">Journal d’audit, des deux côtés</w:t>
            </w:r>
          </w:p>
        </w:tc>
        <w:tc>
          <w:tcPr/>
          <w:p>
            <w:pPr>
              <w:pStyle w:val="Compact"/>
              <w:jc w:val="left"/>
            </w:pPr>
            <w:r>
              <w:t xml:space="preserve">Un seul journal, avec le même format d’entrée et la même inaltérabilité pour les deux domaines</w:t>
            </w:r>
          </w:p>
        </w:tc>
      </w:tr>
      <w:tr>
        <w:tc>
          <w:tcPr/>
          <w:p>
            <w:pPr>
              <w:pStyle w:val="Compact"/>
              <w:jc w:val="left"/>
            </w:pPr>
            <w:r>
              <w:t xml:space="preserve">Utilisateur, des deux côtés</w:t>
            </w:r>
          </w:p>
        </w:tc>
        <w:tc>
          <w:tcPr/>
          <w:p>
            <w:pPr>
              <w:pStyle w:val="Compact"/>
              <w:jc w:val="left"/>
            </w:pPr>
            <w:r>
              <w:t xml:space="preserve">Un seul objet</w:t>
            </w:r>
            <w:r>
              <w:t xml:space="preserve"> </w:t>
            </w:r>
            <w:r>
              <w:rPr>
                <w:rStyle w:val="VerbatimChar"/>
              </w:rPr>
              <w:t xml:space="preserve">compte</w:t>
            </w:r>
            <w:r>
              <w:t xml:space="preserve"> </w:t>
            </w:r>
            <w:r>
              <w:t xml:space="preserve">; les rôles de modélisation deviennent des</w:t>
            </w:r>
            <w:r>
              <w:t xml:space="preserve"> </w:t>
            </w:r>
            <w:r>
              <w:rPr>
                <w:rStyle w:val="VerbatimChar"/>
              </w:rPr>
              <w:t xml:space="preserve">role_attribution</w:t>
            </w:r>
          </w:p>
        </w:tc>
      </w:tr>
      <w:tr>
        <w:tc>
          <w:tcPr/>
          <w:p>
            <w:pPr>
              <w:pStyle w:val="Compact"/>
              <w:jc w:val="left"/>
            </w:pPr>
            <w:r>
              <w:t xml:space="preserve">Export Excel/PDF, des deux côtés</w:t>
            </w:r>
          </w:p>
        </w:tc>
        <w:tc>
          <w:tcPr/>
          <w:p>
            <w:pPr>
              <w:pStyle w:val="Compact"/>
              <w:jc w:val="left"/>
            </w:pPr>
            <w:r>
              <w:t xml:space="preserve">Un seul service d’export, avec apposition automatique du statut de l’objet exporté</w:t>
            </w:r>
          </w:p>
        </w:tc>
      </w:tr>
    </w:tbl>
    <w:bookmarkEnd w:id="39"/>
    <w:bookmarkStart w:id="40" w:name="objets-de-domaine"/>
    <w:p>
      <w:pPr>
        <w:pStyle w:val="Heading3"/>
      </w:pPr>
      <w:r>
        <w:t xml:space="preserve">6.3 Objets de domaine</w:t>
      </w:r>
    </w:p>
    <w:p>
      <w:pPr>
        <w:pStyle w:val="FirstParagraph"/>
      </w:pPr>
      <w:r>
        <w:t xml:space="preserve">Ils restent propres à leur partie et ne sont pas redéfinis ici.</w:t>
      </w:r>
    </w:p>
    <w:p>
      <w:pPr>
        <w:numPr>
          <w:ilvl w:val="0"/>
          <w:numId w:val="1008"/>
        </w:numPr>
        <w:pStyle w:val="Compact"/>
      </w:pPr>
      <w:r>
        <w:rPr>
          <w:bCs/>
          <w:b/>
        </w:rPr>
        <w:t xml:space="preserve">Domaine A</w:t>
      </w:r>
      <w:r>
        <w:t xml:space="preserve"> </w:t>
      </w:r>
      <w:r>
        <w:t xml:space="preserve">:</w:t>
      </w:r>
      <w:r>
        <w:t xml:space="preserve"> </w:t>
      </w:r>
      <w:r>
        <w:rPr>
          <w:rStyle w:val="VerbatimChar"/>
        </w:rPr>
        <w:t xml:space="preserve">activite</w:t>
      </w:r>
      <w:r>
        <w:t xml:space="preserve">,</w:t>
      </w:r>
      <w:r>
        <w:t xml:space="preserve"> </w:t>
      </w:r>
      <w:r>
        <w:rPr>
          <w:rStyle w:val="VerbatimChar"/>
        </w:rPr>
        <w:t xml:space="preserve">tache</w:t>
      </w:r>
      <w:r>
        <w:t xml:space="preserve">,</w:t>
      </w:r>
      <w:r>
        <w:t xml:space="preserve"> </w:t>
      </w:r>
      <w:r>
        <w:rPr>
          <w:rStyle w:val="VerbatimChar"/>
        </w:rPr>
        <w:t xml:space="preserve">reunion</w:t>
      </w:r>
      <w:r>
        <w:t xml:space="preserve">,</w:t>
      </w:r>
      <w:r>
        <w:t xml:space="preserve"> </w:t>
      </w:r>
      <w:r>
        <w:rPr>
          <w:rStyle w:val="VerbatimChar"/>
        </w:rPr>
        <w:t xml:space="preserve">decision</w:t>
      </w:r>
      <w:r>
        <w:t xml:space="preserve">,</w:t>
      </w:r>
      <w:r>
        <w:t xml:space="preserve"> </w:t>
      </w:r>
      <w:r>
        <w:rPr>
          <w:rStyle w:val="VerbatimChar"/>
        </w:rPr>
        <w:t xml:space="preserve">action</w:t>
      </w:r>
      <w:r>
        <w:t xml:space="preserve">,</w:t>
      </w:r>
      <w:r>
        <w:t xml:space="preserve"> </w:t>
      </w:r>
      <w:r>
        <w:rPr>
          <w:rStyle w:val="VerbatimChar"/>
        </w:rPr>
        <w:t xml:space="preserve">demande_absence</w:t>
      </w:r>
      <w:r>
        <w:t xml:space="preserve">,</w:t>
      </w:r>
      <w:r>
        <w:t xml:space="preserve"> </w:t>
      </w:r>
      <w:r>
        <w:rPr>
          <w:rStyle w:val="VerbatimChar"/>
        </w:rPr>
        <w:t xml:space="preserve">plan_rotation</w:t>
      </w:r>
      <w:r>
        <w:t xml:space="preserve">,</w:t>
      </w:r>
      <w:r>
        <w:t xml:space="preserve"> </w:t>
      </w:r>
      <w:r>
        <w:rPr>
          <w:rStyle w:val="VerbatimChar"/>
        </w:rPr>
        <w:t xml:space="preserve">rapport_stage</w:t>
      </w:r>
      <w:r>
        <w:t xml:space="preserve">,</w:t>
      </w:r>
      <w:r>
        <w:t xml:space="preserve"> </w:t>
      </w:r>
      <w:r>
        <w:rPr>
          <w:rStyle w:val="VerbatimChar"/>
        </w:rPr>
        <w:t xml:space="preserve">campagne_paie</w:t>
      </w:r>
      <w:r>
        <w:t xml:space="preserve">,</w:t>
      </w:r>
      <w:r>
        <w:t xml:space="preserve"> </w:t>
      </w:r>
      <w:r>
        <w:rPr>
          <w:rStyle w:val="VerbatimChar"/>
        </w:rPr>
        <w:t xml:space="preserve">bulletin</w:t>
      </w:r>
      <w:r>
        <w:t xml:space="preserve">,</w:t>
      </w:r>
      <w:r>
        <w:t xml:space="preserve"> </w:t>
      </w:r>
      <w:r>
        <w:rPr>
          <w:rStyle w:val="VerbatimChar"/>
        </w:rPr>
        <w:t xml:space="preserve">element_remuneration</w:t>
      </w:r>
      <w:r>
        <w:t xml:space="preserve">,</w:t>
      </w:r>
      <w:r>
        <w:t xml:space="preserve"> </w:t>
      </w:r>
      <w:r>
        <w:rPr>
          <w:rStyle w:val="VerbatimChar"/>
        </w:rPr>
        <w:t xml:space="preserve">element_variable</w:t>
      </w:r>
      <w:r>
        <w:t xml:space="preserve">,</w:t>
      </w:r>
      <w:r>
        <w:t xml:space="preserve"> </w:t>
      </w:r>
      <w:r>
        <w:rPr>
          <w:rStyle w:val="VerbatimChar"/>
        </w:rPr>
        <w:t xml:space="preserve">ordre_paiement</w:t>
      </w:r>
      <w:r>
        <w:t xml:space="preserve">,</w:t>
      </w:r>
      <w:r>
        <w:t xml:space="preserve"> </w:t>
      </w:r>
      <w:r>
        <w:rPr>
          <w:rStyle w:val="VerbatimChar"/>
        </w:rPr>
        <w:t xml:space="preserve">mission</w:t>
      </w:r>
      <w:r>
        <w:t xml:space="preserve">,</w:t>
      </w:r>
      <w:r>
        <w:t xml:space="preserve"> </w:t>
      </w:r>
      <w:r>
        <w:rPr>
          <w:rStyle w:val="VerbatimChar"/>
        </w:rPr>
        <w:t xml:space="preserve">ligne_budgetaire</w:t>
      </w:r>
      <w:r>
        <w:t xml:space="preserve">,</w:t>
      </w:r>
      <w:r>
        <w:t xml:space="preserve"> </w:t>
      </w:r>
      <w:r>
        <w:rPr>
          <w:rStyle w:val="VerbatimChar"/>
        </w:rPr>
        <w:t xml:space="preserve">etat_financier</w:t>
      </w:r>
      <w:r>
        <w:t xml:space="preserve">,</w:t>
      </w:r>
      <w:r>
        <w:t xml:space="preserve"> </w:t>
      </w:r>
      <w:r>
        <w:rPr>
          <w:rStyle w:val="VerbatimChar"/>
        </w:rPr>
        <w:t xml:space="preserve">mouvement_carriere</w:t>
      </w:r>
      <w:r>
        <w:t xml:space="preserve">,</w:t>
      </w:r>
      <w:r>
        <w:t xml:space="preserve"> </w:t>
      </w:r>
      <w:r>
        <w:rPr>
          <w:rStyle w:val="VerbatimChar"/>
        </w:rPr>
        <w:t xml:space="preserve">acte_rh</w:t>
      </w:r>
      <w:r>
        <w:t xml:space="preserve">,</w:t>
      </w:r>
      <w:r>
        <w:t xml:space="preserve"> </w:t>
      </w:r>
      <w:r>
        <w:rPr>
          <w:rStyle w:val="VerbatimChar"/>
        </w:rPr>
        <w:t xml:space="preserve">fiche_poste</w:t>
      </w:r>
      <w:r>
        <w:t xml:space="preserve">,</w:t>
      </w:r>
      <w:r>
        <w:t xml:space="preserve"> </w:t>
      </w:r>
      <w:r>
        <w:rPr>
          <w:rStyle w:val="VerbatimChar"/>
        </w:rPr>
        <w:t xml:space="preserve">formation</w:t>
      </w:r>
      <w:r>
        <w:t xml:space="preserve">,</w:t>
      </w:r>
      <w:r>
        <w:t xml:space="preserve"> </w:t>
      </w:r>
      <w:r>
        <w:rPr>
          <w:rStyle w:val="VerbatimChar"/>
        </w:rPr>
        <w:t xml:space="preserve">instruction</w:t>
      </w:r>
      <w:r>
        <w:t xml:space="preserve">,</w:t>
      </w:r>
      <w:r>
        <w:t xml:space="preserve"> </w:t>
      </w:r>
      <w:r>
        <w:rPr>
          <w:rStyle w:val="VerbatimChar"/>
        </w:rPr>
        <w:t xml:space="preserve">courrier</w:t>
      </w:r>
      <w:r>
        <w:t xml:space="preserve">,</w:t>
      </w:r>
      <w:r>
        <w:t xml:space="preserve"> </w:t>
      </w:r>
      <w:r>
        <w:rPr>
          <w:rStyle w:val="VerbatimChar"/>
        </w:rPr>
        <w:t xml:space="preserve">annonce</w:t>
      </w:r>
      <w:r>
        <w:t xml:space="preserve">,</w:t>
      </w:r>
      <w:r>
        <w:t xml:space="preserve"> </w:t>
      </w:r>
      <w:r>
        <w:rPr>
          <w:rStyle w:val="VerbatimChar"/>
        </w:rPr>
        <w:t xml:space="preserve">sondage</w:t>
      </w:r>
      <w:r>
        <w:t xml:space="preserve">,</w:t>
      </w:r>
      <w:r>
        <w:t xml:space="preserve"> </w:t>
      </w:r>
      <w:r>
        <w:rPr>
          <w:rStyle w:val="VerbatimChar"/>
        </w:rPr>
        <w:t xml:space="preserve">suggestion</w:t>
      </w:r>
      <w:r>
        <w:t xml:space="preserve">,</w:t>
      </w:r>
      <w:r>
        <w:t xml:space="preserve"> </w:t>
      </w:r>
      <w:r>
        <w:rPr>
          <w:rStyle w:val="VerbatimChar"/>
        </w:rPr>
        <w:t xml:space="preserve">materiel</w:t>
      </w:r>
      <w:r>
        <w:t xml:space="preserve">,</w:t>
      </w:r>
      <w:r>
        <w:t xml:space="preserve"> </w:t>
      </w:r>
      <w:r>
        <w:rPr>
          <w:rStyle w:val="VerbatimChar"/>
        </w:rPr>
        <w:t xml:space="preserve">fourniture</w:t>
      </w:r>
      <w:r>
        <w:t xml:space="preserve">,</w:t>
      </w:r>
      <w:r>
        <w:t xml:space="preserve"> </w:t>
      </w:r>
      <w:r>
        <w:rPr>
          <w:rStyle w:val="VerbatimChar"/>
        </w:rPr>
        <w:t xml:space="preserve">vehicule</w:t>
      </w:r>
      <w:r>
        <w:t xml:space="preserve">,</w:t>
      </w:r>
      <w:r>
        <w:t xml:space="preserve"> </w:t>
      </w:r>
      <w:r>
        <w:rPr>
          <w:rStyle w:val="VerbatimChar"/>
        </w:rPr>
        <w:t xml:space="preserve">salle</w:t>
      </w:r>
      <w:r>
        <w:t xml:space="preserve">.</w:t>
      </w:r>
    </w:p>
    <w:p>
      <w:pPr>
        <w:numPr>
          <w:ilvl w:val="0"/>
          <w:numId w:val="1008"/>
        </w:numPr>
        <w:pStyle w:val="Compact"/>
      </w:pPr>
      <w:r>
        <w:rPr>
          <w:bCs/>
          <w:b/>
        </w:rPr>
        <w:t xml:space="preserve">Domaine B</w:t>
      </w:r>
      <w:r>
        <w:t xml:space="preserve"> </w:t>
      </w:r>
      <w:r>
        <w:t xml:space="preserve">:</w:t>
      </w:r>
      <w:r>
        <w:t xml:space="preserve"> </w:t>
      </w:r>
      <w:r>
        <w:rPr>
          <w:rStyle w:val="VerbatimChar"/>
        </w:rPr>
        <w:t xml:space="preserve">modele</w:t>
      </w:r>
      <w:r>
        <w:t xml:space="preserve">,</w:t>
      </w:r>
      <w:r>
        <w:t xml:space="preserve"> </w:t>
      </w:r>
      <w:r>
        <w:rPr>
          <w:rStyle w:val="VerbatimChar"/>
        </w:rPr>
        <w:t xml:space="preserve">version_modele</w:t>
      </w:r>
      <w:r>
        <w:t xml:space="preserve">,</w:t>
      </w:r>
      <w:r>
        <w:t xml:space="preserve"> </w:t>
      </w:r>
      <w:r>
        <w:rPr>
          <w:rStyle w:val="VerbatimChar"/>
        </w:rPr>
        <w:t xml:space="preserve">fichier_modele</w:t>
      </w:r>
      <w:r>
        <w:t xml:space="preserve">,</w:t>
      </w:r>
      <w:r>
        <w:t xml:space="preserve"> </w:t>
      </w:r>
      <w:r>
        <w:rPr>
          <w:rStyle w:val="VerbatimChar"/>
        </w:rPr>
        <w:t xml:space="preserve">base_reference</w:t>
      </w:r>
      <w:r>
        <w:t xml:space="preserve">,</w:t>
      </w:r>
      <w:r>
        <w:t xml:space="preserve"> </w:t>
      </w:r>
      <w:r>
        <w:rPr>
          <w:rStyle w:val="VerbatimChar"/>
        </w:rPr>
        <w:t xml:space="preserve">serie</w:t>
      </w:r>
      <w:r>
        <w:t xml:space="preserve">,</w:t>
      </w:r>
      <w:r>
        <w:t xml:space="preserve"> </w:t>
      </w:r>
      <w:r>
        <w:rPr>
          <w:rStyle w:val="VerbatimChar"/>
        </w:rPr>
        <w:t xml:space="preserve">correspondance_variable</w:t>
      </w:r>
      <w:r>
        <w:t xml:space="preserve">,</w:t>
      </w:r>
      <w:r>
        <w:t xml:space="preserve"> </w:t>
      </w:r>
      <w:r>
        <w:rPr>
          <w:rStyle w:val="VerbatimChar"/>
        </w:rPr>
        <w:t xml:space="preserve">import_donnees</w:t>
      </w:r>
      <w:r>
        <w:t xml:space="preserve">,</w:t>
      </w:r>
      <w:r>
        <w:t xml:space="preserve"> </w:t>
      </w:r>
      <w:r>
        <w:rPr>
          <w:rStyle w:val="VerbatimChar"/>
        </w:rPr>
        <w:t xml:space="preserve">parametre_choc</w:t>
      </w:r>
      <w:r>
        <w:t xml:space="preserve">,</w:t>
      </w:r>
      <w:r>
        <w:t xml:space="preserve"> </w:t>
      </w:r>
      <w:r>
        <w:rPr>
          <w:rStyle w:val="VerbatimChar"/>
        </w:rPr>
        <w:t xml:space="preserve">indicateur_sortie</w:t>
      </w:r>
      <w:r>
        <w:t xml:space="preserve">,</w:t>
      </w:r>
      <w:r>
        <w:t xml:space="preserve"> </w:t>
      </w:r>
      <w:r>
        <w:rPr>
          <w:rStyle w:val="VerbatimChar"/>
        </w:rPr>
        <w:t xml:space="preserve">choc_type</w:t>
      </w:r>
      <w:r>
        <w:t xml:space="preserve">,</w:t>
      </w:r>
      <w:r>
        <w:t xml:space="preserve"> </w:t>
      </w:r>
      <w:r>
        <w:rPr>
          <w:rStyle w:val="VerbatimChar"/>
        </w:rPr>
        <w:t xml:space="preserve">scenario</w:t>
      </w:r>
      <w:r>
        <w:t xml:space="preserve">,</w:t>
      </w:r>
      <w:r>
        <w:t xml:space="preserve"> </w:t>
      </w:r>
      <w:r>
        <w:rPr>
          <w:rStyle w:val="VerbatimChar"/>
        </w:rPr>
        <w:t xml:space="preserve">choc</w:t>
      </w:r>
      <w:r>
        <w:t xml:space="preserve">,</w:t>
      </w:r>
      <w:r>
        <w:t xml:space="preserve"> </w:t>
      </w:r>
      <w:r>
        <w:rPr>
          <w:rStyle w:val="VerbatimChar"/>
        </w:rPr>
        <w:t xml:space="preserve">simulation</w:t>
      </w:r>
      <w:r>
        <w:t xml:space="preserve">,</w:t>
      </w:r>
      <w:r>
        <w:t xml:space="preserve"> </w:t>
      </w:r>
      <w:r>
        <w:rPr>
          <w:rStyle w:val="VerbatimChar"/>
        </w:rPr>
        <w:t xml:space="preserve">serie_sensibilite</w:t>
      </w:r>
      <w:r>
        <w:t xml:space="preserve">,</w:t>
      </w:r>
      <w:r>
        <w:t xml:space="preserve"> </w:t>
      </w:r>
      <w:r>
        <w:rPr>
          <w:rStyle w:val="VerbatimChar"/>
        </w:rPr>
        <w:t xml:space="preserve">comparaison</w:t>
      </w:r>
      <w:r>
        <w:t xml:space="preserve">,</w:t>
      </w:r>
      <w:r>
        <w:t xml:space="preserve"> </w:t>
      </w:r>
      <w:r>
        <w:rPr>
          <w:rStyle w:val="VerbatimChar"/>
        </w:rPr>
        <w:t xml:space="preserve">enchainement</w:t>
      </w:r>
      <w:r>
        <w:t xml:space="preserve">,</w:t>
      </w:r>
      <w:r>
        <w:t xml:space="preserve"> </w:t>
      </w:r>
      <w:r>
        <w:rPr>
          <w:rStyle w:val="VerbatimChar"/>
        </w:rPr>
        <w:t xml:space="preserve">resultat_valeur</w:t>
      </w:r>
      <w:r>
        <w:t xml:space="preserve">,</w:t>
      </w:r>
      <w:r>
        <w:t xml:space="preserve"> </w:t>
      </w:r>
      <w:r>
        <w:rPr>
          <w:rStyle w:val="VerbatimChar"/>
        </w:rPr>
        <w:t xml:space="preserve">controle_resultat</w:t>
      </w:r>
      <w:r>
        <w:t xml:space="preserve">,</w:t>
      </w:r>
      <w:r>
        <w:t xml:space="preserve"> </w:t>
      </w:r>
      <w:r>
        <w:rPr>
          <w:rStyle w:val="VerbatimChar"/>
        </w:rPr>
        <w:t xml:space="preserve">derogation</w:t>
      </w:r>
      <w:r>
        <w:t xml:space="preserve">,</w:t>
      </w:r>
      <w:r>
        <w:t xml:space="preserve"> </w:t>
      </w:r>
      <w:r>
        <w:rPr>
          <w:rStyle w:val="VerbatimChar"/>
        </w:rPr>
        <w:t xml:space="preserve">rejeu</w:t>
      </w:r>
      <w:r>
        <w:t xml:space="preserve">.</w:t>
      </w:r>
    </w:p>
    <w:bookmarkEnd w:id="40"/>
    <w:bookmarkStart w:id="41" w:name="contraintes-dintégrité-communes"/>
    <w:p>
      <w:pPr>
        <w:pStyle w:val="Heading3"/>
      </w:pPr>
      <w:r>
        <w:t xml:space="preserve">6.4 Contraintes d’intégrité communes</w:t>
      </w:r>
    </w:p>
    <w:p>
      <w:pPr>
        <w:numPr>
          <w:ilvl w:val="0"/>
          <w:numId w:val="1009"/>
        </w:numPr>
        <w:pStyle w:val="Compact"/>
      </w:pPr>
      <w:r>
        <w:t xml:space="preserve">Aucun</w:t>
      </w:r>
      <w:r>
        <w:t xml:space="preserve"> </w:t>
      </w:r>
      <w:r>
        <w:rPr>
          <w:rStyle w:val="VerbatimChar"/>
        </w:rPr>
        <w:t xml:space="preserve">compte</w:t>
      </w:r>
      <w:r>
        <w:t xml:space="preserve"> </w:t>
      </w:r>
      <w:r>
        <w:t xml:space="preserve">actif sans</w:t>
      </w:r>
      <w:r>
        <w:t xml:space="preserve"> </w:t>
      </w:r>
      <w:r>
        <w:rPr>
          <w:rStyle w:val="VerbatimChar"/>
        </w:rPr>
        <w:t xml:space="preserve">agent</w:t>
      </w:r>
      <w:r>
        <w:t xml:space="preserve"> </w:t>
      </w:r>
      <w:r>
        <w:t xml:space="preserve">rattaché, sauf compte externe rattaché à une</w:t>
      </w:r>
      <w:r>
        <w:t xml:space="preserve"> </w:t>
      </w:r>
      <w:r>
        <w:rPr>
          <w:rStyle w:val="VerbatimChar"/>
        </w:rPr>
        <w:t xml:space="preserve">organisation_invitee</w:t>
      </w:r>
      <w:r>
        <w:t xml:space="preserve">.</w:t>
      </w:r>
    </w:p>
    <w:p>
      <w:pPr>
        <w:numPr>
          <w:ilvl w:val="0"/>
          <w:numId w:val="1009"/>
        </w:numPr>
        <w:pStyle w:val="Compact"/>
      </w:pPr>
      <w:r>
        <w:t xml:space="preserve">Aucune</w:t>
      </w:r>
      <w:r>
        <w:t xml:space="preserve"> </w:t>
      </w:r>
      <w:r>
        <w:rPr>
          <w:rStyle w:val="VerbatimChar"/>
        </w:rPr>
        <w:t xml:space="preserve">unite_organisationnelle</w:t>
      </w:r>
      <w:r>
        <w:t xml:space="preserve"> </w:t>
      </w:r>
      <w:r>
        <w:t xml:space="preserve">fermée tant que des agents y sont rattachés.</w:t>
      </w:r>
    </w:p>
    <w:p>
      <w:pPr>
        <w:numPr>
          <w:ilvl w:val="0"/>
          <w:numId w:val="1009"/>
        </w:numPr>
        <w:pStyle w:val="Compact"/>
      </w:pPr>
      <w:r>
        <w:t xml:space="preserve">Aucune suppression physique d’un objet portant une trace d’audit : seule la désactivation est admise.</w:t>
      </w:r>
    </w:p>
    <w:p>
      <w:pPr>
        <w:numPr>
          <w:ilvl w:val="0"/>
          <w:numId w:val="1009"/>
        </w:numPr>
        <w:pStyle w:val="Compact"/>
      </w:pPr>
      <w:r>
        <w:t xml:space="preserve">Tout objet protégé au sens de la section 3.2 porte un marqueur technique exploité par le contrôle d’accès, et non une simple convention d’affichage.</w:t>
      </w:r>
    </w:p>
    <w:p>
      <w:pPr>
        <w:numPr>
          <w:ilvl w:val="0"/>
          <w:numId w:val="1009"/>
        </w:numPr>
        <w:pStyle w:val="Compact"/>
      </w:pPr>
      <w:r>
        <w:t xml:space="preserve">Tout</w:t>
      </w:r>
      <w:r>
        <w:t xml:space="preserve"> </w:t>
      </w:r>
      <w:r>
        <w:rPr>
          <w:rStyle w:val="VerbatimChar"/>
        </w:rPr>
        <w:t xml:space="preserve">document</w:t>
      </w:r>
      <w:r>
        <w:t xml:space="preserve"> </w:t>
      </w:r>
      <w:r>
        <w:t xml:space="preserve">de type rapport référence au moins une</w:t>
      </w:r>
      <w:r>
        <w:t xml:space="preserve"> </w:t>
      </w:r>
      <w:r>
        <w:rPr>
          <w:rStyle w:val="VerbatimChar"/>
        </w:rPr>
        <w:t xml:space="preserve">simulation</w:t>
      </w:r>
      <w:r>
        <w:t xml:space="preserve">, et le statut du rapport ne peut dépasser le statut le plus faible des simulations qu’il cite.</w:t>
      </w:r>
    </w:p>
    <w:p>
      <w:pPr>
        <w:numPr>
          <w:ilvl w:val="0"/>
          <w:numId w:val="1009"/>
        </w:numPr>
        <w:pStyle w:val="Compact"/>
      </w:pPr>
      <w:r>
        <w:t xml:space="preserve">La pièce jointe d’un</w:t>
      </w:r>
      <w:r>
        <w:t xml:space="preserve"> </w:t>
      </w:r>
      <w:r>
        <w:rPr>
          <w:rStyle w:val="VerbatimChar"/>
        </w:rPr>
        <w:t xml:space="preserve">message</w:t>
      </w:r>
      <w:r>
        <w:t xml:space="preserve"> </w:t>
      </w:r>
      <w:r>
        <w:t xml:space="preserve">référence un objet existant de la plateforme ;</w:t>
      </w:r>
      <w:r>
        <w:t xml:space="preserve"> </w:t>
      </w:r>
      <w:r>
        <w:rPr>
          <w:bCs/>
          <w:b/>
        </w:rPr>
        <w:t xml:space="preserve">aucun objet protégé au sens de la section 3.2 ne peut être référencé</w:t>
      </w:r>
      <w:r>
        <w:t xml:space="preserve">, quel que soit l’émetteur.</w:t>
      </w:r>
    </w:p>
    <w:p>
      <w:pPr>
        <w:numPr>
          <w:ilvl w:val="0"/>
          <w:numId w:val="1009"/>
        </w:numPr>
        <w:pStyle w:val="Compact"/>
      </w:pPr>
      <w:r>
        <w:t xml:space="preserve">Un</w:t>
      </w:r>
      <w:r>
        <w:t xml:space="preserve"> </w:t>
      </w:r>
      <w:r>
        <w:rPr>
          <w:rStyle w:val="VerbatimChar"/>
        </w:rPr>
        <w:t xml:space="preserve">ordre_paiement</w:t>
      </w:r>
      <w:r>
        <w:t xml:space="preserve"> </w:t>
      </w:r>
      <w:r>
        <w:t xml:space="preserve">ne peut passer à l’état visé sans pièce justificative rattachée.</w:t>
      </w:r>
    </w:p>
    <w:p>
      <w:pPr>
        <w:numPr>
          <w:ilvl w:val="0"/>
          <w:numId w:val="1009"/>
        </w:numPr>
        <w:pStyle w:val="Compact"/>
      </w:pPr>
      <w:r>
        <w:t xml:space="preserve">Un</w:t>
      </w:r>
      <w:r>
        <w:t xml:space="preserve"> </w:t>
      </w:r>
      <w:r>
        <w:rPr>
          <w:rStyle w:val="VerbatimChar"/>
        </w:rPr>
        <w:t xml:space="preserve">acte_rh</w:t>
      </w:r>
      <w:r>
        <w:t xml:space="preserve"> </w:t>
      </w:r>
      <w:r>
        <w:t xml:space="preserve">consomme le numéro suivant de sa séquence ; la séquence est continue, non réutilisable et non rétrocédable.</w:t>
      </w:r>
    </w:p>
    <w:p>
      <w:pPr>
        <w:numPr>
          <w:ilvl w:val="0"/>
          <w:numId w:val="1009"/>
        </w:numPr>
        <w:pStyle w:val="Compact"/>
      </w:pPr>
      <w:r>
        <w:t xml:space="preserve">Un</w:t>
      </w:r>
      <w:r>
        <w:t xml:space="preserve"> </w:t>
      </w:r>
      <w:r>
        <w:rPr>
          <w:rStyle w:val="VerbatimChar"/>
        </w:rPr>
        <w:t xml:space="preserve">parametre_choc</w:t>
      </w:r>
      <w:r>
        <w:t xml:space="preserve"> </w:t>
      </w:r>
      <w:r>
        <w:t xml:space="preserve">et un</w:t>
      </w:r>
      <w:r>
        <w:t xml:space="preserve"> </w:t>
      </w:r>
      <w:r>
        <w:rPr>
          <w:rStyle w:val="VerbatimChar"/>
        </w:rPr>
        <w:t xml:space="preserve">indicateur_sortie</w:t>
      </w:r>
      <w:r>
        <w:t xml:space="preserve"> </w:t>
      </w:r>
      <w:r>
        <w:t xml:space="preserve">appartiennent à un</w:t>
      </w:r>
      <w:r>
        <w:t xml:space="preserve"> </w:t>
      </w:r>
      <w:r>
        <w:rPr>
          <w:rStyle w:val="VerbatimChar"/>
        </w:rPr>
        <w:t xml:space="preserve">modele</w:t>
      </w:r>
      <w:r>
        <w:t xml:space="preserve"> </w:t>
      </w:r>
      <w:r>
        <w:t xml:space="preserve">: aucun choc ni aucune restitution n’est possible sur une variable non déclarée.</w:t>
      </w:r>
    </w:p>
    <w:bookmarkEnd w:id="41"/>
    <w:bookmarkEnd w:id="42"/>
    <w:bookmarkStart w:id="50" w:name="états-statuts-et-sortie-dun-objet"/>
    <w:p>
      <w:pPr>
        <w:pStyle w:val="Heading2"/>
      </w:pPr>
      <w:r>
        <w:t xml:space="preserve">7. États, statuts et sortie d’un objet</w:t>
      </w:r>
    </w:p>
    <w:p>
      <w:pPr>
        <w:pStyle w:val="FirstParagraph"/>
      </w:pPr>
      <w:r>
        <w:t xml:space="preserve">Le socle distingue trois notions que les deux cahiers mélangeaient : l’</w:t>
      </w:r>
      <w:r>
        <w:rPr>
          <w:bCs/>
          <w:b/>
        </w:rPr>
        <w:t xml:space="preserve">état d’exécution</w:t>
      </w:r>
      <w:r>
        <w:t xml:space="preserve"> </w:t>
      </w:r>
      <w:r>
        <w:t xml:space="preserve">d’un objet (technique, automatique), son</w:t>
      </w:r>
      <w:r>
        <w:t xml:space="preserve"> </w:t>
      </w:r>
      <w:r>
        <w:rPr>
          <w:bCs/>
          <w:b/>
        </w:rPr>
        <w:t xml:space="preserve">statut de diffusion</w:t>
      </w:r>
      <w:r>
        <w:t xml:space="preserve"> </w:t>
      </w:r>
      <w:r>
        <w:t xml:space="preserve">(décidé par un rôle) et son</w:t>
      </w:r>
      <w:r>
        <w:t xml:space="preserve"> </w:t>
      </w:r>
      <w:r>
        <w:rPr>
          <w:bCs/>
          <w:b/>
        </w:rPr>
        <w:t xml:space="preserve">visa</w:t>
      </w:r>
      <w:r>
        <w:t xml:space="preserve"> </w:t>
      </w:r>
      <w:r>
        <w:t xml:space="preserve">(l’acte opposable qui en découle). Un objet ne quitte la Direction que par le troisième.</w:t>
      </w:r>
    </w:p>
    <w:bookmarkStart w:id="46" w:name="X7f24cff31ff83ce105be1e84ddc566d1fba299c"/>
    <w:p>
      <w:pPr>
        <w:pStyle w:val="Heading3"/>
      </w:pPr>
      <w:r>
        <w:t xml:space="preserve">7.1 Statut de diffusion, commun aux deux domaines</w:t>
      </w:r>
    </w:p>
    <w:p>
      <w:pPr>
        <w:pStyle w:val="FirstParagraph"/>
      </w:pPr>
      <w:r>
        <w:t xml:space="preserve">Trois statuts, un seul vocabulaire :</w:t>
      </w:r>
    </w:p>
    <w:p>
      <w:pPr>
        <w:numPr>
          <w:ilvl w:val="0"/>
          <w:numId w:val="1010"/>
        </w:numPr>
        <w:pStyle w:val="Compact"/>
      </w:pPr>
      <w:r>
        <w:rPr>
          <w:bCs/>
          <w:b/>
        </w:rPr>
        <w:t xml:space="preserve">Exploratoire</w:t>
      </w:r>
      <w:r>
        <w:t xml:space="preserve"> </w:t>
      </w:r>
      <w:r>
        <w:t xml:space="preserve">(domaine B) ou</w:t>
      </w:r>
      <w:r>
        <w:t xml:space="preserve"> </w:t>
      </w:r>
      <w:r>
        <w:rPr>
          <w:bCs/>
          <w:b/>
        </w:rPr>
        <w:t xml:space="preserve">Brouillon</w:t>
      </w:r>
      <w:r>
        <w:t xml:space="preserve"> </w:t>
      </w:r>
      <w:r>
        <w:t xml:space="preserve">(domaine A) — état par défaut. Usage interne, non citable.</w:t>
      </w:r>
    </w:p>
    <w:p>
      <w:pPr>
        <w:numPr>
          <w:ilvl w:val="0"/>
          <w:numId w:val="1010"/>
        </w:numPr>
        <w:pStyle w:val="Compact"/>
      </w:pPr>
      <w:r>
        <w:rPr>
          <w:bCs/>
          <w:b/>
        </w:rPr>
        <w:t xml:space="preserve">Validé</w:t>
      </w:r>
      <w:r>
        <w:t xml:space="preserve"> </w:t>
      </w:r>
      <w:r>
        <w:t xml:space="preserve">— vérifié par le responsable métier : pour une simulation, hypothèses cohérentes, contrôles passés, résultat jugé économiquement plausible ; pour un acte, contenu arrêté.</w:t>
      </w:r>
    </w:p>
    <w:p>
      <w:pPr>
        <w:numPr>
          <w:ilvl w:val="0"/>
          <w:numId w:val="1010"/>
        </w:numPr>
        <w:pStyle w:val="Compact"/>
      </w:pPr>
      <w:r>
        <w:rPr>
          <w:bCs/>
          <w:b/>
        </w:rPr>
        <w:t xml:space="preserve">Diffusable</w:t>
      </w:r>
      <w:r>
        <w:t xml:space="preserve"> </w:t>
      </w:r>
      <w:r>
        <w:t xml:space="preserve">— autorisé par le validateur pour un usage hors de la Direction.</w:t>
      </w:r>
    </w:p>
    <w:p>
      <w:pPr>
        <w:pStyle w:val="CaptionedFigure"/>
      </w:pPr>
      <w:r>
        <w:drawing>
          <wp:inline>
            <wp:extent cx="5759999" cy="1993846"/>
            <wp:effectExtent b="0" l="0" r="0" t="0"/>
            <wp:docPr descr="Figure 1 — États d’exécution et statut de diffusion d’une simulation" title="" id="44" name="Picture"/>
            <a:graphic>
              <a:graphicData uri="http://schemas.openxmlformats.org/drawingml/2006/picture">
                <pic:pic>
                  <pic:nvPicPr>
                    <pic:cNvPr descr="media_v2/fig01-etats-simulation.png" id="45" name="Picture"/>
                    <pic:cNvPicPr>
                      <a:picLocks noChangeArrowheads="1" noChangeAspect="1"/>
                    </pic:cNvPicPr>
                  </pic:nvPicPr>
                  <pic:blipFill>
                    <a:blip r:embed="rId43"/>
                    <a:stretch>
                      <a:fillRect/>
                    </a:stretch>
                  </pic:blipFill>
                  <pic:spPr bwMode="auto">
                    <a:xfrm>
                      <a:off x="0" y="0"/>
                      <a:ext cx="5759999" cy="1993846"/>
                    </a:xfrm>
                    <a:prstGeom prst="rect">
                      <a:avLst/>
                    </a:prstGeom>
                    <a:noFill/>
                    <a:ln w="9525">
                      <a:noFill/>
                      <a:headEnd/>
                      <a:tailEnd/>
                    </a:ln>
                  </pic:spPr>
                </pic:pic>
              </a:graphicData>
            </a:graphic>
          </wp:inline>
        </w:drawing>
      </w:r>
    </w:p>
    <w:p>
      <w:pPr>
        <w:pStyle w:val="ImageCaption"/>
      </w:pPr>
      <w:r>
        <w:t xml:space="preserve">Figure 1 — États d’exécution et statut de diffusion d’une simulation</w:t>
      </w:r>
    </w:p>
    <w:p>
      <w:pPr>
        <w:pStyle w:val="BodyText"/>
      </w:pPr>
      <w:r>
        <w:t xml:space="preserve">L’état d’exécution est produit par le moteur et n’est jamais saisi ; le statut de diffusion est décidé par un rôle et journalisé. Une simulation dont l’exécution a échoué ou n’a pas convergé ne peut porter aucun statut de diffusion.</w:t>
      </w:r>
    </w:p>
    <w:p>
      <w:pPr>
        <w:pStyle w:val="BodyText"/>
      </w:pPr>
      <w:r>
        <w:t xml:space="preserve">Tout export porte la mention visible du statut de l’objet exporté. C’est la contrepartie de l’accès direct des décideurs : un résultat non vérifié ne doit jamais circuler avec l’apparence d’un chiffre officiel.</w:t>
      </w:r>
    </w:p>
    <w:bookmarkEnd w:id="46"/>
    <w:bookmarkStart w:id="47" w:name="règles-de-propagation"/>
    <w:p>
      <w:pPr>
        <w:pStyle w:val="Heading3"/>
      </w:pPr>
      <w:r>
        <w:t xml:space="preserve">7.2 Règles de propagation</w:t>
      </w:r>
    </w:p>
    <w:p>
      <w:pPr>
        <w:numPr>
          <w:ilvl w:val="0"/>
          <w:numId w:val="1011"/>
        </w:numPr>
        <w:pStyle w:val="Compact"/>
      </w:pPr>
      <w:r>
        <w:t xml:space="preserve">Un rapport ne peut être soumis que si toutes ses simulations sources sont au moins</w:t>
      </w:r>
      <w:r>
        <w:t xml:space="preserve"> </w:t>
      </w:r>
      <w:r>
        <w:rPr>
          <w:bCs/>
          <w:b/>
        </w:rPr>
        <w:t xml:space="preserve">Validées</w:t>
      </w:r>
      <w:r>
        <w:t xml:space="preserve">, et ne peut être diffusé que si aucune n’a été rétrogradée depuis la soumission.</w:t>
      </w:r>
    </w:p>
    <w:p>
      <w:pPr>
        <w:numPr>
          <w:ilvl w:val="0"/>
          <w:numId w:val="1011"/>
        </w:numPr>
        <w:pStyle w:val="Compact"/>
      </w:pPr>
      <w:r>
        <w:t xml:space="preserve">Si une simulation source est rétrogradée après diffusion, le rapport est signalé « à revoir » et son auteur comme son validateur en sont informés.</w:t>
      </w:r>
    </w:p>
    <w:p>
      <w:pPr>
        <w:numPr>
          <w:ilvl w:val="0"/>
          <w:numId w:val="1011"/>
        </w:numPr>
        <w:pStyle w:val="Compact"/>
      </w:pPr>
      <w:r>
        <w:t xml:space="preserve">Le retrait d’un objet diffusable exige un motif et laisse l’objet consultable en interne. Rien ne disparaît.</w:t>
      </w:r>
    </w:p>
    <w:bookmarkEnd w:id="47"/>
    <w:bookmarkStart w:id="48" w:name="visa-et-numérotation"/>
    <w:p>
      <w:pPr>
        <w:pStyle w:val="Heading3"/>
      </w:pPr>
      <w:r>
        <w:t xml:space="preserve">7.3 Visa et numérotation</w:t>
      </w:r>
    </w:p>
    <w:p>
      <w:pPr>
        <w:pStyle w:val="FirstParagraph"/>
      </w:pPr>
      <w:r>
        <w:t xml:space="preserve">Le mode de signature retenu par défaut est le</w:t>
      </w:r>
      <w:r>
        <w:t xml:space="preserve"> </w:t>
      </w:r>
      <w:r>
        <w:rPr>
          <w:bCs/>
          <w:b/>
        </w:rPr>
        <w:t xml:space="preserve">visa électronique interne</w:t>
      </w:r>
      <w:r>
        <w:t xml:space="preserve"> </w:t>
      </w:r>
      <w:r>
        <w:t xml:space="preserve">: trace horodatée et nominative des visas successifs, numéro unique, mentions reproduites sur le PDF exporté. Ce mode n’emporte pas valeur de signature au sens de la réglementation sur les transactions électroniques ; lorsqu’une signature manuscrite est exigée, le système produit le document à signer et conserve la version signée numérisée, rattachée à l’acte.</w:t>
      </w:r>
    </w:p>
    <w:p>
      <w:pPr>
        <w:pStyle w:val="BodyText"/>
      </w:pPr>
      <w:r>
        <w:t xml:space="preserve">Chaque famille d’actes dispose d’une séquence propre, continue et non réutilisable, au format paramétrable (par exemple</w:t>
      </w:r>
      <w:r>
        <w:t xml:space="preserve"> </w:t>
      </w:r>
      <w:r>
        <w:rPr>
          <w:rStyle w:val="VerbatimChar"/>
        </w:rPr>
        <w:t xml:space="preserve">DNPEC/CRR/2026/0318</w:t>
      </w:r>
      <w:r>
        <w:t xml:space="preserve">). Une numérotation ne peut être ni forcée ni rétrocédée : une annulation produit un acte d’annulation, jamais un trou dans la séquence.</w:t>
      </w:r>
    </w:p>
    <w:p>
      <w:pPr>
        <w:pStyle w:val="BodyText"/>
      </w:pPr>
      <w:r>
        <w:t xml:space="preserve">La fusion étend le dispositif au domaine B :</w:t>
      </w:r>
      <w:r>
        <w:t xml:space="preserve"> </w:t>
      </w:r>
      <w:r>
        <w:rPr>
          <w:bCs/>
          <w:b/>
        </w:rPr>
        <w:t xml:space="preserve">un rapport diffusable est un acte numéroté</w:t>
      </w:r>
      <w:r>
        <w:t xml:space="preserve">, au même titre qu’une note de service. Les familles à prévoir au lancement sont le courrier sortant, la note de service, le procès-verbal de réunion, l’attestation de stage, l’attestation de travail, l’attestation de salaire, le bulletin de paie, le RPEF et la note de conjoncture.</w:t>
      </w:r>
    </w:p>
    <w:bookmarkEnd w:id="48"/>
    <w:bookmarkStart w:id="49" w:name="gabarits"/>
    <w:p>
      <w:pPr>
        <w:pStyle w:val="Heading3"/>
      </w:pPr>
      <w:r>
        <w:t xml:space="preserve">7.4 Gabarits</w:t>
      </w:r>
    </w:p>
    <w:p>
      <w:pPr>
        <w:pStyle w:val="FirstParagraph"/>
      </w:pPr>
      <w:r>
        <w:t xml:space="preserve">En-tête officiel, mentions obligatoires et mise en forme de chaque famille sont paramétrés dans le système et maintenus par la CSID sur instruction du secrétariat de direction, sans intervention sur le code.</w:t>
      </w:r>
    </w:p>
    <w:bookmarkEnd w:id="49"/>
    <w:bookmarkEnd w:id="50"/>
    <w:bookmarkStart w:id="51" w:name="ged-unique"/>
    <w:p>
      <w:pPr>
        <w:pStyle w:val="Heading2"/>
      </w:pPr>
      <w:r>
        <w:t xml:space="preserve">8. GED unique</w:t>
      </w:r>
    </w:p>
    <w:p>
      <w:pPr>
        <w:pStyle w:val="FirstParagraph"/>
      </w:pPr>
      <w:r>
        <w:t xml:space="preserve">Une seule gestion documentaire pour les deux domaines. Le RPEF, les notes de conjoncture et les éléments de cadrage produits par le domaine B sont déposés directement dans la GED, sans interface d’échange : c’est le gain le plus immédiat de la fusion, et un chantier d’intégration supprimé.</w:t>
      </w:r>
    </w:p>
    <w:p>
      <w:pPr>
        <w:pStyle w:val="BodyText"/>
      </w:pPr>
      <w:r>
        <w:rPr>
          <w:bCs/>
          <w:b/>
        </w:rPr>
        <w:t xml:space="preserve">Espaces.</w:t>
      </w:r>
      <w:r>
        <w:t xml:space="preserve"> </w:t>
      </w:r>
      <w:r>
        <w:t xml:space="preserve">Espace privé par unité, dépôt par tout agent, visible des seuls membres de l’unité, avec lien possible vers la tâche ou l’activité dont le document est issu. Espace de publication DNPEC, visible de toute la Direction, droit de publication réservé au DN, au DNA et aux chefs de division ou de cellule. Espace diffusable, seul visible des comptes externes.</w:t>
      </w:r>
    </w:p>
    <w:p>
      <w:pPr>
        <w:pStyle w:val="BodyText"/>
      </w:pPr>
      <w:r>
        <w:rPr>
          <w:bCs/>
          <w:b/>
        </w:rPr>
        <w:t xml:space="preserve">Versions.</w:t>
      </w:r>
      <w:r>
        <w:t xml:space="preserve"> </w:t>
      </w:r>
      <w:r>
        <w:t xml:space="preserve">Historique complet, marquage explicite « Final », seuls les documents finaux pouvant être publiés.</w:t>
      </w:r>
    </w:p>
    <w:p>
      <w:pPr>
        <w:pStyle w:val="BodyText"/>
      </w:pPr>
      <w:r>
        <w:rPr>
          <w:bCs/>
          <w:b/>
        </w:rPr>
        <w:t xml:space="preserve">Métadonnées obligatoires.</w:t>
      </w:r>
      <w:r>
        <w:t xml:space="preserve"> </w:t>
      </w:r>
      <w:r>
        <w:t xml:space="preserve">Unité productrice, type (étude, rapport, note technique, procès-verbal, acte, RPEF, note de conjoncture), date, auteur, période couverte, durée d’utilité administrative, sort final. Un document produit par le domaine B porte en outre la référence des simulations qui l’appuient et leur statut à la date du dépôt.</w:t>
      </w:r>
    </w:p>
    <w:p>
      <w:pPr>
        <w:pStyle w:val="BodyText"/>
      </w:pPr>
      <w:r>
        <w:rPr>
          <w:bCs/>
          <w:b/>
        </w:rPr>
        <w:t xml:space="preserve">Classement.</w:t>
      </w:r>
      <w:r>
        <w:t xml:space="preserve"> </w:t>
      </w:r>
      <w:r>
        <w:t xml:space="preserve">Catégories prédéfinies conformes au plan de classement institutionnel, complétées d’une arborescence libre propre à chaque unité.</w:t>
      </w:r>
    </w:p>
    <w:p>
      <w:pPr>
        <w:pStyle w:val="BodyText"/>
      </w:pPr>
      <w:r>
        <w:rPr>
          <w:bCs/>
          <w:b/>
        </w:rPr>
        <w:t xml:space="preserve">Recherche.</w:t>
      </w:r>
      <w:r>
        <w:t xml:space="preserve"> </w:t>
      </w:r>
      <w:r>
        <w:t xml:space="preserve">Par filtres et en texte intégral, y compris dans les PDF scannés par reconnaissance optique de caractères.</w:t>
      </w:r>
    </w:p>
    <w:p>
      <w:pPr>
        <w:pStyle w:val="BodyText"/>
      </w:pPr>
      <w:r>
        <w:rPr>
          <w:bCs/>
          <w:b/>
        </w:rPr>
        <w:t xml:space="preserve">Conservation.</w:t>
      </w:r>
      <w:r>
        <w:t xml:space="preserve"> </w:t>
      </w:r>
      <w:r>
        <w:t xml:space="preserve">Application du référentiel de durées de conservation, la proposition d’élimination étant soumise à validation et jamais automatique.</w:t>
      </w:r>
    </w:p>
    <w:p>
      <w:pPr>
        <w:pStyle w:val="BodyText"/>
      </w:pPr>
      <w:r>
        <w:t xml:space="preserve">L’archivage à valeur probante — intégrité par empreinte, horodatage qualifié, formats de pérennisation — reste hors périmètre et identifié comme chantier ultérieur.</w:t>
      </w:r>
    </w:p>
    <w:bookmarkEnd w:id="51"/>
    <w:bookmarkStart w:id="52" w:name="notifications"/>
    <w:p>
      <w:pPr>
        <w:pStyle w:val="Heading2"/>
      </w:pPr>
      <w:r>
        <w:t xml:space="preserve">9. Notifications</w:t>
      </w:r>
    </w:p>
    <w:p>
      <w:pPr>
        <w:pStyle w:val="FirstParagraph"/>
      </w:pPr>
      <w:r>
        <w:t xml:space="preserve">Un seul service de notification, une seule matrice, étendue aux événements de modélisation. Canaux :</w:t>
      </w:r>
      <w:r>
        <w:t xml:space="preserve"> </w:t>
      </w:r>
      <w:r>
        <w:rPr>
          <w:bCs/>
          <w:b/>
        </w:rPr>
        <w:t xml:space="preserve">A</w:t>
      </w:r>
      <w:r>
        <w:t xml:space="preserve"> </w:t>
      </w:r>
      <w:r>
        <w:t xml:space="preserve">application ·</w:t>
      </w:r>
      <w:r>
        <w:t xml:space="preserve"> </w:t>
      </w:r>
      <w:r>
        <w:rPr>
          <w:bCs/>
          <w:b/>
        </w:rPr>
        <w:t xml:space="preserve">C</w:t>
      </w:r>
      <w:r>
        <w:t xml:space="preserve"> </w:t>
      </w:r>
      <w:r>
        <w:t xml:space="preserve">courriel ·</w:t>
      </w:r>
      <w:r>
        <w:t xml:space="preserve"> </w:t>
      </w:r>
      <w:r>
        <w:rPr>
          <w:bCs/>
          <w:b/>
        </w:rPr>
        <w:t xml:space="preserve">S</w:t>
      </w:r>
      <w:r>
        <w:t xml:space="preserve"> </w:t>
      </w:r>
      <w:r>
        <w:t xml:space="preserve">SMS ·</w:t>
      </w:r>
      <w:r>
        <w:t xml:space="preserve"> </w:t>
      </w:r>
      <w:r>
        <w:rPr>
          <w:bCs/>
          <w:b/>
        </w:rPr>
        <w:t xml:space="preserve">W</w:t>
      </w:r>
      <w:r>
        <w:t xml:space="preserve"> </w:t>
      </w:r>
      <w:r>
        <w:t xml:space="preserve">WhatsApp. Urgence :</w:t>
      </w:r>
      <w:r>
        <w:t xml:space="preserve"> </w:t>
      </w:r>
      <w:r>
        <w:rPr>
          <w:bCs/>
          <w:b/>
        </w:rPr>
        <w:t xml:space="preserve">I</w:t>
      </w:r>
      <w:r>
        <w:t xml:space="preserve"> </w:t>
      </w:r>
      <w:r>
        <w:t xml:space="preserve">immédiate ·</w:t>
      </w:r>
      <w:r>
        <w:t xml:space="preserve"> </w:t>
      </w:r>
      <w:r>
        <w:rPr>
          <w:bCs/>
          <w:b/>
        </w:rPr>
        <w:t xml:space="preserve">R</w:t>
      </w:r>
      <w:r>
        <w:t xml:space="preserve"> </w:t>
      </w:r>
      <w:r>
        <w:t xml:space="preserve">regroupée dans le résumé quotidien.</w:t>
      </w:r>
    </w:p>
    <w:p>
      <w:pPr>
        <w:pStyle w:val="BodyText"/>
      </w:pPr>
      <w:r>
        <w:t xml:space="preserve">La matrice complète du domaine A figure en Partie A. Les événements ajoutés par la fusion sont les suivants.</w:t>
      </w:r>
    </w:p>
    <w:tbl>
      <w:tblPr>
        <w:tblStyle w:val="Table"/>
        <w:tblW w:type="dxa" w:w="9354"/>
        <w:tblLayout w:type="fixed"/>
        <w:tblLook w:firstRow="1" w:lastRow="0" w:firstColumn="0" w:lastColumn="0" w:noHBand="0" w:noVBand="0" w:val="0020"/>
        <w:jc w:val="start"/>
      </w:tblPr>
      <w:tblGrid>
        <w:gridCol w:w="2575"/>
        <w:gridCol w:w="2604"/>
        <w:gridCol w:w="2111"/>
        <w:gridCol w:w="2064"/>
      </w:tblGrid>
      <w:tr>
        <w:trPr>
          <w:tblHeader w:val="true"/>
        </w:trPr>
        <w:tc>
          <w:tcPr/>
          <w:p>
            <w:pPr>
              <w:pStyle w:val="Compact"/>
              <w:jc w:val="left"/>
            </w:pPr>
            <w:r>
              <w:t xml:space="preserve">Événement</w:t>
            </w:r>
          </w:p>
        </w:tc>
        <w:tc>
          <w:tcPr/>
          <w:p>
            <w:pPr>
              <w:pStyle w:val="Compact"/>
              <w:jc w:val="left"/>
            </w:pPr>
            <w:r>
              <w:t xml:space="preserve">Destinataires</w:t>
            </w:r>
          </w:p>
        </w:tc>
        <w:tc>
          <w:tcPr/>
          <w:p>
            <w:pPr>
              <w:pStyle w:val="Compact"/>
              <w:jc w:val="left"/>
            </w:pPr>
            <w:r>
              <w:t xml:space="preserve">Canaux</w:t>
            </w:r>
          </w:p>
        </w:tc>
        <w:tc>
          <w:tcPr/>
          <w:p>
            <w:pPr>
              <w:pStyle w:val="Compact"/>
              <w:jc w:val="left"/>
            </w:pPr>
            <w:r>
              <w:t xml:space="preserve">Urgence</w:t>
            </w:r>
          </w:p>
        </w:tc>
      </w:tr>
      <w:tr>
        <w:tc>
          <w:tcPr/>
          <w:p>
            <w:pPr>
              <w:pStyle w:val="Compact"/>
              <w:jc w:val="left"/>
            </w:pPr>
            <w:r>
              <w:t xml:space="preserve">Exécution terminée</w:t>
            </w:r>
          </w:p>
        </w:tc>
        <w:tc>
          <w:tcPr/>
          <w:p>
            <w:pPr>
              <w:pStyle w:val="Compact"/>
              <w:jc w:val="left"/>
            </w:pPr>
            <w:r>
              <w:t xml:space="preserve">Auteur de la simulation</w:t>
            </w:r>
          </w:p>
        </w:tc>
        <w:tc>
          <w:tcPr/>
          <w:p>
            <w:pPr>
              <w:pStyle w:val="Compact"/>
              <w:jc w:val="left"/>
            </w:pPr>
            <w:r>
              <w:t xml:space="preserve">A, C</w:t>
            </w:r>
          </w:p>
        </w:tc>
        <w:tc>
          <w:tcPr/>
          <w:p>
            <w:pPr>
              <w:pStyle w:val="Compact"/>
              <w:jc w:val="left"/>
            </w:pPr>
            <w:r>
              <w:t xml:space="preserve">R</w:t>
            </w:r>
          </w:p>
        </w:tc>
      </w:tr>
      <w:tr>
        <w:tc>
          <w:tcPr/>
          <w:p>
            <w:pPr>
              <w:pStyle w:val="Compact"/>
              <w:jc w:val="left"/>
            </w:pPr>
            <w:r>
              <w:t xml:space="preserve">Exécution échouée ou non convergée</w:t>
            </w:r>
          </w:p>
        </w:tc>
        <w:tc>
          <w:tcPr/>
          <w:p>
            <w:pPr>
              <w:pStyle w:val="Compact"/>
              <w:jc w:val="left"/>
            </w:pPr>
            <w:r>
              <w:t xml:space="preserve">Auteur, responsable du modèle</w:t>
            </w:r>
          </w:p>
        </w:tc>
        <w:tc>
          <w:tcPr/>
          <w:p>
            <w:pPr>
              <w:pStyle w:val="Compact"/>
              <w:jc w:val="left"/>
            </w:pPr>
            <w:r>
              <w:t xml:space="preserve">A, C</w:t>
            </w:r>
          </w:p>
        </w:tc>
        <w:tc>
          <w:tcPr/>
          <w:p>
            <w:pPr>
              <w:pStyle w:val="Compact"/>
              <w:jc w:val="left"/>
            </w:pPr>
            <w:r>
              <w:t xml:space="preserve">I</w:t>
            </w:r>
          </w:p>
        </w:tc>
      </w:tr>
      <w:tr>
        <w:tc>
          <w:tcPr/>
          <w:p>
            <w:pPr>
              <w:pStyle w:val="Compact"/>
              <w:jc w:val="left"/>
            </w:pPr>
            <w:r>
              <w:t xml:space="preserve">Contrôle de cohérence bloquant</w:t>
            </w:r>
          </w:p>
        </w:tc>
        <w:tc>
          <w:tcPr/>
          <w:p>
            <w:pPr>
              <w:pStyle w:val="Compact"/>
              <w:jc w:val="left"/>
            </w:pPr>
            <w:r>
              <w:t xml:space="preserve">Auteur, responsable du modèle</w:t>
            </w:r>
          </w:p>
        </w:tc>
        <w:tc>
          <w:tcPr/>
          <w:p>
            <w:pPr>
              <w:pStyle w:val="Compact"/>
              <w:jc w:val="left"/>
            </w:pPr>
            <w:r>
              <w:t xml:space="preserve">A, C</w:t>
            </w:r>
          </w:p>
        </w:tc>
        <w:tc>
          <w:tcPr/>
          <w:p>
            <w:pPr>
              <w:pStyle w:val="Compact"/>
              <w:jc w:val="left"/>
            </w:pPr>
            <w:r>
              <w:t xml:space="preserve">I</w:t>
            </w:r>
          </w:p>
        </w:tc>
      </w:tr>
      <w:tr>
        <w:tc>
          <w:tcPr/>
          <w:p>
            <w:pPr>
              <w:pStyle w:val="Compact"/>
              <w:jc w:val="left"/>
            </w:pPr>
            <w:r>
              <w:t xml:space="preserve">Dérogation accordée sur un contrôle</w:t>
            </w:r>
          </w:p>
        </w:tc>
        <w:tc>
          <w:tcPr/>
          <w:p>
            <w:pPr>
              <w:pStyle w:val="Compact"/>
              <w:jc w:val="left"/>
            </w:pPr>
            <w:r>
              <w:t xml:space="preserve">Responsable du modèle, administrateur</w:t>
            </w:r>
          </w:p>
        </w:tc>
        <w:tc>
          <w:tcPr/>
          <w:p>
            <w:pPr>
              <w:pStyle w:val="Compact"/>
              <w:jc w:val="left"/>
            </w:pPr>
            <w:r>
              <w:t xml:space="preserve">A, C</w:t>
            </w:r>
          </w:p>
        </w:tc>
        <w:tc>
          <w:tcPr/>
          <w:p>
            <w:pPr>
              <w:pStyle w:val="Compact"/>
              <w:jc w:val="left"/>
            </w:pPr>
            <w:r>
              <w:t xml:space="preserve">I</w:t>
            </w:r>
          </w:p>
        </w:tc>
      </w:tr>
      <w:tr>
        <w:tc>
          <w:tcPr/>
          <w:p>
            <w:pPr>
              <w:pStyle w:val="Compact"/>
              <w:jc w:val="left"/>
            </w:pPr>
            <w:r>
              <w:t xml:space="preserve">Version de modèle activée</w:t>
            </w:r>
          </w:p>
        </w:tc>
        <w:tc>
          <w:tcPr/>
          <w:p>
            <w:pPr>
              <w:pStyle w:val="Compact"/>
              <w:jc w:val="left"/>
            </w:pPr>
            <w:r>
              <w:t xml:space="preserve">Analystes du domaine, responsable du modèle</w:t>
            </w:r>
          </w:p>
        </w:tc>
        <w:tc>
          <w:tcPr/>
          <w:p>
            <w:pPr>
              <w:pStyle w:val="Compact"/>
              <w:jc w:val="left"/>
            </w:pPr>
            <w:r>
              <w:t xml:space="preserve">A, C</w:t>
            </w:r>
          </w:p>
        </w:tc>
        <w:tc>
          <w:tcPr/>
          <w:p>
            <w:pPr>
              <w:pStyle w:val="Compact"/>
              <w:jc w:val="left"/>
            </w:pPr>
            <w:r>
              <w:t xml:space="preserve">R</w:t>
            </w:r>
          </w:p>
        </w:tc>
      </w:tr>
      <w:tr>
        <w:tc>
          <w:tcPr/>
          <w:p>
            <w:pPr>
              <w:pStyle w:val="Compact"/>
              <w:jc w:val="left"/>
            </w:pPr>
            <w:r>
              <w:t xml:space="preserve">Version remplacée ou archivée</w:t>
            </w:r>
          </w:p>
        </w:tc>
        <w:tc>
          <w:tcPr/>
          <w:p>
            <w:pPr>
              <w:pStyle w:val="Compact"/>
              <w:jc w:val="left"/>
            </w:pPr>
            <w:r>
              <w:t xml:space="preserve">Auteurs des simulations qui s’y rattachent</w:t>
            </w:r>
          </w:p>
        </w:tc>
        <w:tc>
          <w:tcPr/>
          <w:p>
            <w:pPr>
              <w:pStyle w:val="Compact"/>
              <w:jc w:val="left"/>
            </w:pPr>
            <w:r>
              <w:t xml:space="preserve">A, C</w:t>
            </w:r>
          </w:p>
        </w:tc>
        <w:tc>
          <w:tcPr/>
          <w:p>
            <w:pPr>
              <w:pStyle w:val="Compact"/>
              <w:jc w:val="left"/>
            </w:pPr>
            <w:r>
              <w:t xml:space="preserve">R</w:t>
            </w:r>
          </w:p>
        </w:tc>
      </w:tr>
      <w:tr>
        <w:tc>
          <w:tcPr/>
          <w:p>
            <w:pPr>
              <w:pStyle w:val="Compact"/>
              <w:jc w:val="left"/>
            </w:pPr>
            <w:r>
              <w:t xml:space="preserve">Simulation portée au statut diffusable</w:t>
            </w:r>
          </w:p>
        </w:tc>
        <w:tc>
          <w:tcPr/>
          <w:p>
            <w:pPr>
              <w:pStyle w:val="Compact"/>
              <w:jc w:val="left"/>
            </w:pPr>
            <w:r>
              <w:t xml:space="preserve">Auteur, validateur, administrateur</w:t>
            </w:r>
          </w:p>
        </w:tc>
        <w:tc>
          <w:tcPr/>
          <w:p>
            <w:pPr>
              <w:pStyle w:val="Compact"/>
              <w:jc w:val="left"/>
            </w:pPr>
            <w:r>
              <w:t xml:space="preserve">A, C</w:t>
            </w:r>
          </w:p>
        </w:tc>
        <w:tc>
          <w:tcPr/>
          <w:p>
            <w:pPr>
              <w:pStyle w:val="Compact"/>
              <w:jc w:val="left"/>
            </w:pPr>
            <w:r>
              <w:t xml:space="preserve">I</w:t>
            </w:r>
          </w:p>
        </w:tc>
      </w:tr>
      <w:tr>
        <w:tc>
          <w:tcPr/>
          <w:p>
            <w:pPr>
              <w:pStyle w:val="Compact"/>
              <w:jc w:val="left"/>
            </w:pPr>
            <w:r>
              <w:t xml:space="preserve">Simulation source rétrogradée</w:t>
            </w:r>
          </w:p>
        </w:tc>
        <w:tc>
          <w:tcPr/>
          <w:p>
            <w:pPr>
              <w:pStyle w:val="Compact"/>
              <w:jc w:val="left"/>
            </w:pPr>
            <w:r>
              <w:t xml:space="preserve">Auteur et validateur des rapports concernés</w:t>
            </w:r>
          </w:p>
        </w:tc>
        <w:tc>
          <w:tcPr/>
          <w:p>
            <w:pPr>
              <w:pStyle w:val="Compact"/>
              <w:jc w:val="left"/>
            </w:pPr>
            <w:r>
              <w:t xml:space="preserve">A, C</w:t>
            </w:r>
          </w:p>
        </w:tc>
        <w:tc>
          <w:tcPr/>
          <w:p>
            <w:pPr>
              <w:pStyle w:val="Compact"/>
              <w:jc w:val="left"/>
            </w:pPr>
            <w:r>
              <w:t xml:space="preserve">I</w:t>
            </w:r>
          </w:p>
        </w:tc>
      </w:tr>
      <w:tr>
        <w:tc>
          <w:tcPr/>
          <w:p>
            <w:pPr>
              <w:pStyle w:val="Compact"/>
              <w:jc w:val="left"/>
            </w:pPr>
            <w:r>
              <w:t xml:space="preserve">Compte externe à échéance à J−15</w:t>
            </w:r>
          </w:p>
        </w:tc>
        <w:tc>
          <w:tcPr/>
          <w:p>
            <w:pPr>
              <w:pStyle w:val="Compact"/>
              <w:jc w:val="left"/>
            </w:pPr>
            <w:r>
              <w:t xml:space="preserve">Parrain interne, administrateur</w:t>
            </w:r>
          </w:p>
        </w:tc>
        <w:tc>
          <w:tcPr/>
          <w:p>
            <w:pPr>
              <w:pStyle w:val="Compact"/>
              <w:jc w:val="left"/>
            </w:pPr>
            <w:r>
              <w:t xml:space="preserve">A, C</w:t>
            </w:r>
          </w:p>
        </w:tc>
        <w:tc>
          <w:tcPr/>
          <w:p>
            <w:pPr>
              <w:pStyle w:val="Compact"/>
              <w:jc w:val="left"/>
            </w:pPr>
            <w:r>
              <w:t xml:space="preserve">R</w:t>
            </w:r>
          </w:p>
        </w:tc>
      </w:tr>
      <w:tr>
        <w:tc>
          <w:tcPr/>
          <w:p>
            <w:pPr>
              <w:pStyle w:val="Compact"/>
              <w:jc w:val="left"/>
            </w:pPr>
            <w:r>
              <w:t xml:space="preserve">Message reçu</w:t>
            </w:r>
          </w:p>
        </w:tc>
        <w:tc>
          <w:tcPr/>
          <w:p>
            <w:pPr>
              <w:pStyle w:val="Compact"/>
              <w:jc w:val="left"/>
            </w:pPr>
            <w:r>
              <w:t xml:space="preserve">Destinataires du message</w:t>
            </w:r>
          </w:p>
        </w:tc>
        <w:tc>
          <w:tcPr/>
          <w:p>
            <w:pPr>
              <w:pStyle w:val="Compact"/>
              <w:jc w:val="left"/>
            </w:pPr>
            <w:r>
              <w:t xml:space="preserve">A, C</w:t>
            </w:r>
          </w:p>
        </w:tc>
        <w:tc>
          <w:tcPr/>
          <w:p>
            <w:pPr>
              <w:pStyle w:val="Compact"/>
              <w:jc w:val="left"/>
            </w:pPr>
            <w:r>
              <w:t xml:space="preserve">R</w:t>
            </w:r>
          </w:p>
        </w:tc>
      </w:tr>
      <w:tr>
        <w:tc>
          <w:tcPr/>
          <w:p>
            <w:pPr>
              <w:pStyle w:val="Compact"/>
              <w:jc w:val="left"/>
            </w:pPr>
            <w:r>
              <w:t xml:space="preserve">Document transmis à la Direction</w:t>
            </w:r>
          </w:p>
        </w:tc>
        <w:tc>
          <w:tcPr/>
          <w:p>
            <w:pPr>
              <w:pStyle w:val="Compact"/>
              <w:jc w:val="left"/>
            </w:pPr>
            <w:r>
              <w:t xml:space="preserve">Destinataires désignés</w:t>
            </w:r>
          </w:p>
        </w:tc>
        <w:tc>
          <w:tcPr/>
          <w:p>
            <w:pPr>
              <w:pStyle w:val="Compact"/>
              <w:jc w:val="left"/>
            </w:pPr>
            <w:r>
              <w:t xml:space="preserve">A, C</w:t>
            </w:r>
          </w:p>
        </w:tc>
        <w:tc>
          <w:tcPr/>
          <w:p>
            <w:pPr>
              <w:pStyle w:val="Compact"/>
              <w:jc w:val="left"/>
            </w:pPr>
            <w:r>
              <w:t xml:space="preserve">I</w:t>
            </w:r>
          </w:p>
        </w:tc>
      </w:tr>
      <w:tr>
        <w:tc>
          <w:tcPr/>
          <w:p>
            <w:pPr>
              <w:pStyle w:val="Compact"/>
              <w:jc w:val="left"/>
            </w:pPr>
            <w:r>
              <w:t xml:space="preserve">Compte créé, activé, suspendu ou désactivé</w:t>
            </w:r>
          </w:p>
        </w:tc>
        <w:tc>
          <w:tcPr/>
          <w:p>
            <w:pPr>
              <w:pStyle w:val="Compact"/>
              <w:jc w:val="left"/>
            </w:pPr>
            <w:r>
              <w:t xml:space="preserve">Titulaire du compte, administrateur</w:t>
            </w:r>
          </w:p>
        </w:tc>
        <w:tc>
          <w:tcPr/>
          <w:p>
            <w:pPr>
              <w:pStyle w:val="Compact"/>
              <w:jc w:val="left"/>
            </w:pPr>
            <w:r>
              <w:t xml:space="preserve">A, C</w:t>
            </w:r>
          </w:p>
        </w:tc>
        <w:tc>
          <w:tcPr/>
          <w:p>
            <w:pPr>
              <w:pStyle w:val="Compact"/>
              <w:jc w:val="left"/>
            </w:pPr>
            <w:r>
              <w:t xml:space="preserve">I</w:t>
            </w:r>
          </w:p>
        </w:tc>
      </w:tr>
      <w:tr>
        <w:tc>
          <w:tcPr/>
          <w:p>
            <w:pPr>
              <w:pStyle w:val="Compact"/>
              <w:jc w:val="left"/>
            </w:pPr>
            <w:r>
              <w:t xml:space="preserve">Rôle attribué ou retiré</w:t>
            </w:r>
          </w:p>
        </w:tc>
        <w:tc>
          <w:tcPr/>
          <w:p>
            <w:pPr>
              <w:pStyle w:val="Compact"/>
              <w:jc w:val="left"/>
            </w:pPr>
            <w:r>
              <w:t xml:space="preserve">Titulaire du compte</w:t>
            </w:r>
          </w:p>
        </w:tc>
        <w:tc>
          <w:tcPr/>
          <w:p>
            <w:pPr>
              <w:pStyle w:val="Compact"/>
              <w:jc w:val="left"/>
            </w:pPr>
            <w:r>
              <w:t xml:space="preserve">A</w:t>
            </w:r>
          </w:p>
        </w:tc>
        <w:tc>
          <w:tcPr/>
          <w:p>
            <w:pPr>
              <w:pStyle w:val="Compact"/>
              <w:jc w:val="left"/>
            </w:pPr>
            <w:r>
              <w:t xml:space="preserve">R</w:t>
            </w:r>
          </w:p>
        </w:tc>
      </w:tr>
      <w:tr>
        <w:tc>
          <w:tcPr/>
          <w:p>
            <w:pPr>
              <w:pStyle w:val="Compact"/>
              <w:jc w:val="left"/>
            </w:pPr>
            <w:r>
              <w:t xml:space="preserve">Mutation prononcée</w:t>
            </w:r>
          </w:p>
        </w:tc>
        <w:tc>
          <w:tcPr/>
          <w:p>
            <w:pPr>
              <w:pStyle w:val="Compact"/>
              <w:jc w:val="left"/>
            </w:pPr>
            <w:r>
              <w:t xml:space="preserve">Agent concerné, chef de l’unité d’accueil, chef de l’unité quittée</w:t>
            </w:r>
          </w:p>
        </w:tc>
        <w:tc>
          <w:tcPr/>
          <w:p>
            <w:pPr>
              <w:pStyle w:val="Compact"/>
              <w:jc w:val="left"/>
            </w:pPr>
            <w:r>
              <w:t xml:space="preserve">A, C</w:t>
            </w:r>
          </w:p>
        </w:tc>
        <w:tc>
          <w:tcPr/>
          <w:p>
            <w:pPr>
              <w:pStyle w:val="Compact"/>
              <w:jc w:val="left"/>
            </w:pPr>
            <w:r>
              <w:t xml:space="preserve">I</w:t>
            </w:r>
          </w:p>
        </w:tc>
      </w:tr>
      <w:tr>
        <w:tc>
          <w:tcPr/>
          <w:p>
            <w:pPr>
              <w:pStyle w:val="Compact"/>
              <w:jc w:val="left"/>
            </w:pPr>
            <w:r>
              <w:t xml:space="preserve">Acte des ressources humaines en attente de visa</w:t>
            </w:r>
          </w:p>
        </w:tc>
        <w:tc>
          <w:tcPr/>
          <w:p>
            <w:pPr>
              <w:pStyle w:val="Compact"/>
              <w:jc w:val="left"/>
            </w:pPr>
            <w:r>
              <w:t xml:space="preserve">Signataire désigné, DRH</w:t>
            </w:r>
          </w:p>
        </w:tc>
        <w:tc>
          <w:tcPr/>
          <w:p>
            <w:pPr>
              <w:pStyle w:val="Compact"/>
              <w:jc w:val="left"/>
            </w:pPr>
            <w:r>
              <w:t xml:space="preserve">A, C</w:t>
            </w:r>
          </w:p>
        </w:tc>
        <w:tc>
          <w:tcPr/>
          <w:p>
            <w:pPr>
              <w:pStyle w:val="Compact"/>
              <w:jc w:val="left"/>
            </w:pPr>
            <w:r>
              <w:t xml:space="preserve">I</w:t>
            </w:r>
          </w:p>
        </w:tc>
      </w:tr>
      <w:tr>
        <w:tc>
          <w:tcPr/>
          <w:p>
            <w:pPr>
              <w:pStyle w:val="Compact"/>
              <w:jc w:val="left"/>
            </w:pPr>
            <w:r>
              <w:t xml:space="preserve">Ordre de paiement émis ou visé</w:t>
            </w:r>
          </w:p>
        </w:tc>
        <w:tc>
          <w:tcPr/>
          <w:p>
            <w:pPr>
              <w:pStyle w:val="Compact"/>
              <w:jc w:val="left"/>
            </w:pPr>
            <w:r>
              <w:t xml:space="preserve">Chef SAF, gestionnaire de paie</w:t>
            </w:r>
          </w:p>
        </w:tc>
        <w:tc>
          <w:tcPr/>
          <w:p>
            <w:pPr>
              <w:pStyle w:val="Compact"/>
              <w:jc w:val="left"/>
            </w:pPr>
            <w:r>
              <w:t xml:space="preserve">A, C</w:t>
            </w:r>
          </w:p>
        </w:tc>
        <w:tc>
          <w:tcPr/>
          <w:p>
            <w:pPr>
              <w:pStyle w:val="Compact"/>
              <w:jc w:val="left"/>
            </w:pPr>
            <w:r>
              <w:t xml:space="preserve">R</w:t>
            </w:r>
          </w:p>
        </w:tc>
      </w:tr>
      <w:tr>
        <w:tc>
          <w:tcPr/>
          <w:p>
            <w:pPr>
              <w:pStyle w:val="Compact"/>
              <w:jc w:val="left"/>
            </w:pPr>
            <w:r>
              <w:t xml:space="preserve">Avancement d’échelon à instruire</w:t>
            </w:r>
          </w:p>
        </w:tc>
        <w:tc>
          <w:tcPr/>
          <w:p>
            <w:pPr>
              <w:pStyle w:val="Compact"/>
              <w:jc w:val="left"/>
            </w:pPr>
            <w:r>
              <w:t xml:space="preserve">DRH</w:t>
            </w:r>
          </w:p>
        </w:tc>
        <w:tc>
          <w:tcPr/>
          <w:p>
            <w:pPr>
              <w:pStyle w:val="Compact"/>
              <w:jc w:val="left"/>
            </w:pPr>
            <w:r>
              <w:t xml:space="preserve">A, C</w:t>
            </w:r>
          </w:p>
        </w:tc>
        <w:tc>
          <w:tcPr/>
          <w:p>
            <w:pPr>
              <w:pStyle w:val="Compact"/>
              <w:jc w:val="left"/>
            </w:pPr>
            <w:r>
              <w:t xml:space="preserve">R</w:t>
            </w:r>
          </w:p>
        </w:tc>
      </w:tr>
      <w:tr>
        <w:tc>
          <w:tcPr/>
          <w:p>
            <w:pPr>
              <w:pStyle w:val="Compact"/>
              <w:jc w:val="left"/>
            </w:pPr>
            <w:r>
              <w:t xml:space="preserve">Nouveau modèle déposé au référentiel</w:t>
            </w:r>
          </w:p>
        </w:tc>
        <w:tc>
          <w:tcPr/>
          <w:p>
            <w:pPr>
              <w:pStyle w:val="Compact"/>
              <w:jc w:val="left"/>
            </w:pPr>
            <w:r>
              <w:t xml:space="preserve">Responsable désigné, administrateur</w:t>
            </w:r>
          </w:p>
        </w:tc>
        <w:tc>
          <w:tcPr/>
          <w:p>
            <w:pPr>
              <w:pStyle w:val="Compact"/>
              <w:jc w:val="left"/>
            </w:pPr>
            <w:r>
              <w:t xml:space="preserve">A, C</w:t>
            </w:r>
          </w:p>
        </w:tc>
        <w:tc>
          <w:tcPr/>
          <w:p>
            <w:pPr>
              <w:pStyle w:val="Compact"/>
              <w:jc w:val="left"/>
            </w:pPr>
            <w:r>
              <w:t xml:space="preserve">I</w:t>
            </w:r>
          </w:p>
        </w:tc>
      </w:tr>
    </w:tbl>
    <w:p>
      <w:pPr>
        <w:pStyle w:val="BodyText"/>
      </w:pPr>
      <w:r>
        <w:rPr>
          <w:bCs/>
          <w:b/>
        </w:rPr>
        <w:t xml:space="preserve">Règles communes.</w:t>
      </w:r>
      <w:r>
        <w:t xml:space="preserve"> </w:t>
      </w:r>
      <w:r>
        <w:t xml:space="preserve">Aucune notification ne révèle le contenu d’un objet protégé : elle en signale l’existence et renvoie vers le système. Les canaux SMS et WhatsApp ne transportent jamais de donnée personnelle ni de valeur chiffrée. Chaque agent peut régler la fréquence de son résumé quotidien, sans pouvoir désactiver les notifications de niveau immédiat qui le concernent.</w:t>
      </w:r>
    </w:p>
    <w:bookmarkEnd w:id="52"/>
    <w:bookmarkStart w:id="65" w:name="exigences-non-fonctionnelles-transverses"/>
    <w:p>
      <w:pPr>
        <w:pStyle w:val="Heading2"/>
      </w:pPr>
      <w:r>
        <w:t xml:space="preserve">10. Exigences non fonctionnelles transverses</w:t>
      </w:r>
    </w:p>
    <w:p>
      <w:pPr>
        <w:pStyle w:val="FirstParagraph"/>
      </w:pPr>
      <w:r>
        <w:t xml:space="preserve">La fusion fait que</w:t>
      </w:r>
      <w:r>
        <w:t xml:space="preserve"> </w:t>
      </w:r>
      <w:r>
        <w:rPr>
          <w:bCs/>
          <w:b/>
        </w:rPr>
        <w:t xml:space="preserve">la contrainte la plus stricte s’applique au produit entier</w:t>
      </w:r>
      <w:r>
        <w:t xml:space="preserve">. Le volet paie impose sa classe de sensibilité au socle ; le volet modélisation impose ses temps de calcul à l’architecture. Aucune exigence ci-dessous n’est dérogeable par domaine.</w:t>
      </w:r>
    </w:p>
    <w:p>
      <w:pPr>
        <w:pStyle w:val="BodyText"/>
      </w:pPr>
      <w:r>
        <w:t xml:space="preserve">Chaque exigence porte une priorité MoSCoW et le lot au plus tard duquel elle doit être satisfaite.</w:t>
      </w:r>
    </w:p>
    <w:bookmarkStart w:id="53" w:name="classification-des-données"/>
    <w:p>
      <w:pPr>
        <w:pStyle w:val="Heading3"/>
      </w:pPr>
      <w:r>
        <w:t xml:space="preserve">10.1 Classification des données</w:t>
      </w:r>
    </w:p>
    <w:p>
      <w:pPr>
        <w:pStyle w:val="FirstParagraph"/>
      </w:pPr>
      <w:r>
        <w:t xml:space="preserve">Quatre niveaux, portés par chaque objet et hérités par les exports :</w:t>
      </w:r>
      <w:r>
        <w:t xml:space="preserve"> </w:t>
      </w:r>
      <w:r>
        <w:rPr>
          <w:bCs/>
          <w:b/>
        </w:rPr>
        <w:t xml:space="preserve">publiées</w:t>
      </w:r>
      <w:r>
        <w:t xml:space="preserve"> </w:t>
      </w:r>
      <w:r>
        <w:t xml:space="preserve">·</w:t>
      </w:r>
      <w:r>
        <w:t xml:space="preserve"> </w:t>
      </w:r>
      <w:r>
        <w:rPr>
          <w:bCs/>
          <w:b/>
        </w:rPr>
        <w:t xml:space="preserve">internes</w:t>
      </w:r>
      <w:r>
        <w:t xml:space="preserve"> </w:t>
      </w:r>
      <w:r>
        <w:t xml:space="preserve">·</w:t>
      </w:r>
      <w:r>
        <w:t xml:space="preserve"> </w:t>
      </w:r>
      <w:r>
        <w:rPr>
          <w:bCs/>
          <w:b/>
        </w:rPr>
        <w:t xml:space="preserve">sensibles avant publication officielle</w:t>
      </w:r>
      <w:r>
        <w:t xml:space="preserve"> </w:t>
      </w:r>
      <w:r>
        <w:t xml:space="preserve">(domaine B) ·</w:t>
      </w:r>
      <w:r>
        <w:t xml:space="preserve"> </w:t>
      </w:r>
      <w:r>
        <w:rPr>
          <w:bCs/>
          <w:b/>
        </w:rPr>
        <w:t xml:space="preserve">personnelles protégées</w:t>
      </w:r>
      <w:r>
        <w:t xml:space="preserve"> </w:t>
      </w:r>
      <w:r>
        <w:t xml:space="preserve">(domaine A, objets de la section 3.2). Le niveau le plus élevé présent dans un objet composite détermine son traitement.</w:t>
      </w:r>
    </w:p>
    <w:bookmarkEnd w:id="53"/>
    <w:bookmarkStart w:id="54" w:name="sécurité"/>
    <w:p>
      <w:pPr>
        <w:pStyle w:val="Heading3"/>
      </w:pPr>
      <w:r>
        <w:t xml:space="preserve">10.2 Sécurité</w:t>
      </w:r>
    </w:p>
    <w:tbl>
      <w:tblPr>
        <w:tblStyle w:val="Table"/>
        <w:tblW w:type="dxa" w:w="9354"/>
        <w:tblLayout w:type="fixed"/>
        <w:tblLook w:firstRow="1" w:lastRow="0" w:firstColumn="0" w:lastColumn="0" w:noHBand="0" w:noVBand="0" w:val="0020"/>
        <w:jc w:val="start"/>
      </w:tblPr>
      <w:tblGrid>
        <w:gridCol w:w="2067"/>
        <w:gridCol w:w="3378"/>
        <w:gridCol w:w="1981"/>
        <w:gridCol w:w="1928"/>
      </w:tblGrid>
      <w:tr>
        <w:trPr>
          <w:tblHeader w:val="true"/>
        </w:trPr>
        <w:tc>
          <w:tcPr/>
          <w:p>
            <w:pPr>
              <w:pStyle w:val="Compact"/>
              <w:jc w:val="left"/>
            </w:pPr>
            <w:r>
              <w:t xml:space="preserve">ID</w:t>
            </w:r>
          </w:p>
        </w:tc>
        <w:tc>
          <w:tcPr/>
          <w:p>
            <w:pPr>
              <w:pStyle w:val="Compact"/>
              <w:jc w:val="left"/>
            </w:pPr>
            <w:r>
              <w:t xml:space="preserve">Exigence</w:t>
            </w:r>
          </w:p>
        </w:tc>
        <w:tc>
          <w:tcPr/>
          <w:p>
            <w:pPr>
              <w:pStyle w:val="Compact"/>
              <w:jc w:val="left"/>
            </w:pPr>
            <w:r>
              <w:t xml:space="preserve">Priorité</w:t>
            </w:r>
          </w:p>
        </w:tc>
        <w:tc>
          <w:tcPr/>
          <w:p>
            <w:pPr>
              <w:pStyle w:val="Compact"/>
              <w:jc w:val="left"/>
            </w:pPr>
            <w:r>
              <w:t xml:space="preserve">Lot</w:t>
            </w:r>
          </w:p>
        </w:tc>
      </w:tr>
      <w:tr>
        <w:tc>
          <w:tcPr/>
          <w:p>
            <w:pPr>
              <w:pStyle w:val="Compact"/>
              <w:jc w:val="left"/>
            </w:pPr>
            <w:r>
              <w:t xml:space="preserve">SOC-SEC-01</w:t>
            </w:r>
          </w:p>
        </w:tc>
        <w:tc>
          <w:tcPr/>
          <w:p>
            <w:pPr>
              <w:pStyle w:val="Compact"/>
              <w:jc w:val="left"/>
            </w:pPr>
            <w:r>
              <w:t xml:space="preserve">Chiffrement de tous les flux par TLS, certificats renouvelés automatiquement</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SOC-SEC-02</w:t>
            </w:r>
          </w:p>
        </w:tc>
        <w:tc>
          <w:tcPr/>
          <w:p>
            <w:pPr>
              <w:pStyle w:val="Compact"/>
              <w:jc w:val="left"/>
            </w:pPr>
            <w:r>
              <w:t xml:space="preserve">Chiffrement au repos de la base, du stockage de fichiers et des sauvegardes</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SOC-SEC-03</w:t>
            </w:r>
          </w:p>
        </w:tc>
        <w:tc>
          <w:tcPr/>
          <w:p>
            <w:pPr>
              <w:pStyle w:val="Compact"/>
              <w:jc w:val="left"/>
            </w:pPr>
            <w:r>
              <w:t xml:space="preserve">Chiffrement spécifique des champs des objets protégés (montants individuels, données médicales)</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SOC-SEC-04</w:t>
            </w:r>
          </w:p>
        </w:tc>
        <w:tc>
          <w:tcPr/>
          <w:p>
            <w:pPr>
              <w:pStyle w:val="Compact"/>
              <w:jc w:val="left"/>
            </w:pPr>
            <w:r>
              <w:t xml:space="preserve">Journal d’audit en écriture seule pour tous les rôles, administrateur compris</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SOC-SEC-05</w:t>
            </w:r>
          </w:p>
        </w:tc>
        <w:tc>
          <w:tcPr/>
          <w:p>
            <w:pPr>
              <w:pStyle w:val="Compact"/>
              <w:jc w:val="left"/>
            </w:pPr>
            <w:r>
              <w:t xml:space="preserve">Conservation des journaux techniques de connexion : 12 mois glissants</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SOC-SEC-06</w:t>
            </w:r>
          </w:p>
        </w:tc>
        <w:tc>
          <w:tcPr/>
          <w:p>
            <w:pPr>
              <w:pStyle w:val="Compact"/>
              <w:jc w:val="left"/>
            </w:pPr>
            <w:r>
              <w:t xml:space="preserve">Test d’intrusion réalisé avant la mise en production</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SOC-SEC-07</w:t>
            </w:r>
          </w:p>
        </w:tc>
        <w:tc>
          <w:tcPr/>
          <w:p>
            <w:pPr>
              <w:pStyle w:val="Compact"/>
              <w:jc w:val="left"/>
            </w:pPr>
            <w:r>
              <w:t xml:space="preserve">Second test d’intrusion réalisé avant l’ouverture du volet rémunération</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SOC-SEC-08</w:t>
            </w:r>
          </w:p>
        </w:tc>
        <w:tc>
          <w:tcPr/>
          <w:p>
            <w:pPr>
              <w:pStyle w:val="Compact"/>
              <w:jc w:val="left"/>
            </w:pPr>
            <w:r>
              <w:t xml:space="preserve">Aucune donnée personnelle réelle dans les environnements de développement et de recette</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SOC-SEC-09</w:t>
            </w:r>
          </w:p>
        </w:tc>
        <w:tc>
          <w:tcPr/>
          <w:p>
            <w:pPr>
              <w:pStyle w:val="Compact"/>
              <w:jc w:val="left"/>
            </w:pPr>
            <w:r>
              <w:t xml:space="preserve">Aucune donnée classée sensible avant publication dans les environnements de développement et de recette</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SOC-SEC-10</w:t>
            </w:r>
          </w:p>
        </w:tc>
        <w:tc>
          <w:tcPr/>
          <w:p>
            <w:pPr>
              <w:pStyle w:val="Compact"/>
              <w:jc w:val="left"/>
            </w:pPr>
            <w:r>
              <w:t xml:space="preserve">Les modèles déposés s’exécutent dans un conteneur isolé, sans accès à la base applicative, au stockage documentaire ni au réseau interne. Le seul flux sortant autorisé est celui de l’adaptateur vers le moteur de calcul désigné</w:t>
            </w:r>
          </w:p>
        </w:tc>
        <w:tc>
          <w:tcPr/>
          <w:p>
            <w:pPr>
              <w:pStyle w:val="Compact"/>
              <w:jc w:val="left"/>
            </w:pPr>
            <w:r>
              <w:t xml:space="preserve">MUST</w:t>
            </w:r>
          </w:p>
        </w:tc>
        <w:tc>
          <w:tcPr/>
          <w:p>
            <w:pPr>
              <w:pStyle w:val="Compact"/>
              <w:jc w:val="left"/>
            </w:pPr>
            <w:r>
              <w:t xml:space="preserve">2</w:t>
            </w:r>
          </w:p>
        </w:tc>
      </w:tr>
      <w:tr>
        <w:tc>
          <w:tcPr/>
          <w:p>
            <w:pPr>
              <w:pStyle w:val="Compact"/>
              <w:jc w:val="left"/>
            </w:pPr>
            <w:r>
              <w:t xml:space="preserve">SOC-SEC-11</w:t>
            </w:r>
          </w:p>
        </w:tc>
        <w:tc>
          <w:tcPr/>
          <w:p>
            <w:pPr>
              <w:pStyle w:val="Compact"/>
              <w:jc w:val="left"/>
            </w:pPr>
            <w:r>
              <w:t xml:space="preserve">Politique de mots de passe, second facteur et sessions conformes à la section 4.4</w:t>
            </w:r>
          </w:p>
        </w:tc>
        <w:tc>
          <w:tcPr/>
          <w:p>
            <w:pPr>
              <w:pStyle w:val="Compact"/>
              <w:jc w:val="left"/>
            </w:pPr>
            <w:r>
              <w:t xml:space="preserve">MUST</w:t>
            </w:r>
          </w:p>
        </w:tc>
        <w:tc>
          <w:tcPr/>
          <w:p>
            <w:pPr>
              <w:pStyle w:val="Compact"/>
              <w:jc w:val="left"/>
            </w:pPr>
            <w:r>
              <w:t xml:space="preserve">0</w:t>
            </w:r>
          </w:p>
        </w:tc>
      </w:tr>
    </w:tbl>
    <w:p>
      <w:pPr>
        <w:pStyle w:val="BodyText"/>
      </w:pPr>
      <w:r>
        <w:t xml:space="preserve">SOC-SEC-10 remplace la formulation antérieure, qui interdisait tout accès réseau et rendait de ce fait l’adaptateur GAMS inapplicable.</w:t>
      </w:r>
    </w:p>
    <w:bookmarkEnd w:id="54"/>
    <w:bookmarkStart w:id="55" w:name="protection-des-données-personnelles"/>
    <w:p>
      <w:pPr>
        <w:pStyle w:val="Heading3"/>
      </w:pPr>
      <w:r>
        <w:t xml:space="preserve">10.3 Protection des données personnelles</w:t>
      </w:r>
    </w:p>
    <w:p>
      <w:pPr>
        <w:pStyle w:val="FirstParagraph"/>
      </w:pPr>
      <w:r>
        <w:t xml:space="preserve">Le traitement relève de la</w:t>
      </w:r>
      <w:r>
        <w:t xml:space="preserve"> </w:t>
      </w:r>
      <w:r>
        <w:rPr>
          <w:bCs/>
          <w:b/>
        </w:rPr>
        <w:t xml:space="preserve">loi L/2016/037/AN relative à la cybersécurité et à la protection des données à caractère personnel en République de Guinée</w:t>
      </w:r>
      <w:r>
        <w:t xml:space="preserve"> </w:t>
      </w:r>
      <w:r>
        <w:t xml:space="preserve">(juillet 2016). Les formalités préalables éventuelles auprès de l’autorité compétente, ainsi que la référence exacte des textes d’application, sont à confirmer par la Direction (décision D-28).</w:t>
      </w:r>
    </w:p>
    <w:tbl>
      <w:tblPr>
        <w:tblStyle w:val="Table"/>
        <w:tblW w:type="dxa" w:w="9354"/>
        <w:tblLayout w:type="fixed"/>
        <w:tblLook w:firstRow="1" w:lastRow="0" w:firstColumn="0" w:lastColumn="0" w:noHBand="0" w:noVBand="0" w:val="0020"/>
        <w:jc w:val="start"/>
      </w:tblPr>
      <w:tblGrid>
        <w:gridCol w:w="2019"/>
        <w:gridCol w:w="3507"/>
        <w:gridCol w:w="1940"/>
        <w:gridCol w:w="1888"/>
      </w:tblGrid>
      <w:tr>
        <w:trPr>
          <w:tblHeader w:val="true"/>
        </w:trPr>
        <w:tc>
          <w:tcPr/>
          <w:p>
            <w:pPr>
              <w:pStyle w:val="Compact"/>
              <w:jc w:val="left"/>
            </w:pPr>
            <w:r>
              <w:t xml:space="preserve">ID</w:t>
            </w:r>
          </w:p>
        </w:tc>
        <w:tc>
          <w:tcPr/>
          <w:p>
            <w:pPr>
              <w:pStyle w:val="Compact"/>
              <w:jc w:val="left"/>
            </w:pPr>
            <w:r>
              <w:t xml:space="preserve">Exigence</w:t>
            </w:r>
          </w:p>
        </w:tc>
        <w:tc>
          <w:tcPr/>
          <w:p>
            <w:pPr>
              <w:pStyle w:val="Compact"/>
              <w:jc w:val="left"/>
            </w:pPr>
            <w:r>
              <w:t xml:space="preserve">Priorité</w:t>
            </w:r>
          </w:p>
        </w:tc>
        <w:tc>
          <w:tcPr/>
          <w:p>
            <w:pPr>
              <w:pStyle w:val="Compact"/>
              <w:jc w:val="left"/>
            </w:pPr>
            <w:r>
              <w:t xml:space="preserve">Lot</w:t>
            </w:r>
          </w:p>
        </w:tc>
      </w:tr>
      <w:tr>
        <w:tc>
          <w:tcPr/>
          <w:p>
            <w:pPr>
              <w:pStyle w:val="Compact"/>
              <w:jc w:val="left"/>
            </w:pPr>
            <w:r>
              <w:t xml:space="preserve">SOC-DCP-01</w:t>
            </w:r>
          </w:p>
        </w:tc>
        <w:tc>
          <w:tcPr/>
          <w:p>
            <w:pPr>
              <w:pStyle w:val="Compact"/>
              <w:jc w:val="left"/>
            </w:pPr>
            <w:r>
              <w:t xml:space="preserve">Responsable de traitement désigné, agents informés par écrit avant la mise en service</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SOC-DCP-02</w:t>
            </w:r>
          </w:p>
        </w:tc>
        <w:tc>
          <w:tcPr/>
          <w:p>
            <w:pPr>
              <w:pStyle w:val="Compact"/>
              <w:jc w:val="left"/>
            </w:pPr>
            <w:r>
              <w:t xml:space="preserve">Charte d’utilisation approuvée par le DN et portée à la connaissance de chaque agent</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SOC-DCP-03</w:t>
            </w:r>
          </w:p>
        </w:tc>
        <w:tc>
          <w:tcPr/>
          <w:p>
            <w:pPr>
              <w:pStyle w:val="Compact"/>
              <w:jc w:val="left"/>
            </w:pPr>
            <w:r>
              <w:t xml:space="preserve">Application du référentiel de durées de conservation de l’annexe 4 ; aucune conservation indéfinie</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SOC-DCP-04</w:t>
            </w:r>
          </w:p>
        </w:tc>
        <w:tc>
          <w:tcPr/>
          <w:p>
            <w:pPr>
              <w:pStyle w:val="Compact"/>
              <w:jc w:val="left"/>
            </w:pPr>
            <w:r>
              <w:t xml:space="preserve">Droit d’accès de l’agent à ses propres données et à son historique</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SOC-DCP-05</w:t>
            </w:r>
          </w:p>
        </w:tc>
        <w:tc>
          <w:tcPr/>
          <w:p>
            <w:pPr>
              <w:pStyle w:val="Compact"/>
              <w:jc w:val="left"/>
            </w:pPr>
            <w:r>
              <w:t xml:space="preserve">Encadrement des transferts hors du territoire national, sauvegardes et services tiers compris ; tout transfert est listé, justifié et soumis au comité de pilotage</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SOC-DCP-06</w:t>
            </w:r>
          </w:p>
        </w:tc>
        <w:tc>
          <w:tcPr/>
          <w:p>
            <w:pPr>
              <w:pStyle w:val="Compact"/>
              <w:jc w:val="left"/>
            </w:pPr>
            <w:r>
              <w:t xml:space="preserve">Minimisation : accusés de lecture et journaux de consultation non exploitables à des fins de gestion individuelle sans cadre écrit</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SOC-DCP-07</w:t>
            </w:r>
          </w:p>
        </w:tc>
        <w:tc>
          <w:tcPr/>
          <w:p>
            <w:pPr>
              <w:pStyle w:val="Compact"/>
              <w:jc w:val="left"/>
            </w:pPr>
            <w:r>
              <w:t xml:space="preserve">Consentement écrit et révocable pour le numéro personnel et le canal WhatsApp, avec canal de repli équivalent</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SOC-DCP-08</w:t>
            </w:r>
          </w:p>
        </w:tc>
        <w:tc>
          <w:tcPr/>
          <w:p>
            <w:pPr>
              <w:pStyle w:val="Compact"/>
              <w:jc w:val="left"/>
            </w:pPr>
            <w:r>
              <w:t xml:space="preserve">Formalités préalables accomplies auprès de l’autorité compétente, le cas échéant, avant toute mise en service avec données réelles</w:t>
            </w:r>
          </w:p>
        </w:tc>
        <w:tc>
          <w:tcPr/>
          <w:p>
            <w:pPr>
              <w:pStyle w:val="Compact"/>
              <w:jc w:val="left"/>
            </w:pPr>
            <w:r>
              <w:t xml:space="preserve">MUST</w:t>
            </w:r>
          </w:p>
        </w:tc>
        <w:tc>
          <w:tcPr/>
          <w:p>
            <w:pPr>
              <w:pStyle w:val="Compact"/>
              <w:jc w:val="left"/>
            </w:pPr>
            <w:r>
              <w:t xml:space="preserve">0</w:t>
            </w:r>
          </w:p>
        </w:tc>
      </w:tr>
    </w:tbl>
    <w:p>
      <w:pPr>
        <w:pStyle w:val="BodyText"/>
      </w:pPr>
      <w:r>
        <w:t xml:space="preserve">La combinaison des accusés de lecture horodatés, de la visibilité hiérarchique et du journal d’audit peut être perçue comme un dispositif de surveillance. La charte et l’information préalable ne sont pas des formalités : elles conditionnent l’adoption du produit autant que sa régularité.</w:t>
      </w:r>
    </w:p>
    <w:bookmarkEnd w:id="55"/>
    <w:bookmarkStart w:id="56" w:name="recours-à-lintelligence-artificielle"/>
    <w:p>
      <w:pPr>
        <w:pStyle w:val="Heading3"/>
      </w:pPr>
      <w:r>
        <w:t xml:space="preserve">10.4 Recours à l’intelligence artificielle</w:t>
      </w:r>
    </w:p>
    <w:p>
      <w:pPr>
        <w:pStyle w:val="FirstParagraph"/>
      </w:pPr>
      <w:r>
        <w:t xml:space="preserve">Les fonctions assistées relèvent du domaine B, mais leur encadrement est du socle, parce qu’elles s’exécutent sur la même infrastructure que les données de paie.</w:t>
      </w:r>
    </w:p>
    <w:tbl>
      <w:tblPr>
        <w:tblStyle w:val="Table"/>
        <w:tblW w:type="dxa" w:w="9354"/>
        <w:tblLayout w:type="fixed"/>
        <w:tblLook w:firstRow="1" w:lastRow="0" w:firstColumn="0" w:lastColumn="0" w:noHBand="0" w:noVBand="0" w:val="0020"/>
        <w:jc w:val="start"/>
      </w:tblPr>
      <w:tblGrid>
        <w:gridCol w:w="1943"/>
        <w:gridCol w:w="3683"/>
        <w:gridCol w:w="1891"/>
        <w:gridCol w:w="1837"/>
      </w:tblGrid>
      <w:tr>
        <w:trPr>
          <w:tblHeader w:val="true"/>
        </w:trPr>
        <w:tc>
          <w:tcPr/>
          <w:p>
            <w:pPr>
              <w:pStyle w:val="Compact"/>
              <w:jc w:val="left"/>
            </w:pPr>
            <w:r>
              <w:t xml:space="preserve">ID</w:t>
            </w:r>
          </w:p>
        </w:tc>
        <w:tc>
          <w:tcPr/>
          <w:p>
            <w:pPr>
              <w:pStyle w:val="Compact"/>
              <w:jc w:val="left"/>
            </w:pPr>
            <w:r>
              <w:t xml:space="preserve">Exigence</w:t>
            </w:r>
          </w:p>
        </w:tc>
        <w:tc>
          <w:tcPr/>
          <w:p>
            <w:pPr>
              <w:pStyle w:val="Compact"/>
              <w:jc w:val="left"/>
            </w:pPr>
            <w:r>
              <w:t xml:space="preserve">Priorité</w:t>
            </w:r>
          </w:p>
        </w:tc>
        <w:tc>
          <w:tcPr/>
          <w:p>
            <w:pPr>
              <w:pStyle w:val="Compact"/>
              <w:jc w:val="left"/>
            </w:pPr>
            <w:r>
              <w:t xml:space="preserve">Lot</w:t>
            </w:r>
          </w:p>
        </w:tc>
      </w:tr>
      <w:tr>
        <w:tc>
          <w:tcPr/>
          <w:p>
            <w:pPr>
              <w:pStyle w:val="Compact"/>
              <w:jc w:val="left"/>
            </w:pPr>
            <w:r>
              <w:t xml:space="preserve">SOC-IA-01</w:t>
            </w:r>
          </w:p>
        </w:tc>
        <w:tc>
          <w:tcPr/>
          <w:p>
            <w:pPr>
              <w:pStyle w:val="Compact"/>
              <w:jc w:val="left"/>
            </w:pPr>
            <w:r>
              <w:t xml:space="preserve">Contrat professionnel comportant la non-réutilisation des données à des fins d’entraînement, le chiffrement et une rétention limitée et documentée</w:t>
            </w:r>
          </w:p>
        </w:tc>
        <w:tc>
          <w:tcPr/>
          <w:p>
            <w:pPr>
              <w:pStyle w:val="Compact"/>
              <w:jc w:val="left"/>
            </w:pPr>
            <w:r>
              <w:t xml:space="preserve">MUST</w:t>
            </w:r>
          </w:p>
        </w:tc>
        <w:tc>
          <w:tcPr/>
          <w:p>
            <w:pPr>
              <w:pStyle w:val="Compact"/>
              <w:jc w:val="left"/>
            </w:pPr>
            <w:r>
              <w:t xml:space="preserve">4</w:t>
            </w:r>
          </w:p>
        </w:tc>
      </w:tr>
      <w:tr>
        <w:tc>
          <w:tcPr/>
          <w:p>
            <w:pPr>
              <w:pStyle w:val="Compact"/>
              <w:jc w:val="left"/>
            </w:pPr>
            <w:r>
              <w:t xml:space="preserve">SOC-IA-02</w:t>
            </w:r>
          </w:p>
        </w:tc>
        <w:tc>
          <w:tcPr/>
          <w:p>
            <w:pPr>
              <w:pStyle w:val="Compact"/>
              <w:jc w:val="left"/>
            </w:pPr>
            <w:r>
              <w:t xml:space="preserve">Journalisation, pour chaque appel, de la nature des données transmises et de la finalité</w:t>
            </w:r>
          </w:p>
        </w:tc>
        <w:tc>
          <w:tcPr/>
          <w:p>
            <w:pPr>
              <w:pStyle w:val="Compact"/>
              <w:jc w:val="left"/>
            </w:pPr>
            <w:r>
              <w:t xml:space="preserve">MUST</w:t>
            </w:r>
          </w:p>
        </w:tc>
        <w:tc>
          <w:tcPr/>
          <w:p>
            <w:pPr>
              <w:pStyle w:val="Compact"/>
              <w:jc w:val="left"/>
            </w:pPr>
            <w:r>
              <w:t xml:space="preserve">4</w:t>
            </w:r>
          </w:p>
        </w:tc>
      </w:tr>
      <w:tr>
        <w:tc>
          <w:tcPr/>
          <w:p>
            <w:pPr>
              <w:pStyle w:val="Compact"/>
              <w:jc w:val="left"/>
            </w:pPr>
            <w:r>
              <w:t xml:space="preserve">SOC-IA-03</w:t>
            </w:r>
          </w:p>
        </w:tc>
        <w:tc>
          <w:tcPr/>
          <w:p>
            <w:pPr>
              <w:pStyle w:val="Compact"/>
              <w:jc w:val="left"/>
            </w:pPr>
            <w:r>
              <w:t xml:space="preserve">Mode restreint activable, limitant l’assistant à la formulation de la demande et à la proposition de choc, sans transmission de résultats chiffrés</w:t>
            </w:r>
          </w:p>
        </w:tc>
        <w:tc>
          <w:tcPr/>
          <w:p>
            <w:pPr>
              <w:pStyle w:val="Compact"/>
              <w:jc w:val="left"/>
            </w:pPr>
            <w:r>
              <w:t xml:space="preserve">MUST</w:t>
            </w:r>
          </w:p>
        </w:tc>
        <w:tc>
          <w:tcPr/>
          <w:p>
            <w:pPr>
              <w:pStyle w:val="Compact"/>
              <w:jc w:val="left"/>
            </w:pPr>
            <w:r>
              <w:t xml:space="preserve">4</w:t>
            </w:r>
          </w:p>
        </w:tc>
      </w:tr>
      <w:tr>
        <w:tc>
          <w:tcPr/>
          <w:p>
            <w:pPr>
              <w:pStyle w:val="Compact"/>
              <w:jc w:val="left"/>
            </w:pPr>
            <w:r>
              <w:t xml:space="preserve">SOC-IA-04</w:t>
            </w:r>
          </w:p>
        </w:tc>
        <w:tc>
          <w:tcPr/>
          <w:p>
            <w:pPr>
              <w:pStyle w:val="Compact"/>
              <w:jc w:val="left"/>
            </w:pPr>
            <w:r>
              <w:t xml:space="preserve">Fournisseur interchangeable, isolé derrière une interface interne, pour permettre une bascule souveraine sans réécriture</w:t>
            </w:r>
          </w:p>
        </w:tc>
        <w:tc>
          <w:tcPr/>
          <w:p>
            <w:pPr>
              <w:pStyle w:val="Compact"/>
              <w:jc w:val="left"/>
            </w:pPr>
            <w:r>
              <w:t xml:space="preserve">MUST</w:t>
            </w:r>
          </w:p>
        </w:tc>
        <w:tc>
          <w:tcPr/>
          <w:p>
            <w:pPr>
              <w:pStyle w:val="Compact"/>
              <w:jc w:val="left"/>
            </w:pPr>
            <w:r>
              <w:t xml:space="preserve">4</w:t>
            </w:r>
          </w:p>
        </w:tc>
      </w:tr>
      <w:tr>
        <w:tc>
          <w:tcPr/>
          <w:p>
            <w:pPr>
              <w:pStyle w:val="Compact"/>
              <w:jc w:val="left"/>
            </w:pPr>
            <w:r>
              <w:t xml:space="preserve">SOC-IA-05</w:t>
            </w:r>
          </w:p>
        </w:tc>
        <w:tc>
          <w:tcPr/>
          <w:p>
            <w:pPr>
              <w:pStyle w:val="Compact"/>
              <w:jc w:val="left"/>
            </w:pPr>
            <w:r>
              <w:t xml:space="preserve">Aucune donnée classée sensible ou personnelle protégée ne transite vers un service externe.</w:t>
            </w:r>
            <w:r>
              <w:t xml:space="preserve"> </w:t>
            </w:r>
            <w:r>
              <w:rPr>
                <w:bCs/>
                <w:b/>
              </w:rPr>
              <w:t xml:space="preserve">Les données du domaine A ne sont en aucun cas exposées aux fonctions assistées</w:t>
            </w:r>
          </w:p>
        </w:tc>
        <w:tc>
          <w:tcPr/>
          <w:p>
            <w:pPr>
              <w:pStyle w:val="Compact"/>
              <w:jc w:val="left"/>
            </w:pPr>
            <w:r>
              <w:t xml:space="preserve">MUST</w:t>
            </w:r>
          </w:p>
        </w:tc>
        <w:tc>
          <w:tcPr/>
          <w:p>
            <w:pPr>
              <w:pStyle w:val="Compact"/>
              <w:jc w:val="left"/>
            </w:pPr>
            <w:r>
              <w:t xml:space="preserve">4</w:t>
            </w:r>
          </w:p>
        </w:tc>
      </w:tr>
    </w:tbl>
    <w:p>
      <w:pPr>
        <w:pStyle w:val="BodyText"/>
      </w:pPr>
      <w:r>
        <w:t xml:space="preserve">SOC-IA-05 est une conséquence directe de la fusion et fait l’objet d’un test dédié en recette (section 19.1).</w:t>
      </w:r>
    </w:p>
    <w:bookmarkEnd w:id="56"/>
    <w:bookmarkStart w:id="57" w:name="dimensionnement-performance-et-capacité"/>
    <w:p>
      <w:pPr>
        <w:pStyle w:val="Heading3"/>
      </w:pPr>
      <w:r>
        <w:t xml:space="preserve">10.5 Dimensionnement, performance et capacité</w:t>
      </w:r>
    </w:p>
    <w:p>
      <w:pPr>
        <w:pStyle w:val="FirstParagraph"/>
      </w:pPr>
      <w:r>
        <w:t xml:space="preserve">Les valeurs de dimensionnement sont des hypothèses à confirmer par les RH et par le chef de la Division des Prévisions Économiques (section 14.3). Elles servent de base aux essais de performance et ne sont pas des engagements de volumétrie.</w:t>
      </w:r>
    </w:p>
    <w:tbl>
      <w:tblPr>
        <w:tblStyle w:val="Table"/>
        <w:tblW w:type="dxa" w:w="9354"/>
        <w:tblLayout w:type="fixed"/>
        <w:tblLook w:firstRow="1" w:lastRow="0" w:firstColumn="0" w:lastColumn="0" w:noHBand="0" w:noVBand="0" w:val="0020"/>
        <w:jc w:val="start"/>
      </w:tblPr>
      <w:tblGrid>
        <w:gridCol w:w="2153"/>
        <w:gridCol w:w="3129"/>
        <w:gridCol w:w="2064"/>
        <w:gridCol w:w="2008"/>
      </w:tblGrid>
      <w:tr>
        <w:trPr>
          <w:tblHeader w:val="true"/>
        </w:trPr>
        <w:tc>
          <w:tcPr/>
          <w:p>
            <w:pPr>
              <w:pStyle w:val="Compact"/>
              <w:jc w:val="left"/>
            </w:pPr>
            <w:r>
              <w:t xml:space="preserve">ID</w:t>
            </w:r>
          </w:p>
        </w:tc>
        <w:tc>
          <w:tcPr/>
          <w:p>
            <w:pPr>
              <w:pStyle w:val="Compact"/>
              <w:jc w:val="left"/>
            </w:pPr>
            <w:r>
              <w:t xml:space="preserve">Hypothèse de dimensionnement</w:t>
            </w:r>
          </w:p>
        </w:tc>
        <w:tc>
          <w:tcPr/>
          <w:p>
            <w:pPr>
              <w:pStyle w:val="Compact"/>
              <w:jc w:val="left"/>
            </w:pPr>
            <w:r>
              <w:t xml:space="preserve">Priorité</w:t>
            </w:r>
          </w:p>
        </w:tc>
        <w:tc>
          <w:tcPr/>
          <w:p>
            <w:pPr>
              <w:pStyle w:val="Compact"/>
              <w:jc w:val="left"/>
            </w:pPr>
            <w:r>
              <w:t xml:space="preserve">Lot</w:t>
            </w:r>
          </w:p>
        </w:tc>
      </w:tr>
      <w:tr>
        <w:tc>
          <w:tcPr/>
          <w:p>
            <w:pPr>
              <w:pStyle w:val="Compact"/>
              <w:jc w:val="left"/>
            </w:pPr>
            <w:r>
              <w:t xml:space="preserve">SOC-DIM-01</w:t>
            </w:r>
          </w:p>
        </w:tc>
        <w:tc>
          <w:tcPr/>
          <w:p>
            <w:pPr>
              <w:pStyle w:val="Compact"/>
              <w:jc w:val="left"/>
            </w:pPr>
            <w:r>
              <w:t xml:space="preserve">250 comptes agents, dont 80 connectés simultanément en pointe</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SOC-DIM-02</w:t>
            </w:r>
          </w:p>
        </w:tc>
        <w:tc>
          <w:tcPr/>
          <w:p>
            <w:pPr>
              <w:pStyle w:val="Compact"/>
              <w:jc w:val="left"/>
            </w:pPr>
            <w:r>
              <w:t xml:space="preserve">30 000 documents archivés à trois ans, croissance de 40 Go par an tous supports confondus</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SOC-DIM-03</w:t>
            </w:r>
          </w:p>
        </w:tc>
        <w:tc>
          <w:tcPr/>
          <w:p>
            <w:pPr>
              <w:pStyle w:val="Compact"/>
              <w:jc w:val="left"/>
            </w:pPr>
            <w:r>
              <w:t xml:space="preserve">2 000 tâches actives simultanément, 25 000 tâches créées par an</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SOC-DIM-04</w:t>
            </w:r>
          </w:p>
        </w:tc>
        <w:tc>
          <w:tcPr/>
          <w:p>
            <w:pPr>
              <w:pStyle w:val="Compact"/>
              <w:jc w:val="left"/>
            </w:pPr>
            <w:r>
              <w:t xml:space="preserve">20 utilisateurs du domaine B simultanés et 5 exécutions de modèle concurrentes</w:t>
            </w:r>
          </w:p>
        </w:tc>
        <w:tc>
          <w:tcPr/>
          <w:p>
            <w:pPr>
              <w:pStyle w:val="Compact"/>
              <w:jc w:val="left"/>
            </w:pPr>
            <w:r>
              <w:t xml:space="preserve">MUST</w:t>
            </w:r>
          </w:p>
        </w:tc>
        <w:tc>
          <w:tcPr/>
          <w:p>
            <w:pPr>
              <w:pStyle w:val="Compact"/>
              <w:jc w:val="left"/>
            </w:pPr>
            <w:r>
              <w:t xml:space="preserve">4</w:t>
            </w:r>
          </w:p>
        </w:tc>
      </w:tr>
      <w:tr>
        <w:tc>
          <w:tcPr/>
          <w:p>
            <w:pPr>
              <w:pStyle w:val="Compact"/>
              <w:jc w:val="left"/>
            </w:pPr>
            <w:r>
              <w:t xml:space="preserve">SOC-DIM-05</w:t>
            </w:r>
          </w:p>
        </w:tc>
        <w:tc>
          <w:tcPr/>
          <w:p>
            <w:pPr>
              <w:pStyle w:val="Compact"/>
              <w:jc w:val="left"/>
            </w:pPr>
            <w:r>
              <w:t xml:space="preserve">Conservation de 5 ans de simulations sans purge</w:t>
            </w:r>
          </w:p>
        </w:tc>
        <w:tc>
          <w:tcPr/>
          <w:p>
            <w:pPr>
              <w:pStyle w:val="Compact"/>
              <w:jc w:val="left"/>
            </w:pPr>
            <w:r>
              <w:t xml:space="preserve">MUST</w:t>
            </w:r>
          </w:p>
        </w:tc>
        <w:tc>
          <w:tcPr/>
          <w:p>
            <w:pPr>
              <w:pStyle w:val="Compact"/>
              <w:jc w:val="left"/>
            </w:pPr>
            <w:r>
              <w:t xml:space="preserve">2</w:t>
            </w:r>
          </w:p>
        </w:tc>
      </w:tr>
      <w:tr>
        <w:tc>
          <w:tcPr/>
          <w:p>
            <w:pPr>
              <w:pStyle w:val="Compact"/>
              <w:jc w:val="left"/>
            </w:pPr>
            <w:r>
              <w:t xml:space="preserve">SOC-DIM-07</w:t>
            </w:r>
          </w:p>
        </w:tc>
        <w:tc>
          <w:tcPr/>
          <w:p>
            <w:pPr>
              <w:pStyle w:val="Compact"/>
              <w:jc w:val="left"/>
            </w:pPr>
            <w:r>
              <w:t xml:space="preserve">12 000 messages internes par an, pièces jointes comprises</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SOC-DIM-08</w:t>
            </w:r>
          </w:p>
        </w:tc>
        <w:tc>
          <w:tcPr/>
          <w:p>
            <w:pPr>
              <w:pStyle w:val="Compact"/>
              <w:jc w:val="left"/>
            </w:pPr>
            <w:r>
              <w:t xml:space="preserve">1 500 ordres de paiement et 300 missions liquidées par an</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SOC-DIM-09</w:t>
            </w:r>
          </w:p>
        </w:tc>
        <w:tc>
          <w:tcPr/>
          <w:p>
            <w:pPr>
              <w:pStyle w:val="Compact"/>
              <w:jc w:val="left"/>
            </w:pPr>
            <w:r>
              <w:t xml:space="preserve">1 200 actes numérotés par an, toutes familles confondues</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SOC-DIM-10</w:t>
            </w:r>
          </w:p>
        </w:tc>
        <w:tc>
          <w:tcPr/>
          <w:p>
            <w:pPr>
              <w:pStyle w:val="Compact"/>
              <w:jc w:val="left"/>
            </w:pPr>
            <w:r>
              <w:t xml:space="preserve">6 000 documents générés par an — bulletins, attestations, actes, états, rapports</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SOC-DIM-06</w:t>
            </w:r>
          </w:p>
        </w:tc>
        <w:tc>
          <w:tcPr/>
          <w:p>
            <w:pPr>
              <w:pStyle w:val="Compact"/>
              <w:jc w:val="left"/>
            </w:pPr>
            <w:r>
              <w:t xml:space="preserve">Montée en charge possible au double de ces valeurs sans refonte de l’architecture</w:t>
            </w:r>
          </w:p>
        </w:tc>
        <w:tc>
          <w:tcPr/>
          <w:p>
            <w:pPr>
              <w:pStyle w:val="Compact"/>
              <w:jc w:val="left"/>
            </w:pPr>
            <w:r>
              <w:t xml:space="preserve">MUST</w:t>
            </w:r>
          </w:p>
        </w:tc>
        <w:tc>
          <w:tcPr/>
          <w:p>
            <w:pPr>
              <w:pStyle w:val="Compact"/>
              <w:jc w:val="left"/>
            </w:pPr>
            <w:r>
              <w:t xml:space="preserve">0</w:t>
            </w:r>
          </w:p>
        </w:tc>
      </w:tr>
    </w:tbl>
    <w:p/>
    <w:tbl>
      <w:tblPr>
        <w:tblStyle w:val="Table"/>
        <w:tblW w:type="dxa" w:w="9354"/>
        <w:tblLayout w:type="fixed"/>
        <w:tblLook w:firstRow="1" w:lastRow="0" w:firstColumn="0" w:lastColumn="0" w:noHBand="0" w:noVBand="0" w:val="0020"/>
        <w:jc w:val="start"/>
      </w:tblPr>
      <w:tblGrid>
        <w:gridCol w:w="2021"/>
        <w:gridCol w:w="3502"/>
        <w:gridCol w:w="1945"/>
        <w:gridCol w:w="1886"/>
      </w:tblGrid>
      <w:tr>
        <w:trPr>
          <w:tblHeader w:val="true"/>
        </w:trPr>
        <w:tc>
          <w:tcPr/>
          <w:p>
            <w:pPr>
              <w:pStyle w:val="Compact"/>
              <w:jc w:val="left"/>
            </w:pPr>
            <w:r>
              <w:t xml:space="preserve">ID</w:t>
            </w:r>
          </w:p>
        </w:tc>
        <w:tc>
          <w:tcPr/>
          <w:p>
            <w:pPr>
              <w:pStyle w:val="Compact"/>
              <w:jc w:val="left"/>
            </w:pPr>
            <w:r>
              <w:t xml:space="preserve">Exigence de performance</w:t>
            </w:r>
          </w:p>
        </w:tc>
        <w:tc>
          <w:tcPr/>
          <w:p>
            <w:pPr>
              <w:pStyle w:val="Compact"/>
              <w:jc w:val="left"/>
            </w:pPr>
            <w:r>
              <w:t xml:space="preserve">Priorité</w:t>
            </w:r>
          </w:p>
        </w:tc>
        <w:tc>
          <w:tcPr/>
          <w:p>
            <w:pPr>
              <w:pStyle w:val="Compact"/>
              <w:jc w:val="left"/>
            </w:pPr>
            <w:r>
              <w:t xml:space="preserve">Lot</w:t>
            </w:r>
          </w:p>
        </w:tc>
      </w:tr>
      <w:tr>
        <w:tc>
          <w:tcPr/>
          <w:p>
            <w:pPr>
              <w:pStyle w:val="Compact"/>
              <w:jc w:val="left"/>
            </w:pPr>
            <w:r>
              <w:t xml:space="preserve">SOC-PRF-01</w:t>
            </w:r>
          </w:p>
        </w:tc>
        <w:tc>
          <w:tcPr/>
          <w:p>
            <w:pPr>
              <w:pStyle w:val="Compact"/>
              <w:jc w:val="left"/>
            </w:pPr>
            <w:r>
              <w:t xml:space="preserve">Affichage d’une page de liste ou d’un tableau de bord : 95e centile inférieur à 1,5 seconde, hors latence réseau externe</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SOC-PRF-02</w:t>
            </w:r>
          </w:p>
        </w:tc>
        <w:tc>
          <w:tcPr/>
          <w:p>
            <w:pPr>
              <w:pStyle w:val="Compact"/>
              <w:jc w:val="left"/>
            </w:pPr>
            <w:r>
              <w:t xml:space="preserve">Toute action ne déclenchant pas de calcul : réponse en moins de 2 secondes</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SOC-PRF-03</w:t>
            </w:r>
          </w:p>
        </w:tc>
        <w:tc>
          <w:tcPr/>
          <w:p>
            <w:pPr>
              <w:pStyle w:val="Compact"/>
              <w:jc w:val="left"/>
            </w:pPr>
            <w:r>
              <w:t xml:space="preserve">Recherche en texte intégral : 95e centile inférieur à 2 secondes sur le volume de SOC-DIM-02</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SOC-PRF-04</w:t>
            </w:r>
          </w:p>
        </w:tc>
        <w:tc>
          <w:tcPr/>
          <w:p>
            <w:pPr>
              <w:pStyle w:val="Compact"/>
              <w:jc w:val="left"/>
            </w:pPr>
            <w:r>
              <w:t xml:space="preserve">Traitement de reconnaissance de caractères d’un document : asynchrone, restitué en moins de 5 minutes</w:t>
            </w:r>
          </w:p>
        </w:tc>
        <w:tc>
          <w:tcPr/>
          <w:p>
            <w:pPr>
              <w:pStyle w:val="Compact"/>
              <w:jc w:val="left"/>
            </w:pPr>
            <w:r>
              <w:t xml:space="preserve">SHOULD</w:t>
            </w:r>
          </w:p>
        </w:tc>
        <w:tc>
          <w:tcPr/>
          <w:p>
            <w:pPr>
              <w:pStyle w:val="Compact"/>
              <w:jc w:val="left"/>
            </w:pPr>
            <w:r>
              <w:t xml:space="preserve">3</w:t>
            </w:r>
          </w:p>
        </w:tc>
      </w:tr>
      <w:tr>
        <w:tc>
          <w:tcPr/>
          <w:p>
            <w:pPr>
              <w:pStyle w:val="Compact"/>
              <w:jc w:val="left"/>
            </w:pPr>
            <w:r>
              <w:t xml:space="preserve">SOC-PRF-05</w:t>
            </w:r>
          </w:p>
        </w:tc>
        <w:tc>
          <w:tcPr/>
          <w:p>
            <w:pPr>
              <w:pStyle w:val="Compact"/>
              <w:jc w:val="left"/>
            </w:pPr>
            <w:r>
              <w:t xml:space="preserve">Génération d’une campagne de paie de 100 bulletins : moins de 2 minutes</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SOC-PRF-06</w:t>
            </w:r>
          </w:p>
        </w:tc>
        <w:tc>
          <w:tcPr/>
          <w:p>
            <w:pPr>
              <w:pStyle w:val="Compact"/>
              <w:jc w:val="left"/>
            </w:pPr>
            <w:r>
              <w:t xml:space="preserve">Mise en file d’une simulation confirmée à l’utilisateur en moins de 5 secondes, indépendamment de la durée du calcul</w:t>
            </w:r>
          </w:p>
        </w:tc>
        <w:tc>
          <w:tcPr/>
          <w:p>
            <w:pPr>
              <w:pStyle w:val="Compact"/>
              <w:jc w:val="left"/>
            </w:pPr>
            <w:r>
              <w:t xml:space="preserve">MUST</w:t>
            </w:r>
          </w:p>
        </w:tc>
        <w:tc>
          <w:tcPr/>
          <w:p>
            <w:pPr>
              <w:pStyle w:val="Compact"/>
              <w:jc w:val="left"/>
            </w:pPr>
            <w:r>
              <w:t xml:space="preserve">2</w:t>
            </w:r>
          </w:p>
        </w:tc>
      </w:tr>
      <w:tr>
        <w:tc>
          <w:tcPr/>
          <w:p>
            <w:pPr>
              <w:pStyle w:val="Compact"/>
              <w:jc w:val="left"/>
            </w:pPr>
            <w:r>
              <w:t xml:space="preserve">SOC-PRF-07</w:t>
            </w:r>
          </w:p>
        </w:tc>
        <w:tc>
          <w:tcPr/>
          <w:p>
            <w:pPr>
              <w:pStyle w:val="Compact"/>
              <w:jc w:val="left"/>
            </w:pPr>
            <w:r>
              <w:t xml:space="preserve">Aucune action du domaine A dégradée au-delà des seuils ci-dessus lorsque la file de calcul est saturée</w:t>
            </w:r>
          </w:p>
        </w:tc>
        <w:tc>
          <w:tcPr/>
          <w:p>
            <w:pPr>
              <w:pStyle w:val="Compact"/>
              <w:jc w:val="left"/>
            </w:pPr>
            <w:r>
              <w:t xml:space="preserve">MUST</w:t>
            </w:r>
          </w:p>
        </w:tc>
        <w:tc>
          <w:tcPr/>
          <w:p>
            <w:pPr>
              <w:pStyle w:val="Compact"/>
              <w:jc w:val="left"/>
            </w:pPr>
            <w:r>
              <w:t xml:space="preserve">2</w:t>
            </w:r>
          </w:p>
        </w:tc>
      </w:tr>
      <w:tr>
        <w:tc>
          <w:tcPr/>
          <w:p>
            <w:pPr>
              <w:pStyle w:val="Compact"/>
              <w:jc w:val="left"/>
            </w:pPr>
            <w:r>
              <w:t xml:space="preserve">SOC-PRF-08</w:t>
            </w:r>
          </w:p>
        </w:tc>
        <w:tc>
          <w:tcPr/>
          <w:p>
            <w:pPr>
              <w:pStyle w:val="Compact"/>
              <w:jc w:val="left"/>
            </w:pPr>
            <w:r>
              <w:t xml:space="preserve">La durée d’exécution de chaque modèle est mesurée, affichée et historisée, afin de dimensionner le moteur</w:t>
            </w:r>
          </w:p>
        </w:tc>
        <w:tc>
          <w:tcPr/>
          <w:p>
            <w:pPr>
              <w:pStyle w:val="Compact"/>
              <w:jc w:val="left"/>
            </w:pPr>
            <w:r>
              <w:t xml:space="preserve">MUST</w:t>
            </w:r>
          </w:p>
        </w:tc>
        <w:tc>
          <w:tcPr/>
          <w:p>
            <w:pPr>
              <w:pStyle w:val="Compact"/>
              <w:jc w:val="left"/>
            </w:pPr>
            <w:r>
              <w:t xml:space="preserve">2</w:t>
            </w:r>
          </w:p>
        </w:tc>
      </w:tr>
      <w:tr>
        <w:tc>
          <w:tcPr/>
          <w:p>
            <w:pPr>
              <w:pStyle w:val="Compact"/>
              <w:jc w:val="left"/>
            </w:pPr>
            <w:r>
              <w:t xml:space="preserve">SOC-PRF-09</w:t>
            </w:r>
          </w:p>
        </w:tc>
        <w:tc>
          <w:tcPr/>
          <w:p>
            <w:pPr>
              <w:pStyle w:val="Compact"/>
              <w:jc w:val="left"/>
            </w:pPr>
            <w:r>
              <w:t xml:space="preserve">La taille d’un jeu de résultats et sa durée de chargement à l’écran sont mesurées et historisées</w:t>
            </w:r>
          </w:p>
        </w:tc>
        <w:tc>
          <w:tcPr/>
          <w:p>
            <w:pPr>
              <w:pStyle w:val="Compact"/>
              <w:jc w:val="left"/>
            </w:pPr>
            <w:r>
              <w:t xml:space="preserve">SHOULD</w:t>
            </w:r>
          </w:p>
        </w:tc>
        <w:tc>
          <w:tcPr/>
          <w:p>
            <w:pPr>
              <w:pStyle w:val="Compact"/>
              <w:jc w:val="left"/>
            </w:pPr>
            <w:r>
              <w:t xml:space="preserve">2</w:t>
            </w:r>
          </w:p>
        </w:tc>
      </w:tr>
      <w:tr>
        <w:tc>
          <w:tcPr/>
          <w:p>
            <w:pPr>
              <w:pStyle w:val="Compact"/>
              <w:jc w:val="left"/>
            </w:pPr>
            <w:r>
              <w:t xml:space="preserve">SOC-PRF-10</w:t>
            </w:r>
          </w:p>
        </w:tc>
        <w:tc>
          <w:tcPr/>
          <w:p>
            <w:pPr>
              <w:pStyle w:val="Compact"/>
              <w:jc w:val="left"/>
            </w:pPr>
            <w:r>
              <w:t xml:space="preserve">Le schéma de stockage des résultats est validé par un essai de charge sur un modèle d’équilibre général réel avant d’être figé</w:t>
            </w:r>
          </w:p>
        </w:tc>
        <w:tc>
          <w:tcPr/>
          <w:p>
            <w:pPr>
              <w:pStyle w:val="Compact"/>
              <w:jc w:val="left"/>
            </w:pPr>
            <w:r>
              <w:t xml:space="preserve">MUST</w:t>
            </w:r>
          </w:p>
        </w:tc>
        <w:tc>
          <w:tcPr/>
          <w:p>
            <w:pPr>
              <w:pStyle w:val="Compact"/>
              <w:jc w:val="left"/>
            </w:pPr>
            <w:r>
              <w:t xml:space="preserve">2</w:t>
            </w:r>
          </w:p>
        </w:tc>
      </w:tr>
      <w:tr>
        <w:tc>
          <w:tcPr/>
          <w:p>
            <w:pPr>
              <w:pStyle w:val="Compact"/>
              <w:jc w:val="left"/>
            </w:pPr>
            <w:r>
              <w:t xml:space="preserve">SOC-PRF-11</w:t>
            </w:r>
          </w:p>
        </w:tc>
        <w:tc>
          <w:tcPr/>
          <w:p>
            <w:pPr>
              <w:pStyle w:val="Compact"/>
              <w:jc w:val="left"/>
            </w:pPr>
            <w:r>
              <w:t xml:space="preserve">Une stratégie de partitionnement ou d’agrégation des résultats anciens est prévue dès la conception, sans perte de la capacité de rejeu</w:t>
            </w:r>
          </w:p>
        </w:tc>
        <w:tc>
          <w:tcPr/>
          <w:p>
            <w:pPr>
              <w:pStyle w:val="Compact"/>
              <w:jc w:val="left"/>
            </w:pPr>
            <w:r>
              <w:t xml:space="preserve">SHOULD</w:t>
            </w:r>
          </w:p>
        </w:tc>
        <w:tc>
          <w:tcPr/>
          <w:p>
            <w:pPr>
              <w:pStyle w:val="Compact"/>
              <w:jc w:val="left"/>
            </w:pPr>
            <w:r>
              <w:t xml:space="preserve">7</w:t>
            </w:r>
          </w:p>
        </w:tc>
      </w:tr>
    </w:tbl>
    <w:bookmarkEnd w:id="57"/>
    <w:bookmarkStart w:id="58" w:name="disponibilité-sauvegarde-et-continuité"/>
    <w:p>
      <w:pPr>
        <w:pStyle w:val="Heading3"/>
      </w:pPr>
      <w:r>
        <w:t xml:space="preserve">10.6 Disponibilité, sauvegarde et continuité</w:t>
      </w:r>
    </w:p>
    <w:tbl>
      <w:tblPr>
        <w:tblStyle w:val="Table"/>
        <w:tblW w:type="dxa" w:w="9354"/>
        <w:tblLayout w:type="fixed"/>
        <w:tblLook w:firstRow="1" w:lastRow="0" w:firstColumn="0" w:lastColumn="0" w:noHBand="0" w:noVBand="0" w:val="0020"/>
        <w:jc w:val="start"/>
      </w:tblPr>
      <w:tblGrid>
        <w:gridCol w:w="1963"/>
        <w:gridCol w:w="3655"/>
        <w:gridCol w:w="1897"/>
        <w:gridCol w:w="1839"/>
      </w:tblGrid>
      <w:tr>
        <w:trPr>
          <w:tblHeader w:val="true"/>
        </w:trPr>
        <w:tc>
          <w:tcPr/>
          <w:p>
            <w:pPr>
              <w:pStyle w:val="Compact"/>
              <w:jc w:val="left"/>
            </w:pPr>
            <w:r>
              <w:t xml:space="preserve">ID</w:t>
            </w:r>
          </w:p>
        </w:tc>
        <w:tc>
          <w:tcPr/>
          <w:p>
            <w:pPr>
              <w:pStyle w:val="Compact"/>
              <w:jc w:val="left"/>
            </w:pPr>
            <w:r>
              <w:t xml:space="preserve">Exigence</w:t>
            </w:r>
          </w:p>
        </w:tc>
        <w:tc>
          <w:tcPr/>
          <w:p>
            <w:pPr>
              <w:pStyle w:val="Compact"/>
              <w:jc w:val="left"/>
            </w:pPr>
            <w:r>
              <w:t xml:space="preserve">Priorité</w:t>
            </w:r>
          </w:p>
        </w:tc>
        <w:tc>
          <w:tcPr/>
          <w:p>
            <w:pPr>
              <w:pStyle w:val="Compact"/>
              <w:jc w:val="left"/>
            </w:pPr>
            <w:r>
              <w:t xml:space="preserve">Lot</w:t>
            </w:r>
          </w:p>
        </w:tc>
      </w:tr>
      <w:tr>
        <w:tc>
          <w:tcPr/>
          <w:p>
            <w:pPr>
              <w:pStyle w:val="Compact"/>
              <w:jc w:val="left"/>
            </w:pPr>
            <w:r>
              <w:t xml:space="preserve">SOC-DSP-01</w:t>
            </w:r>
          </w:p>
        </w:tc>
        <w:tc>
          <w:tcPr/>
          <w:p>
            <w:pPr>
              <w:pStyle w:val="Compact"/>
              <w:jc w:val="left"/>
            </w:pPr>
            <w:r>
              <w:t xml:space="preserve">Sauvegarde quotidienne complète, chiffrée, conservée 30 jours, plus une sauvegarde mensuelle conservée 12 mois</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SOC-DSP-02</w:t>
            </w:r>
          </w:p>
        </w:tc>
        <w:tc>
          <w:tcPr/>
          <w:p>
            <w:pPr>
              <w:pStyle w:val="Compact"/>
              <w:jc w:val="left"/>
            </w:pPr>
            <w:r>
              <w:rPr>
                <w:bCs/>
                <w:b/>
              </w:rPr>
              <w:t xml:space="preserve">Perte de données maximale admissible (RPO) : 24 heures</w:t>
            </w:r>
            <w:r>
              <w:t xml:space="preserve"> </w:t>
            </w:r>
            <w:r>
              <w:t xml:space="preserve">pour le domaine A, 24 heures pour le référentiel du domaine B</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SOC-DSP-03</w:t>
            </w:r>
          </w:p>
        </w:tc>
        <w:tc>
          <w:tcPr/>
          <w:p>
            <w:pPr>
              <w:pStyle w:val="Compact"/>
              <w:jc w:val="left"/>
            </w:pPr>
            <w:r>
              <w:rPr>
                <w:bCs/>
                <w:b/>
              </w:rPr>
              <w:t xml:space="preserve">Durée maximale d’interruption admissible (RTO) : 8 heures ouvrées</w:t>
            </w:r>
            <w:r>
              <w:t xml:space="preserve"> </w:t>
            </w:r>
            <w:r>
              <w:t xml:space="preserve">hors période de campagne de paie, 4 heures pendant une campagne ouverte</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SOC-DSP-04</w:t>
            </w:r>
          </w:p>
        </w:tc>
        <w:tc>
          <w:tcPr/>
          <w:p>
            <w:pPr>
              <w:pStyle w:val="Compact"/>
              <w:jc w:val="left"/>
            </w:pPr>
            <w:r>
              <w:t xml:space="preserve">Procédure de restauration documentée et testée au moins une fois par an, séparément sur chaque domaine, avec procès-verbal</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SOC-DSP-05</w:t>
            </w:r>
          </w:p>
        </w:tc>
        <w:tc>
          <w:tcPr/>
          <w:p>
            <w:pPr>
              <w:pStyle w:val="Compact"/>
              <w:jc w:val="left"/>
            </w:pPr>
            <w:r>
              <w:t xml:space="preserve">Au moins une copie de sauvegarde conservée sur un support ou un site distinct de celui de production</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SOC-DSP-06</w:t>
            </w:r>
          </w:p>
        </w:tc>
        <w:tc>
          <w:tcPr/>
          <w:p>
            <w:pPr>
              <w:pStyle w:val="Compact"/>
              <w:jc w:val="left"/>
            </w:pPr>
            <w:r>
              <w:t xml:space="preserve">Disponibilité visée sur les heures ouvrées : 99 % mensuel, hors interruptions programmées annoncées 48 heures à l’avance</w:t>
            </w:r>
          </w:p>
        </w:tc>
        <w:tc>
          <w:tcPr/>
          <w:p>
            <w:pPr>
              <w:pStyle w:val="Compact"/>
              <w:jc w:val="left"/>
            </w:pPr>
            <w:r>
              <w:t xml:space="preserve">SHOULD</w:t>
            </w:r>
          </w:p>
        </w:tc>
        <w:tc>
          <w:tcPr/>
          <w:p>
            <w:pPr>
              <w:pStyle w:val="Compact"/>
              <w:jc w:val="left"/>
            </w:pPr>
            <w:r>
              <w:t xml:space="preserve">0</w:t>
            </w:r>
          </w:p>
        </w:tc>
      </w:tr>
    </w:tbl>
    <w:bookmarkEnd w:id="58"/>
    <w:bookmarkStart w:id="59" w:name="hébergement"/>
    <w:p>
      <w:pPr>
        <w:pStyle w:val="Heading3"/>
      </w:pPr>
      <w:r>
        <w:t xml:space="preserve">10.7 Hébergement</w:t>
      </w:r>
    </w:p>
    <w:tbl>
      <w:tblPr>
        <w:tblStyle w:val="Table"/>
        <w:tblW w:type="dxa" w:w="9354"/>
        <w:tblLayout w:type="fixed"/>
        <w:tblLook w:firstRow="1" w:lastRow="0" w:firstColumn="0" w:lastColumn="0" w:noHBand="0" w:noVBand="0" w:val="0020"/>
        <w:jc w:val="start"/>
      </w:tblPr>
      <w:tblGrid>
        <w:gridCol w:w="1885"/>
        <w:gridCol w:w="3877"/>
        <w:gridCol w:w="1822"/>
        <w:gridCol w:w="1770"/>
      </w:tblGrid>
      <w:tr>
        <w:trPr>
          <w:tblHeader w:val="true"/>
        </w:trPr>
        <w:tc>
          <w:tcPr/>
          <w:p>
            <w:pPr>
              <w:pStyle w:val="Compact"/>
              <w:jc w:val="left"/>
            </w:pPr>
            <w:r>
              <w:t xml:space="preserve">ID</w:t>
            </w:r>
          </w:p>
        </w:tc>
        <w:tc>
          <w:tcPr/>
          <w:p>
            <w:pPr>
              <w:pStyle w:val="Compact"/>
              <w:jc w:val="left"/>
            </w:pPr>
            <w:r>
              <w:t xml:space="preserve">Exigence</w:t>
            </w:r>
          </w:p>
        </w:tc>
        <w:tc>
          <w:tcPr/>
          <w:p>
            <w:pPr>
              <w:pStyle w:val="Compact"/>
              <w:jc w:val="left"/>
            </w:pPr>
            <w:r>
              <w:t xml:space="preserve">Priorité</w:t>
            </w:r>
          </w:p>
        </w:tc>
        <w:tc>
          <w:tcPr/>
          <w:p>
            <w:pPr>
              <w:pStyle w:val="Compact"/>
              <w:jc w:val="left"/>
            </w:pPr>
            <w:r>
              <w:t xml:space="preserve">Lot</w:t>
            </w:r>
          </w:p>
        </w:tc>
      </w:tr>
      <w:tr>
        <w:tc>
          <w:tcPr/>
          <w:p>
            <w:pPr>
              <w:pStyle w:val="Compact"/>
              <w:jc w:val="left"/>
            </w:pPr>
            <w:r>
              <w:t xml:space="preserve">SOC-HEB-01</w:t>
            </w:r>
          </w:p>
        </w:tc>
        <w:tc>
          <w:tcPr/>
          <w:p>
            <w:pPr>
              <w:pStyle w:val="Compact"/>
              <w:jc w:val="left"/>
            </w:pPr>
            <w:r>
              <w:t xml:space="preserve">Architecture conteneurisée dès le premier jour, pour permettre la migration sans réécriture</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SOC-HEB-02</w:t>
            </w:r>
          </w:p>
        </w:tc>
        <w:tc>
          <w:tcPr/>
          <w:p>
            <w:pPr>
              <w:pStyle w:val="Compact"/>
              <w:jc w:val="left"/>
            </w:pPr>
            <w:r>
              <w:t xml:space="preserve">Développement et recette sur hébergement provisoire léger et migrable, avec données fictives exclusivement</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SOC-HEB-03</w:t>
            </w:r>
          </w:p>
        </w:tc>
        <w:tc>
          <w:tcPr/>
          <w:p>
            <w:pPr>
              <w:pStyle w:val="Compact"/>
              <w:jc w:val="left"/>
            </w:pPr>
            <w:r>
              <w:t xml:space="preserve">Hébergement définitif arbitré entre serveur local à la DNPEC, infrastructure nationale mutualisée et hébergeur externe de proximité ; l’option retenue maintient les données personnelles, de paie et sensibles sous maîtrise nationale</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SOC-HEB-04</w:t>
            </w:r>
          </w:p>
        </w:tc>
        <w:tc>
          <w:tcPr/>
          <w:p>
            <w:pPr>
              <w:pStyle w:val="Compact"/>
              <w:jc w:val="left"/>
            </w:pPr>
            <w:r>
              <w:t xml:space="preserve">Le moteur de calcul peut résider sur un nœud distinct, dimensionné séparément. Le produit s’y authentifie par un compte de service unique, dont les secrets sont gérés selon la section B12.4 ;</w:t>
            </w:r>
            <w:r>
              <w:t xml:space="preserve"> </w:t>
            </w:r>
            <w:r>
              <w:rPr>
                <w:bCs/>
                <w:b/>
              </w:rPr>
              <w:t xml:space="preserve">aucun utilisateur final ne détient de compte auprès du moteur</w:t>
            </w:r>
          </w:p>
        </w:tc>
        <w:tc>
          <w:tcPr/>
          <w:p>
            <w:pPr>
              <w:pStyle w:val="Compact"/>
              <w:jc w:val="left"/>
            </w:pPr>
            <w:r>
              <w:t xml:space="preserve">MUST</w:t>
            </w:r>
          </w:p>
        </w:tc>
        <w:tc>
          <w:tcPr/>
          <w:p>
            <w:pPr>
              <w:pStyle w:val="Compact"/>
              <w:jc w:val="left"/>
            </w:pPr>
            <w:r>
              <w:t xml:space="preserve">2</w:t>
            </w:r>
          </w:p>
        </w:tc>
      </w:tr>
      <w:tr>
        <w:tc>
          <w:tcPr/>
          <w:p>
            <w:pPr>
              <w:pStyle w:val="Compact"/>
              <w:jc w:val="left"/>
            </w:pPr>
            <w:r>
              <w:t xml:space="preserve">SOC-HEB-05</w:t>
            </w:r>
          </w:p>
        </w:tc>
        <w:tc>
          <w:tcPr/>
          <w:p>
            <w:pPr>
              <w:pStyle w:val="Compact"/>
              <w:jc w:val="left"/>
            </w:pPr>
            <w:r>
              <w:t xml:space="preserve">Aucun composant hébergé hors du périmètre souverain ne traite de donnée du domaine A, à quelque titre que ce soit</w:t>
            </w:r>
          </w:p>
        </w:tc>
        <w:tc>
          <w:tcPr/>
          <w:p>
            <w:pPr>
              <w:pStyle w:val="Compact"/>
              <w:jc w:val="left"/>
            </w:pPr>
            <w:r>
              <w:t xml:space="preserve">MUST</w:t>
            </w:r>
          </w:p>
        </w:tc>
        <w:tc>
          <w:tcPr/>
          <w:p>
            <w:pPr>
              <w:pStyle w:val="Compact"/>
              <w:jc w:val="left"/>
            </w:pPr>
            <w:r>
              <w:t xml:space="preserve">0</w:t>
            </w:r>
          </w:p>
        </w:tc>
      </w:tr>
    </w:tbl>
    <w:bookmarkEnd w:id="59"/>
    <w:bookmarkStart w:id="60" w:name="plateformes-et-accessibilité"/>
    <w:p>
      <w:pPr>
        <w:pStyle w:val="Heading3"/>
      </w:pPr>
      <w:r>
        <w:t xml:space="preserve">10.8 Plateformes et accessibilité</w:t>
      </w:r>
    </w:p>
    <w:tbl>
      <w:tblPr>
        <w:tblStyle w:val="Table"/>
        <w:tblW w:type="dxa" w:w="9354"/>
        <w:tblLayout w:type="fixed"/>
        <w:tblLook w:firstRow="1" w:lastRow="0" w:firstColumn="0" w:lastColumn="0" w:noHBand="0" w:noVBand="0" w:val="0020"/>
        <w:jc w:val="start"/>
      </w:tblPr>
      <w:tblGrid>
        <w:gridCol w:w="1966"/>
        <w:gridCol w:w="3662"/>
        <w:gridCol w:w="1889"/>
        <w:gridCol w:w="1837"/>
      </w:tblGrid>
      <w:tr>
        <w:trPr>
          <w:tblHeader w:val="true"/>
        </w:trPr>
        <w:tc>
          <w:tcPr/>
          <w:p>
            <w:pPr>
              <w:pStyle w:val="Compact"/>
              <w:jc w:val="left"/>
            </w:pPr>
            <w:r>
              <w:t xml:space="preserve">ID</w:t>
            </w:r>
          </w:p>
        </w:tc>
        <w:tc>
          <w:tcPr/>
          <w:p>
            <w:pPr>
              <w:pStyle w:val="Compact"/>
              <w:jc w:val="left"/>
            </w:pPr>
            <w:r>
              <w:t xml:space="preserve">Exigence</w:t>
            </w:r>
          </w:p>
        </w:tc>
        <w:tc>
          <w:tcPr/>
          <w:p>
            <w:pPr>
              <w:pStyle w:val="Compact"/>
              <w:jc w:val="left"/>
            </w:pPr>
            <w:r>
              <w:t xml:space="preserve">Priorité</w:t>
            </w:r>
          </w:p>
        </w:tc>
        <w:tc>
          <w:tcPr/>
          <w:p>
            <w:pPr>
              <w:pStyle w:val="Compact"/>
              <w:jc w:val="left"/>
            </w:pPr>
            <w:r>
              <w:t xml:space="preserve">Lot</w:t>
            </w:r>
          </w:p>
        </w:tc>
      </w:tr>
      <w:tr>
        <w:tc>
          <w:tcPr/>
          <w:p>
            <w:pPr>
              <w:pStyle w:val="Compact"/>
              <w:jc w:val="left"/>
            </w:pPr>
            <w:r>
              <w:t xml:space="preserve">SOC-PLT-01</w:t>
            </w:r>
          </w:p>
        </w:tc>
        <w:tc>
          <w:tcPr/>
          <w:p>
            <w:pPr>
              <w:pStyle w:val="Compact"/>
              <w:jc w:val="left"/>
            </w:pPr>
            <w:r>
              <w:t xml:space="preserve">Application web responsive, utilisable sur navigateur de bureau et mobile ; navigateurs supportés : deux dernières versions majeures de Chrome, Firefox et Edge, et Safari 15 et supérieur</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SOC-PLT-02</w:t>
            </w:r>
          </w:p>
        </w:tc>
        <w:tc>
          <w:tcPr/>
          <w:p>
            <w:pPr>
              <w:pStyle w:val="Compact"/>
              <w:jc w:val="left"/>
            </w:pPr>
            <w:r>
              <w:t xml:space="preserve">Applications mobiles Android 8.0 et supérieur, iOS 14 et supérieur</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SOC-PLT-03</w:t>
            </w:r>
          </w:p>
        </w:tc>
        <w:tc>
          <w:tcPr/>
          <w:p>
            <w:pPr>
              <w:pStyle w:val="Compact"/>
              <w:jc w:val="left"/>
            </w:pPr>
            <w:r>
              <w:t xml:space="preserve">Fonctionnement sur appareil disposant de 2 Go de mémoire vive ; paquet d’installation inférieur à 40 Mo</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SOC-PLT-04</w:t>
            </w:r>
          </w:p>
        </w:tc>
        <w:tc>
          <w:tcPr/>
          <w:p>
            <w:pPr>
              <w:pStyle w:val="Compact"/>
              <w:jc w:val="left"/>
            </w:pPr>
            <w:r>
              <w:rPr>
                <w:bCs/>
                <w:b/>
              </w:rPr>
              <w:t xml:space="preserve">Conformité WCAG 2.1 niveau AA sur les écrans principaux</w:t>
            </w:r>
            <w:r>
              <w:t xml:space="preserve">, vérifiée par un audit d’accessibilité avant la réception du lot 1</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SOC-PLT-05</w:t>
            </w:r>
          </w:p>
        </w:tc>
        <w:tc>
          <w:tcPr/>
          <w:p>
            <w:pPr>
              <w:pStyle w:val="Compact"/>
              <w:jc w:val="left"/>
            </w:pPr>
            <w:r>
              <w:t xml:space="preserve">Interface en français ; textes externalisés du code pour permettre l’ajout ultérieur d’une autre langue</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SOC-PLT-06</w:t>
            </w:r>
          </w:p>
        </w:tc>
        <w:tc>
          <w:tcPr/>
          <w:p>
            <w:pPr>
              <w:pStyle w:val="Compact"/>
              <w:jc w:val="left"/>
            </w:pPr>
            <w:r>
              <w:rPr>
                <w:bCs/>
                <w:b/>
              </w:rPr>
              <w:t xml:space="preserve">Aucun débordement horizontal de la page</w:t>
            </w:r>
            <w:r>
              <w:t xml:space="preserve">, à 390, 768 et 1440 pixels de large : un tableau trop large défile dans son propre cadre, jamais en emportant la page</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SOC-PLT-07</w:t>
            </w:r>
          </w:p>
        </w:tc>
        <w:tc>
          <w:tcPr/>
          <w:p>
            <w:pPr>
              <w:pStyle w:val="Compact"/>
              <w:jc w:val="left"/>
            </w:pPr>
            <w:r>
              <w:t xml:space="preserve">Les tableaux des documents générés tiennent dans la largeur du papier sur écran étroit</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SOC-PLT-08</w:t>
            </w:r>
          </w:p>
        </w:tc>
        <w:tc>
          <w:tcPr/>
          <w:p>
            <w:pPr>
              <w:pStyle w:val="Compact"/>
              <w:jc w:val="left"/>
            </w:pPr>
            <w:r>
              <w:t xml:space="preserve">Toute action irréversible ou sensible demande une confirmation explicite, et un motif lorsque celui-ci est exigé</w:t>
            </w:r>
          </w:p>
        </w:tc>
        <w:tc>
          <w:tcPr/>
          <w:p>
            <w:pPr>
              <w:pStyle w:val="Compact"/>
              <w:jc w:val="left"/>
            </w:pPr>
            <w:r>
              <w:t xml:space="preserve">MUST</w:t>
            </w:r>
          </w:p>
        </w:tc>
        <w:tc>
          <w:tcPr/>
          <w:p>
            <w:pPr>
              <w:pStyle w:val="Compact"/>
              <w:jc w:val="left"/>
            </w:pPr>
            <w:r>
              <w:t xml:space="preserve">1</w:t>
            </w:r>
          </w:p>
        </w:tc>
      </w:tr>
    </w:tbl>
    <w:bookmarkEnd w:id="60"/>
    <w:bookmarkStart w:id="61" w:name="mode-hors-ligne"/>
    <w:p>
      <w:pPr>
        <w:pStyle w:val="Heading3"/>
      </w:pPr>
      <w:r>
        <w:t xml:space="preserve">10.9 Mode hors-ligne</w:t>
      </w:r>
    </w:p>
    <w:p>
      <w:pPr>
        <w:pStyle w:val="FirstParagraph"/>
      </w:pPr>
      <w:r>
        <w:t xml:space="preserve">Le mode hors-ligne bidirectionnel est le premier poste de complexité du domaine A. Il est donc explicitement borné.</w:t>
      </w:r>
    </w:p>
    <w:tbl>
      <w:tblPr>
        <w:tblStyle w:val="Table"/>
        <w:tblW w:type="dxa" w:w="9354"/>
        <w:tblLayout w:type="fixed"/>
        <w:tblLook w:firstRow="1" w:lastRow="0" w:firstColumn="0" w:lastColumn="0" w:noHBand="0" w:noVBand="0" w:val="0020"/>
        <w:jc w:val="start"/>
      </w:tblPr>
      <w:tblGrid>
        <w:gridCol w:w="2053"/>
        <w:gridCol w:w="3390"/>
        <w:gridCol w:w="1983"/>
        <w:gridCol w:w="1928"/>
      </w:tblGrid>
      <w:tr>
        <w:trPr>
          <w:tblHeader w:val="true"/>
        </w:trPr>
        <w:tc>
          <w:tcPr/>
          <w:p>
            <w:pPr>
              <w:pStyle w:val="Compact"/>
              <w:jc w:val="left"/>
            </w:pPr>
            <w:r>
              <w:t xml:space="preserve">ID</w:t>
            </w:r>
          </w:p>
        </w:tc>
        <w:tc>
          <w:tcPr/>
          <w:p>
            <w:pPr>
              <w:pStyle w:val="Compact"/>
              <w:jc w:val="left"/>
            </w:pPr>
            <w:r>
              <w:t xml:space="preserve">Exigence</w:t>
            </w:r>
          </w:p>
        </w:tc>
        <w:tc>
          <w:tcPr/>
          <w:p>
            <w:pPr>
              <w:pStyle w:val="Compact"/>
              <w:jc w:val="left"/>
            </w:pPr>
            <w:r>
              <w:t xml:space="preserve">Priorité</w:t>
            </w:r>
          </w:p>
        </w:tc>
        <w:tc>
          <w:tcPr/>
          <w:p>
            <w:pPr>
              <w:pStyle w:val="Compact"/>
              <w:jc w:val="left"/>
            </w:pPr>
            <w:r>
              <w:t xml:space="preserve">Lot</w:t>
            </w:r>
          </w:p>
        </w:tc>
      </w:tr>
      <w:tr>
        <w:tc>
          <w:tcPr/>
          <w:p>
            <w:pPr>
              <w:pStyle w:val="Compact"/>
              <w:jc w:val="left"/>
            </w:pPr>
            <w:r>
              <w:t xml:space="preserve">SOC-OFF-01</w:t>
            </w:r>
          </w:p>
        </w:tc>
        <w:tc>
          <w:tcPr/>
          <w:p>
            <w:pPr>
              <w:pStyle w:val="Compact"/>
              <w:jc w:val="left"/>
            </w:pPr>
            <w:r>
              <w:t xml:space="preserve">Consultation hors ligne des tâches, activités et annonces synchronisées</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SOC-OFF-02</w:t>
            </w:r>
          </w:p>
        </w:tc>
        <w:tc>
          <w:tcPr/>
          <w:p>
            <w:pPr>
              <w:pStyle w:val="Compact"/>
              <w:jc w:val="left"/>
            </w:pPr>
            <w:r>
              <w:t xml:space="preserve">File d’actions hors ligne en ajout seul : création de tâche, commentaire, changement de statut, dépôt de fichier</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SOC-OFF-03</w:t>
            </w:r>
          </w:p>
        </w:tc>
        <w:tc>
          <w:tcPr/>
          <w:p>
            <w:pPr>
              <w:pStyle w:val="Compact"/>
              <w:jc w:val="left"/>
            </w:pPr>
            <w:r>
              <w:t xml:space="preserve">Synchronisation à la reconnexion, le serveur faisant foi ; conflit signalé à l’utilisateur, jamais résolu silencieusement</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SOC-OFF-04</w:t>
            </w:r>
          </w:p>
        </w:tc>
        <w:tc>
          <w:tcPr/>
          <w:p>
            <w:pPr>
              <w:pStyle w:val="Compact"/>
              <w:jc w:val="left"/>
            </w:pPr>
            <w:r>
              <w:t xml:space="preserve">Aucune opération hors ligne sur les objets protégés (paie, dossiers, certificats, instructions)</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SOC-OFF-05</w:t>
            </w:r>
          </w:p>
        </w:tc>
        <w:tc>
          <w:tcPr/>
          <w:p>
            <w:pPr>
              <w:pStyle w:val="Compact"/>
              <w:jc w:val="left"/>
            </w:pPr>
            <w:r>
              <w:t xml:space="preserve">Horodatage serveur faisant référence ; l’horloge de l’appareil n’est jamais utilisée pour arbitrer un conflit</w:t>
            </w:r>
          </w:p>
        </w:tc>
        <w:tc>
          <w:tcPr/>
          <w:p>
            <w:pPr>
              <w:pStyle w:val="Compact"/>
              <w:jc w:val="left"/>
            </w:pPr>
            <w:r>
              <w:t xml:space="preserve">MUST</w:t>
            </w:r>
          </w:p>
        </w:tc>
        <w:tc>
          <w:tcPr/>
          <w:p>
            <w:pPr>
              <w:pStyle w:val="Compact"/>
              <w:jc w:val="left"/>
            </w:pPr>
            <w:r>
              <w:t xml:space="preserve">3</w:t>
            </w:r>
          </w:p>
        </w:tc>
      </w:tr>
    </w:tbl>
    <w:bookmarkEnd w:id="61"/>
    <w:bookmarkStart w:id="62" w:name="interopérabilité-et-réversibilité"/>
    <w:p>
      <w:pPr>
        <w:pStyle w:val="Heading3"/>
      </w:pPr>
      <w:r>
        <w:t xml:space="preserve">10.10 Interopérabilité et réversibilité</w:t>
      </w:r>
    </w:p>
    <w:tbl>
      <w:tblPr>
        <w:tblStyle w:val="Table"/>
        <w:tblW w:type="dxa" w:w="9354"/>
        <w:tblLayout w:type="fixed"/>
        <w:tblLook w:firstRow="1" w:lastRow="0" w:firstColumn="0" w:lastColumn="0" w:noHBand="0" w:noVBand="0" w:val="0020"/>
        <w:jc w:val="start"/>
      </w:tblPr>
      <w:tblGrid>
        <w:gridCol w:w="2117"/>
        <w:gridCol w:w="3213"/>
        <w:gridCol w:w="2040"/>
        <w:gridCol w:w="1984"/>
      </w:tblGrid>
      <w:tr>
        <w:trPr>
          <w:tblHeader w:val="true"/>
        </w:trPr>
        <w:tc>
          <w:tcPr/>
          <w:p>
            <w:pPr>
              <w:pStyle w:val="Compact"/>
              <w:jc w:val="left"/>
            </w:pPr>
            <w:r>
              <w:t xml:space="preserve">ID</w:t>
            </w:r>
          </w:p>
        </w:tc>
        <w:tc>
          <w:tcPr/>
          <w:p>
            <w:pPr>
              <w:pStyle w:val="Compact"/>
              <w:jc w:val="left"/>
            </w:pPr>
            <w:r>
              <w:t xml:space="preserve">Exigence</w:t>
            </w:r>
          </w:p>
        </w:tc>
        <w:tc>
          <w:tcPr/>
          <w:p>
            <w:pPr>
              <w:pStyle w:val="Compact"/>
              <w:jc w:val="left"/>
            </w:pPr>
            <w:r>
              <w:t xml:space="preserve">Priorité</w:t>
            </w:r>
          </w:p>
        </w:tc>
        <w:tc>
          <w:tcPr/>
          <w:p>
            <w:pPr>
              <w:pStyle w:val="Compact"/>
              <w:jc w:val="left"/>
            </w:pPr>
            <w:r>
              <w:t xml:space="preserve">Lot</w:t>
            </w:r>
          </w:p>
        </w:tc>
      </w:tr>
      <w:tr>
        <w:tc>
          <w:tcPr/>
          <w:p>
            <w:pPr>
              <w:pStyle w:val="Compact"/>
              <w:jc w:val="left"/>
            </w:pPr>
            <w:r>
              <w:t xml:space="preserve">SOC-INT-01</w:t>
            </w:r>
          </w:p>
        </w:tc>
        <w:tc>
          <w:tcPr/>
          <w:p>
            <w:pPr>
              <w:pStyle w:val="Compact"/>
              <w:jc w:val="left"/>
            </w:pPr>
            <w:r>
              <w:t xml:space="preserve">Exports normalisés Excel, CSV et PDF sur tous les registres</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SOC-INT-02</w:t>
            </w:r>
          </w:p>
        </w:tc>
        <w:tc>
          <w:tcPr/>
          <w:p>
            <w:pPr>
              <w:pStyle w:val="Compact"/>
              <w:jc w:val="left"/>
            </w:pPr>
            <w:r>
              <w:t xml:space="preserve">Import et export compatibles avec Excel, EViews, Stata et GAMS pour le domaine B</w:t>
            </w:r>
          </w:p>
        </w:tc>
        <w:tc>
          <w:tcPr/>
          <w:p>
            <w:pPr>
              <w:pStyle w:val="Compact"/>
              <w:jc w:val="left"/>
            </w:pPr>
            <w:r>
              <w:t xml:space="preserve">MUST</w:t>
            </w:r>
          </w:p>
        </w:tc>
        <w:tc>
          <w:tcPr/>
          <w:p>
            <w:pPr>
              <w:pStyle w:val="Compact"/>
              <w:jc w:val="left"/>
            </w:pPr>
            <w:r>
              <w:t xml:space="preserve">2</w:t>
            </w:r>
          </w:p>
        </w:tc>
      </w:tr>
      <w:tr>
        <w:tc>
          <w:tcPr/>
          <w:p>
            <w:pPr>
              <w:pStyle w:val="Compact"/>
              <w:jc w:val="left"/>
            </w:pPr>
            <w:r>
              <w:t xml:space="preserve">SOC-INT-03</w:t>
            </w:r>
          </w:p>
        </w:tc>
        <w:tc>
          <w:tcPr/>
          <w:p>
            <w:pPr>
              <w:pStyle w:val="Compact"/>
              <w:jc w:val="left"/>
            </w:pPr>
            <w:r>
              <w:t xml:space="preserve">Authentification unique mutualisable avec les autres applications de la Direction</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SOC-INT-04</w:t>
            </w:r>
          </w:p>
        </w:tc>
        <w:tc>
          <w:tcPr/>
          <w:p>
            <w:pPr>
              <w:pStyle w:val="Compact"/>
              <w:jc w:val="left"/>
            </w:pPr>
            <w:r>
              <w:t xml:space="preserve">Le référentiel des agents et des unités est unique et porté par le présent produit</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SOC-INT-05</w:t>
            </w:r>
          </w:p>
        </w:tc>
        <w:tc>
          <w:tcPr/>
          <w:p>
            <w:pPr>
              <w:pStyle w:val="Compact"/>
              <w:jc w:val="left"/>
            </w:pPr>
            <w:r>
              <w:t xml:space="preserve">Le matricule de la Fonction publique est la clé du dossier agent lorsqu’il existe</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SOC-INT-06</w:t>
            </w:r>
          </w:p>
        </w:tc>
        <w:tc>
          <w:tcPr/>
          <w:p>
            <w:pPr>
              <w:pStyle w:val="Compact"/>
              <w:jc w:val="left"/>
            </w:pPr>
            <w:r>
              <w:t xml:space="preserve">Export complet des données dans un format ouvert et documenté, exécutable à la demande de la Direction</w:t>
            </w:r>
          </w:p>
        </w:tc>
        <w:tc>
          <w:tcPr/>
          <w:p>
            <w:pPr>
              <w:pStyle w:val="Compact"/>
              <w:jc w:val="left"/>
            </w:pPr>
            <w:r>
              <w:t xml:space="preserve">MUST</w:t>
            </w:r>
          </w:p>
        </w:tc>
        <w:tc>
          <w:tcPr/>
          <w:p>
            <w:pPr>
              <w:pStyle w:val="Compact"/>
              <w:jc w:val="left"/>
            </w:pPr>
            <w:r>
              <w:t xml:space="preserve">0</w:t>
            </w:r>
          </w:p>
        </w:tc>
      </w:tr>
    </w:tbl>
    <w:bookmarkEnd w:id="62"/>
    <w:bookmarkStart w:id="63" w:name="environnements"/>
    <w:p>
      <w:pPr>
        <w:pStyle w:val="Heading3"/>
      </w:pPr>
      <w:r>
        <w:t xml:space="preserve">10.11 Environnements</w:t>
      </w:r>
    </w:p>
    <w:tbl>
      <w:tblPr>
        <w:tblStyle w:val="Table"/>
        <w:tblW w:type="dxa" w:w="9354"/>
        <w:tblLayout w:type="fixed"/>
        <w:tblLook w:firstRow="1" w:lastRow="0" w:firstColumn="0" w:lastColumn="0" w:noHBand="0" w:noVBand="0" w:val="0020"/>
        <w:jc w:val="start"/>
      </w:tblPr>
      <w:tblGrid>
        <w:gridCol w:w="1951"/>
        <w:gridCol w:w="3686"/>
        <w:gridCol w:w="1885"/>
        <w:gridCol w:w="1832"/>
      </w:tblGrid>
      <w:tr>
        <w:trPr>
          <w:tblHeader w:val="true"/>
        </w:trPr>
        <w:tc>
          <w:tcPr/>
          <w:p>
            <w:pPr>
              <w:pStyle w:val="Compact"/>
              <w:jc w:val="left"/>
            </w:pPr>
            <w:r>
              <w:t xml:space="preserve">ID</w:t>
            </w:r>
          </w:p>
        </w:tc>
        <w:tc>
          <w:tcPr/>
          <w:p>
            <w:pPr>
              <w:pStyle w:val="Compact"/>
              <w:jc w:val="left"/>
            </w:pPr>
            <w:r>
              <w:t xml:space="preserve">Exigence</w:t>
            </w:r>
          </w:p>
        </w:tc>
        <w:tc>
          <w:tcPr/>
          <w:p>
            <w:pPr>
              <w:pStyle w:val="Compact"/>
              <w:jc w:val="left"/>
            </w:pPr>
            <w:r>
              <w:t xml:space="preserve">Priorité</w:t>
            </w:r>
          </w:p>
        </w:tc>
        <w:tc>
          <w:tcPr/>
          <w:p>
            <w:pPr>
              <w:pStyle w:val="Compact"/>
              <w:jc w:val="left"/>
            </w:pPr>
            <w:r>
              <w:t xml:space="preserve">Lot</w:t>
            </w:r>
          </w:p>
        </w:tc>
      </w:tr>
      <w:tr>
        <w:tc>
          <w:tcPr/>
          <w:p>
            <w:pPr>
              <w:pStyle w:val="Compact"/>
              <w:jc w:val="left"/>
            </w:pPr>
            <w:r>
              <w:t xml:space="preserve">SOC-ENV-01</w:t>
            </w:r>
          </w:p>
        </w:tc>
        <w:tc>
          <w:tcPr/>
          <w:p>
            <w:pPr>
              <w:pStyle w:val="Compact"/>
              <w:jc w:val="left"/>
            </w:pPr>
            <w:r>
              <w:t xml:space="preserve">Trois environnements distincts : développement, recette, production, isolés les uns des autres</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SOC-ENV-02</w:t>
            </w:r>
          </w:p>
        </w:tc>
        <w:tc>
          <w:tcPr/>
          <w:p>
            <w:pPr>
              <w:pStyle w:val="Compact"/>
              <w:jc w:val="left"/>
            </w:pPr>
            <w:r>
              <w:t xml:space="preserve">Promotion d’une version de la recette vers la production sur décision du comité technique, après procès-verbal de recette</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SOC-ENV-03</w:t>
            </w:r>
          </w:p>
        </w:tc>
        <w:tc>
          <w:tcPr/>
          <w:p>
            <w:pPr>
              <w:pStyle w:val="Compact"/>
              <w:jc w:val="left"/>
            </w:pPr>
            <w:r>
              <w:t xml:space="preserve">Jeu de données de test fictif livré avec le produit, couvrant l’organigramme complet, une trentaine d’agents, un cycle de congés, une campagne de paie, un parcours de stage et un modèle témoin avec sa base</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SOC-ENV-04</w:t>
            </w:r>
          </w:p>
        </w:tc>
        <w:tc>
          <w:tcPr/>
          <w:p>
            <w:pPr>
              <w:pStyle w:val="Compact"/>
              <w:jc w:val="left"/>
            </w:pPr>
            <w:r>
              <w:t xml:space="preserve">Aucune copie de la base de production vers un autre environnement sans anonymisation préalable des données personnelles, de rémunération et des résultats non publiés</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SOC-ENV-05</w:t>
            </w:r>
          </w:p>
        </w:tc>
        <w:tc>
          <w:tcPr/>
          <w:p>
            <w:pPr>
              <w:pStyle w:val="Compact"/>
              <w:jc w:val="left"/>
            </w:pPr>
            <w:r>
              <w:t xml:space="preserve">Toute version déployée est identifiée (numéro, date, contenu) et consultable dans le produit</w:t>
            </w:r>
          </w:p>
        </w:tc>
        <w:tc>
          <w:tcPr/>
          <w:p>
            <w:pPr>
              <w:pStyle w:val="Compact"/>
              <w:jc w:val="left"/>
            </w:pPr>
            <w:r>
              <w:t xml:space="preserve">MUST</w:t>
            </w:r>
          </w:p>
        </w:tc>
        <w:tc>
          <w:tcPr/>
          <w:p>
            <w:pPr>
              <w:pStyle w:val="Compact"/>
              <w:jc w:val="left"/>
            </w:pPr>
            <w:r>
              <w:t xml:space="preserve">0</w:t>
            </w:r>
          </w:p>
        </w:tc>
      </w:tr>
    </w:tbl>
    <w:bookmarkEnd w:id="63"/>
    <w:bookmarkStart w:id="64" w:name="maintenabilité"/>
    <w:p>
      <w:pPr>
        <w:pStyle w:val="Heading3"/>
      </w:pPr>
      <w:r>
        <w:t xml:space="preserve">10.12 Maintenabilité</w:t>
      </w:r>
    </w:p>
    <w:tbl>
      <w:tblPr>
        <w:tblStyle w:val="Table"/>
        <w:tblW w:type="dxa" w:w="9354"/>
        <w:tblLayout w:type="fixed"/>
        <w:tblLook w:firstRow="1" w:lastRow="0" w:firstColumn="0" w:lastColumn="0" w:noHBand="0" w:noVBand="0" w:val="0020"/>
        <w:jc w:val="start"/>
      </w:tblPr>
      <w:tblGrid>
        <w:gridCol w:w="2089"/>
        <w:gridCol w:w="3284"/>
        <w:gridCol w:w="2019"/>
        <w:gridCol w:w="1962"/>
      </w:tblGrid>
      <w:tr>
        <w:trPr>
          <w:tblHeader w:val="true"/>
        </w:trPr>
        <w:tc>
          <w:tcPr/>
          <w:p>
            <w:pPr>
              <w:pStyle w:val="Compact"/>
              <w:jc w:val="left"/>
            </w:pPr>
            <w:r>
              <w:t xml:space="preserve">ID</w:t>
            </w:r>
          </w:p>
        </w:tc>
        <w:tc>
          <w:tcPr/>
          <w:p>
            <w:pPr>
              <w:pStyle w:val="Compact"/>
              <w:jc w:val="left"/>
            </w:pPr>
            <w:r>
              <w:t xml:space="preserve">Exigence</w:t>
            </w:r>
          </w:p>
        </w:tc>
        <w:tc>
          <w:tcPr/>
          <w:p>
            <w:pPr>
              <w:pStyle w:val="Compact"/>
              <w:jc w:val="left"/>
            </w:pPr>
            <w:r>
              <w:t xml:space="preserve">Priorité</w:t>
            </w:r>
          </w:p>
        </w:tc>
        <w:tc>
          <w:tcPr/>
          <w:p>
            <w:pPr>
              <w:pStyle w:val="Compact"/>
              <w:jc w:val="left"/>
            </w:pPr>
            <w:r>
              <w:t xml:space="preserve">Lot</w:t>
            </w:r>
          </w:p>
        </w:tc>
      </w:tr>
      <w:tr>
        <w:tc>
          <w:tcPr/>
          <w:p>
            <w:pPr>
              <w:pStyle w:val="Compact"/>
              <w:jc w:val="left"/>
            </w:pPr>
            <w:r>
              <w:t xml:space="preserve">SOC-MNT-01</w:t>
            </w:r>
          </w:p>
        </w:tc>
        <w:tc>
          <w:tcPr/>
          <w:p>
            <w:pPr>
              <w:pStyle w:val="Compact"/>
              <w:jc w:val="left"/>
            </w:pPr>
            <w:r>
              <w:t xml:space="preserve">Règle de langage de la section 11.1 respectée, toute exception étant limitativement énumérée</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SOC-MNT-02</w:t>
            </w:r>
          </w:p>
        </w:tc>
        <w:tc>
          <w:tcPr/>
          <w:p>
            <w:pPr>
              <w:pStyle w:val="Compact"/>
              <w:jc w:val="left"/>
            </w:pPr>
            <w:r>
              <w:t xml:space="preserve">Code déposé dès le premier jour sur un dépôt appartenant à la DNPEC, accessible à la CSID</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SOC-MNT-03</w:t>
            </w:r>
          </w:p>
        </w:tc>
        <w:tc>
          <w:tcPr/>
          <w:p>
            <w:pPr>
              <w:pStyle w:val="Compact"/>
              <w:jc w:val="left"/>
            </w:pPr>
            <w:r>
              <w:t xml:space="preserve">Documentation d’architecture, d’exploitation et de déploiement livrée et tenue à jour</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SOC-MNT-04</w:t>
            </w:r>
          </w:p>
        </w:tc>
        <w:tc>
          <w:tcPr/>
          <w:p>
            <w:pPr>
              <w:pStyle w:val="Compact"/>
              <w:jc w:val="left"/>
            </w:pPr>
            <w:r>
              <w:t xml:space="preserve">Couverture de tests automatisés sur les règles d’habilitation, le cloisonnement des domaines et les circuits de validation</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SOC-MNT-05</w:t>
            </w:r>
          </w:p>
        </w:tc>
        <w:tc>
          <w:tcPr/>
          <w:p>
            <w:pPr>
              <w:pStyle w:val="Compact"/>
              <w:jc w:val="left"/>
            </w:pPr>
            <w:r>
              <w:t xml:space="preserve">Aucun format propriétaire fermé sur les données de la Direction</w:t>
            </w:r>
          </w:p>
        </w:tc>
        <w:tc>
          <w:tcPr/>
          <w:p>
            <w:pPr>
              <w:pStyle w:val="Compact"/>
              <w:jc w:val="left"/>
            </w:pPr>
            <w:r>
              <w:t xml:space="preserve">MUST</w:t>
            </w:r>
          </w:p>
        </w:tc>
        <w:tc>
          <w:tcPr/>
          <w:p>
            <w:pPr>
              <w:pStyle w:val="Compact"/>
              <w:jc w:val="left"/>
            </w:pPr>
            <w:r>
              <w:t xml:space="preserve">0</w:t>
            </w:r>
          </w:p>
        </w:tc>
      </w:tr>
    </w:tbl>
    <w:bookmarkEnd w:id="64"/>
    <w:bookmarkEnd w:id="65"/>
    <w:bookmarkStart w:id="74" w:name="architecture-du-socle"/>
    <w:p>
      <w:pPr>
        <w:pStyle w:val="Heading2"/>
      </w:pPr>
      <w:r>
        <w:t xml:space="preserve">11. Architecture du socle</w:t>
      </w:r>
    </w:p>
    <w:bookmarkStart w:id="66" w:name="règle-de-langage"/>
    <w:p>
      <w:pPr>
        <w:pStyle w:val="Heading3"/>
      </w:pPr>
      <w:r>
        <w:t xml:space="preserve">11.1 Règle de langage</w:t>
      </w:r>
    </w:p>
    <w:p>
      <w:pPr>
        <w:pStyle w:val="FirstParagraph"/>
      </w:pPr>
      <w:r>
        <w:t xml:space="preserve">Les deux cahiers sources étaient contradictoires : le domaine A exigeait un seul langage du frontal au dorsal, le domaine B imposait Python pour les bibliothèques scientifiques et l’API GAMS. La règle du socle lève la contradiction sans affaiblir l’objectif de reprise par la CSID.</w:t>
      </w:r>
    </w:p>
    <w:p>
      <w:pPr>
        <w:pStyle w:val="BlockText"/>
      </w:pPr>
      <w:r>
        <w:rPr>
          <w:bCs/>
          <w:b/>
        </w:rPr>
        <w:t xml:space="preserve">Un seul langage pour le code applicatif, frontal et dorsal. Les briques techniques spécialisées font exception et sont limitativement énumérées ci-dessous.</w:t>
      </w:r>
    </w:p>
    <w:p>
      <w:pPr>
        <w:pStyle w:val="FirstParagraph"/>
      </w:pPr>
      <w:r>
        <w:t xml:space="preserve">Cette formulation n’est pas un assouplissement de circonstance : la pile du cahier SI comportait déjà un moteur de reconnaissance de caractères, un moteur de recherche et un stockage objet, qui ne sont pas du code applicatif. Le moteur d’exécution des modèles relève de la même catégorie.</w:t>
      </w:r>
    </w:p>
    <w:p>
      <w:pPr>
        <w:pStyle w:val="BodyText"/>
      </w:pPr>
      <w:r>
        <w:rPr>
          <w:bCs/>
          <w:b/>
        </w:rPr>
        <w:t xml:space="preserve">Langage applicatif retenu : TypeScript</w:t>
      </w:r>
      <w:r>
        <w:t xml:space="preserve">, frontal et dorsal. Le volume fonctionnel du domaine A est plusieurs fois celui de la couche applicative du domaine B, et il impose du mobile, du hors-ligne et du temps réel. Le seul motif de renversement est la compétence réelle de la CSID : si elle est en Python et non en Node, l’ensemble bascule sur une pile Python et le mobile suit (décision D-03, section 14).</w:t>
      </w:r>
    </w:p>
    <w:bookmarkEnd w:id="66"/>
    <w:bookmarkStart w:id="67" w:name="briques"/>
    <w:p>
      <w:pPr>
        <w:pStyle w:val="Heading3"/>
      </w:pPr>
      <w:r>
        <w:t xml:space="preserve">11.2 Briques</w:t>
      </w:r>
    </w:p>
    <w:p>
      <w:pPr>
        <w:pStyle w:val="FirstParagraph"/>
      </w:pPr>
      <w:r>
        <w:t xml:space="preserve">Les produits nommés ci-dessous sont</w:t>
      </w:r>
      <w:r>
        <w:t xml:space="preserve"> </w:t>
      </w:r>
      <w:r>
        <w:rPr>
          <w:bCs/>
          <w:b/>
        </w:rPr>
        <w:t xml:space="preserve">indicatifs</w:t>
      </w:r>
      <w:r>
        <w:t xml:space="preserve">. Chaque ligne s’entend «</w:t>
      </w:r>
      <w:r>
        <w:t xml:space="preserve"> </w:t>
      </w:r>
      <w:r>
        <w:rPr>
          <w:bCs/>
          <w:b/>
        </w:rPr>
        <w:t xml:space="preserve">ou équivalent</w:t>
      </w:r>
      <w:r>
        <w:t xml:space="preserve"> </w:t>
      </w:r>
      <w:r>
        <w:t xml:space="preserve">» : une solution différente est recevable dès lors qu’elle remplit le même rôle, respecte la règle de langage, la conteneurisation (SOC-HEB-01) et l’objectif de reprise par la CSID. Toute substitution est justifiée dans la réponse et arbitrée par le comité technique.</w:t>
      </w:r>
    </w:p>
    <w:tbl>
      <w:tblPr>
        <w:tblStyle w:val="Table"/>
        <w:tblW w:type="dxa" w:w="9354"/>
        <w:tblLayout w:type="fixed"/>
        <w:tblLook w:firstRow="1" w:lastRow="0" w:firstColumn="0" w:lastColumn="0" w:noHBand="0" w:noVBand="0" w:val="0020"/>
        <w:jc w:val="start"/>
      </w:tblPr>
      <w:tblGrid>
        <w:gridCol w:w="2660"/>
        <w:gridCol w:w="3741"/>
        <w:gridCol w:w="2953"/>
      </w:tblGrid>
      <w:tr>
        <w:trPr>
          <w:tblHeader w:val="true"/>
        </w:trPr>
        <w:tc>
          <w:tcPr/>
          <w:p>
            <w:pPr>
              <w:pStyle w:val="Compact"/>
              <w:jc w:val="left"/>
            </w:pPr>
            <w:r>
              <w:t xml:space="preserve">Brique</w:t>
            </w:r>
          </w:p>
        </w:tc>
        <w:tc>
          <w:tcPr/>
          <w:p>
            <w:pPr>
              <w:pStyle w:val="Compact"/>
              <w:jc w:val="left"/>
            </w:pPr>
            <w:r>
              <w:t xml:space="preserve">Proposition indicative</w:t>
            </w:r>
          </w:p>
        </w:tc>
        <w:tc>
          <w:tcPr/>
          <w:p>
            <w:pPr>
              <w:pStyle w:val="Compact"/>
              <w:jc w:val="left"/>
            </w:pPr>
            <w:r>
              <w:t xml:space="preserve">Rôle</w:t>
            </w:r>
          </w:p>
        </w:tc>
      </w:tr>
      <w:tr>
        <w:tc>
          <w:tcPr/>
          <w:p>
            <w:pPr>
              <w:pStyle w:val="Compact"/>
              <w:jc w:val="left"/>
            </w:pPr>
            <w:r>
              <w:t xml:space="preserve">Frontal web</w:t>
            </w:r>
          </w:p>
        </w:tc>
        <w:tc>
          <w:tcPr/>
          <w:p>
            <w:pPr>
              <w:pStyle w:val="Compact"/>
              <w:jc w:val="left"/>
            </w:pPr>
            <w:r>
              <w:t xml:space="preserve">Next.js (React, TypeScript) avec une bibliothèque de styles utilitaires, ou équivalent</w:t>
            </w:r>
          </w:p>
        </w:tc>
        <w:tc>
          <w:tcPr/>
          <w:p>
            <w:pPr>
              <w:pStyle w:val="Compact"/>
              <w:jc w:val="left"/>
            </w:pPr>
            <w:r>
              <w:t xml:space="preserve">Interface des deux domaines, portail unique</w:t>
            </w:r>
          </w:p>
        </w:tc>
      </w:tr>
      <w:tr>
        <w:tc>
          <w:tcPr/>
          <w:p>
            <w:pPr>
              <w:pStyle w:val="Compact"/>
              <w:jc w:val="left"/>
            </w:pPr>
            <w:r>
              <w:t xml:space="preserve">Mobile</w:t>
            </w:r>
          </w:p>
        </w:tc>
        <w:tc>
          <w:tcPr/>
          <w:p>
            <w:pPr>
              <w:pStyle w:val="Compact"/>
              <w:jc w:val="left"/>
            </w:pPr>
            <w:r>
              <w:t xml:space="preserve">React Native, ou équivalent partageant le langage du frontal</w:t>
            </w:r>
          </w:p>
        </w:tc>
        <w:tc>
          <w:tcPr/>
          <w:p>
            <w:pPr>
              <w:pStyle w:val="Compact"/>
              <w:jc w:val="left"/>
            </w:pPr>
            <w:r>
              <w:t xml:space="preserve">Domaine A, compatible appareils anciens</w:t>
            </w:r>
          </w:p>
        </w:tc>
      </w:tr>
      <w:tr>
        <w:tc>
          <w:tcPr/>
          <w:p>
            <w:pPr>
              <w:pStyle w:val="Compact"/>
              <w:jc w:val="left"/>
            </w:pPr>
            <w:r>
              <w:t xml:space="preserve">Dorsal applicatif</w:t>
            </w:r>
          </w:p>
        </w:tc>
        <w:tc>
          <w:tcPr/>
          <w:p>
            <w:pPr>
              <w:pStyle w:val="Compact"/>
              <w:jc w:val="left"/>
            </w:pPr>
            <w:r>
              <w:t xml:space="preserve">Node.js avec un cadriciel structuré en modules et injection de dépendances, ou équivalent</w:t>
            </w:r>
          </w:p>
        </w:tc>
        <w:tc>
          <w:tcPr/>
          <w:p>
            <w:pPr>
              <w:pStyle w:val="Compact"/>
              <w:jc w:val="left"/>
            </w:pPr>
            <w:r>
              <w:t xml:space="preserve">Référentiels, habilitations, circuits, API</w:t>
            </w:r>
          </w:p>
        </w:tc>
      </w:tr>
      <w:tr>
        <w:tc>
          <w:tcPr/>
          <w:p>
            <w:pPr>
              <w:pStyle w:val="Compact"/>
              <w:jc w:val="left"/>
            </w:pPr>
            <w:r>
              <w:t xml:space="preserve">Base de données</w:t>
            </w:r>
          </w:p>
        </w:tc>
        <w:tc>
          <w:tcPr/>
          <w:p>
            <w:pPr>
              <w:pStyle w:val="Compact"/>
              <w:jc w:val="left"/>
            </w:pPr>
            <w:r>
              <w:t xml:space="preserve">PostgreSQL, ou équivalent relationnel libre</w:t>
            </w:r>
          </w:p>
        </w:tc>
        <w:tc>
          <w:tcPr/>
          <w:p>
            <w:pPr>
              <w:pStyle w:val="Compact"/>
              <w:jc w:val="left"/>
            </w:pPr>
            <w:r>
              <w:t xml:space="preserve">Objets du socle et des deux domaines</w:t>
            </w:r>
          </w:p>
        </w:tc>
      </w:tr>
      <w:tr>
        <w:tc>
          <w:tcPr/>
          <w:p>
            <w:pPr>
              <w:pStyle w:val="Compact"/>
              <w:jc w:val="left"/>
            </w:pPr>
            <w:r>
              <w:rPr>
                <w:bCs/>
                <w:b/>
              </w:rPr>
              <w:t xml:space="preserve">Moteur de calcul</w:t>
            </w:r>
          </w:p>
        </w:tc>
        <w:tc>
          <w:tcPr/>
          <w:p>
            <w:pPr>
              <w:pStyle w:val="Compact"/>
              <w:jc w:val="left"/>
            </w:pPr>
            <w:r>
              <w:rPr>
                <w:bCs/>
                <w:b/>
              </w:rPr>
              <w:t xml:space="preserve">Service Python isolé</w:t>
            </w:r>
            <w:r>
              <w:t xml:space="preserve"> </w:t>
            </w:r>
            <w:r>
              <w:t xml:space="preserve">(NumPy, Pandas, Statsmodels, SciPy, gamsapi)</w:t>
            </w:r>
          </w:p>
        </w:tc>
        <w:tc>
          <w:tcPr/>
          <w:p>
            <w:pPr>
              <w:pStyle w:val="Compact"/>
              <w:jc w:val="left"/>
            </w:pPr>
            <w:r>
              <w:t xml:space="preserve">Exécution des modèles, lecture des GDX, contrôles</w:t>
            </w:r>
          </w:p>
        </w:tc>
      </w:tr>
      <w:tr>
        <w:tc>
          <w:tcPr/>
          <w:p>
            <w:pPr>
              <w:pStyle w:val="Compact"/>
              <w:jc w:val="left"/>
            </w:pPr>
            <w:r>
              <w:t xml:space="preserve">Moteur GAMS</w:t>
            </w:r>
          </w:p>
        </w:tc>
        <w:tc>
          <w:tcPr/>
          <w:p>
            <w:pPr>
              <w:pStyle w:val="Compact"/>
              <w:jc w:val="left"/>
            </w:pPr>
            <w:r>
              <w:t xml:space="preserve">GAMS Engine en déploiement auto-hébergé, ou licence réseau équivalente</w:t>
            </w:r>
          </w:p>
        </w:tc>
        <w:tc>
          <w:tcPr/>
          <w:p>
            <w:pPr>
              <w:pStyle w:val="Compact"/>
              <w:jc w:val="left"/>
            </w:pPr>
            <w:r>
              <w:t xml:space="preserve">Exécution multi-utilisateurs des modèles GAMS</w:t>
            </w:r>
          </w:p>
        </w:tc>
      </w:tr>
      <w:tr>
        <w:tc>
          <w:tcPr/>
          <w:p>
            <w:pPr>
              <w:pStyle w:val="Compact"/>
              <w:jc w:val="left"/>
            </w:pPr>
            <w:r>
              <w:t xml:space="preserve">File d’exécution</w:t>
            </w:r>
          </w:p>
        </w:tc>
        <w:tc>
          <w:tcPr/>
          <w:p>
            <w:pPr>
              <w:pStyle w:val="Compact"/>
              <w:jc w:val="left"/>
            </w:pPr>
            <w:r>
              <w:t xml:space="preserve">File de tâches asynchrone persistante, ou équivalent</w:t>
            </w:r>
          </w:p>
        </w:tc>
        <w:tc>
          <w:tcPr/>
          <w:p>
            <w:pPr>
              <w:pStyle w:val="Compact"/>
              <w:jc w:val="left"/>
            </w:pPr>
            <w:r>
              <w:t xml:space="preserve">Simulations longues et concurrentes</w:t>
            </w:r>
          </w:p>
        </w:tc>
      </w:tr>
      <w:tr>
        <w:tc>
          <w:tcPr/>
          <w:p>
            <w:pPr>
              <w:pStyle w:val="Compact"/>
              <w:jc w:val="left"/>
            </w:pPr>
            <w:r>
              <w:t xml:space="preserve">Recherche</w:t>
            </w:r>
          </w:p>
        </w:tc>
        <w:tc>
          <w:tcPr/>
          <w:p>
            <w:pPr>
              <w:pStyle w:val="Compact"/>
              <w:jc w:val="left"/>
            </w:pPr>
            <w:r>
              <w:t xml:space="preserve">Moteur d’indexation plein texte auto-hébergeable, tolérant aux fautes de frappe</w:t>
            </w:r>
          </w:p>
        </w:tc>
        <w:tc>
          <w:tcPr/>
          <w:p>
            <w:pPr>
              <w:pStyle w:val="Compact"/>
              <w:jc w:val="left"/>
            </w:pPr>
            <w:r>
              <w:t xml:space="preserve">GED et référentiels</w:t>
            </w:r>
          </w:p>
        </w:tc>
      </w:tr>
      <w:tr>
        <w:tc>
          <w:tcPr/>
          <w:p>
            <w:pPr>
              <w:pStyle w:val="Compact"/>
              <w:jc w:val="left"/>
            </w:pPr>
            <w:r>
              <w:t xml:space="preserve">Reconnaissance de caractères</w:t>
            </w:r>
          </w:p>
        </w:tc>
        <w:tc>
          <w:tcPr/>
          <w:p>
            <w:pPr>
              <w:pStyle w:val="Compact"/>
              <w:jc w:val="left"/>
            </w:pPr>
            <w:r>
              <w:t xml:space="preserve">Moteur libre auto-hébergeable avec bon support du français</w:t>
            </w:r>
          </w:p>
        </w:tc>
        <w:tc>
          <w:tcPr/>
          <w:p>
            <w:pPr>
              <w:pStyle w:val="Compact"/>
              <w:jc w:val="left"/>
            </w:pPr>
            <w:r>
              <w:t xml:space="preserve">Courrier scanné, PDF de la GED</w:t>
            </w:r>
          </w:p>
        </w:tc>
      </w:tr>
      <w:tr>
        <w:tc>
          <w:tcPr/>
          <w:p>
            <w:pPr>
              <w:pStyle w:val="Compact"/>
              <w:jc w:val="left"/>
            </w:pPr>
            <w:r>
              <w:t xml:space="preserve">Stockage de fichiers</w:t>
            </w:r>
          </w:p>
        </w:tc>
        <w:tc>
          <w:tcPr/>
          <w:p>
            <w:pPr>
              <w:pStyle w:val="Compact"/>
              <w:jc w:val="left"/>
            </w:pPr>
            <w:r>
              <w:t xml:space="preserve">Stockage objet compatible S3, auto-hébergeable</w:t>
            </w:r>
          </w:p>
        </w:tc>
        <w:tc>
          <w:tcPr/>
          <w:p>
            <w:pPr>
              <w:pStyle w:val="Compact"/>
              <w:jc w:val="left"/>
            </w:pPr>
            <w:r>
              <w:t xml:space="preserve">Pièces jointes, fichiers de modèles, GDX, exports</w:t>
            </w:r>
          </w:p>
        </w:tc>
      </w:tr>
      <w:tr>
        <w:tc>
          <w:tcPr/>
          <w:p>
            <w:pPr>
              <w:pStyle w:val="Compact"/>
              <w:jc w:val="left"/>
            </w:pPr>
            <w:r>
              <w:t xml:space="preserve">Temps réel</w:t>
            </w:r>
          </w:p>
        </w:tc>
        <w:tc>
          <w:tcPr/>
          <w:p>
            <w:pPr>
              <w:pStyle w:val="Compact"/>
              <w:jc w:val="left"/>
            </w:pPr>
            <w:r>
              <w:t xml:space="preserve">Canal bidirectionnel web et mobile</w:t>
            </w:r>
          </w:p>
        </w:tc>
        <w:tc>
          <w:tcPr/>
          <w:p>
            <w:pPr>
              <w:pStyle w:val="Compact"/>
              <w:jc w:val="left"/>
            </w:pPr>
            <w:r>
              <w:t xml:space="preserve">Messagerie, avancement des exécutions</w:t>
            </w:r>
          </w:p>
        </w:tc>
      </w:tr>
      <w:tr>
        <w:tc>
          <w:tcPr/>
          <w:p>
            <w:pPr>
              <w:pStyle w:val="Compact"/>
              <w:jc w:val="left"/>
            </w:pPr>
            <w:r>
              <w:t xml:space="preserve">Notifications mobiles</w:t>
            </w:r>
          </w:p>
        </w:tc>
        <w:tc>
          <w:tcPr/>
          <w:p>
            <w:pPr>
              <w:pStyle w:val="Compact"/>
              <w:jc w:val="left"/>
            </w:pPr>
            <w:r>
              <w:rPr>
                <w:bCs/>
                <w:b/>
              </w:rPr>
              <w:t xml:space="preserve">Service de notification push souverain ou auto-hébergé de préférence</w:t>
            </w:r>
            <w:r>
              <w:t xml:space="preserve"> </w:t>
            </w:r>
            <w:r>
              <w:t xml:space="preserve">; à défaut, service tiers n’acheminant qu’un identifiant opaque, sans contenu ni donnée personnelle</w:t>
            </w:r>
          </w:p>
        </w:tc>
        <w:tc>
          <w:tcPr/>
          <w:p>
            <w:pPr>
              <w:pStyle w:val="Compact"/>
              <w:jc w:val="left"/>
            </w:pPr>
            <w:r>
              <w:t xml:space="preserve">Domaine A</w:t>
            </w:r>
          </w:p>
        </w:tc>
      </w:tr>
      <w:tr>
        <w:tc>
          <w:tcPr/>
          <w:p>
            <w:pPr>
              <w:pStyle w:val="Compact"/>
              <w:jc w:val="left"/>
            </w:pPr>
            <w:r>
              <w:t xml:space="preserve">Courriel et SMS</w:t>
            </w:r>
          </w:p>
        </w:tc>
        <w:tc>
          <w:tcPr/>
          <w:p>
            <w:pPr>
              <w:pStyle w:val="Compact"/>
              <w:jc w:val="left"/>
            </w:pPr>
            <w:r>
              <w:t xml:space="preserve">Fournisseur transactionnel ; agrégateur local pour le SMS</w:t>
            </w:r>
          </w:p>
        </w:tc>
        <w:tc>
          <w:tcPr/>
          <w:p>
            <w:pPr>
              <w:pStyle w:val="Compact"/>
              <w:jc w:val="left"/>
            </w:pPr>
            <w:r>
              <w:t xml:space="preserve">Notifications</w:t>
            </w:r>
          </w:p>
        </w:tc>
      </w:tr>
      <w:tr>
        <w:tc>
          <w:tcPr/>
          <w:p>
            <w:pPr>
              <w:pStyle w:val="Compact"/>
              <w:jc w:val="left"/>
            </w:pPr>
            <w:r>
              <w:t xml:space="preserve">Infrastructure</w:t>
            </w:r>
          </w:p>
        </w:tc>
        <w:tc>
          <w:tcPr/>
          <w:p>
            <w:pPr>
              <w:pStyle w:val="Compact"/>
              <w:jc w:val="left"/>
            </w:pPr>
            <w:r>
              <w:t xml:space="preserve">Conteneurs, proxy inverse, certificats automatiques</w:t>
            </w:r>
          </w:p>
        </w:tc>
        <w:tc>
          <w:tcPr/>
          <w:p>
            <w:pPr>
              <w:pStyle w:val="Compact"/>
              <w:jc w:val="left"/>
            </w:pPr>
            <w:r>
              <w:t xml:space="preserve">Conteneurisation, migration</w:t>
            </w:r>
          </w:p>
        </w:tc>
      </w:tr>
      <w:tr>
        <w:tc>
          <w:tcPr/>
          <w:p>
            <w:pPr>
              <w:pStyle w:val="Compact"/>
              <w:jc w:val="left"/>
            </w:pPr>
            <w:r>
              <w:t xml:space="preserve">Intégration continue</w:t>
            </w:r>
          </w:p>
        </w:tc>
        <w:tc>
          <w:tcPr/>
          <w:p>
            <w:pPr>
              <w:pStyle w:val="Compact"/>
              <w:jc w:val="left"/>
            </w:pPr>
            <w:r>
              <w:t xml:space="preserve">Chaîne automatisée sur le dépôt de la DNPEC</w:t>
            </w:r>
          </w:p>
        </w:tc>
        <w:tc>
          <w:tcPr/>
          <w:p>
            <w:pPr>
              <w:pStyle w:val="Compact"/>
              <w:jc w:val="left"/>
            </w:pPr>
            <w:r>
              <w:t xml:space="preserve">Déploiement</w:t>
            </w:r>
          </w:p>
        </w:tc>
      </w:tr>
    </w:tbl>
    <w:p>
      <w:pPr>
        <w:pStyle w:val="BodyText"/>
      </w:pPr>
      <w:r>
        <w:rPr>
          <w:bCs/>
          <w:b/>
        </w:rPr>
        <w:t xml:space="preserve">Arbitrage sur les notifications mobiles.</w:t>
      </w:r>
      <w:r>
        <w:t xml:space="preserve"> </w:t>
      </w:r>
      <w:r>
        <w:t xml:space="preserve">Les services de notification push des grandes plateformes impliquent un acheminement hors du territoire national, ce qui heurte SOC-DCP-05 et SOC-HEB-05. La règle retenue est donc que la notification push ne transporte</w:t>
      </w:r>
      <w:r>
        <w:t xml:space="preserve"> </w:t>
      </w:r>
      <w:r>
        <w:rPr>
          <w:bCs/>
          <w:b/>
        </w:rPr>
        <w:t xml:space="preserve">qu’un identifiant opaque</w:t>
      </w:r>
      <w:r>
        <w:t xml:space="preserve"> </w:t>
      </w:r>
      <w:r>
        <w:t xml:space="preserve">: le libellé, le contenu et toute donnée personnelle restent dans le produit et ne sont lus qu’après ouverture de l’application. Le recours à un service tiers est à ce titre listé au registre des transferts (SOC-DCP-05).</w:t>
      </w:r>
    </w:p>
    <w:bookmarkEnd w:id="67"/>
    <w:bookmarkStart w:id="71" w:name="X3f841b78ccc37ac086614b1736f2b7c65747094"/>
    <w:p>
      <w:pPr>
        <w:pStyle w:val="Heading3"/>
      </w:pPr>
      <w:r>
        <w:t xml:space="preserve">11.3 Contrat d’exécution et frontière applicative</w:t>
      </w:r>
    </w:p>
    <w:p>
      <w:pPr>
        <w:pStyle w:val="FirstParagraph"/>
      </w:pPr>
      <w:r>
        <w:t xml:space="preserve">Toutes les familles de modèles sont pilotées par un même contrat : préparer les entrées, lancer, suivre le statut, récupérer les sorties nommées, exécuter les contrôles. Seul l’adaptateur diffère. Le contrat est détaillé en Partie B, section B10.</w:t>
      </w:r>
    </w:p>
    <w:p>
      <w:pPr>
        <w:pStyle w:val="CaptionedFigure"/>
      </w:pPr>
      <w:r>
        <w:drawing>
          <wp:inline>
            <wp:extent cx="5759999" cy="3101538"/>
            <wp:effectExtent b="0" l="0" r="0" t="0"/>
            <wp:docPr descr="Figure 2 — Flux d’ensemble du domaine modélisation" title="" id="69" name="Picture"/>
            <a:graphic>
              <a:graphicData uri="http://schemas.openxmlformats.org/drawingml/2006/picture">
                <pic:pic>
                  <pic:nvPicPr>
                    <pic:cNvPr descr="media_v2/fig02-flux.png" id="70" name="Picture"/>
                    <pic:cNvPicPr>
                      <a:picLocks noChangeArrowheads="1" noChangeAspect="1"/>
                    </pic:cNvPicPr>
                  </pic:nvPicPr>
                  <pic:blipFill>
                    <a:blip r:embed="rId68"/>
                    <a:stretch>
                      <a:fillRect/>
                    </a:stretch>
                  </pic:blipFill>
                  <pic:spPr bwMode="auto">
                    <a:xfrm>
                      <a:off x="0" y="0"/>
                      <a:ext cx="5759999" cy="3101538"/>
                    </a:xfrm>
                    <a:prstGeom prst="rect">
                      <a:avLst/>
                    </a:prstGeom>
                    <a:noFill/>
                    <a:ln w="9525">
                      <a:noFill/>
                      <a:headEnd/>
                      <a:tailEnd/>
                    </a:ln>
                  </pic:spPr>
                </pic:pic>
              </a:graphicData>
            </a:graphic>
          </wp:inline>
        </w:drawing>
      </w:r>
    </w:p>
    <w:p>
      <w:pPr>
        <w:pStyle w:val="ImageCaption"/>
      </w:pPr>
      <w:r>
        <w:t xml:space="preserve">Figure 2 — Flux d’ensemble du domaine modélisation</w:t>
      </w:r>
    </w:p>
    <w:p>
      <w:pPr>
        <w:pStyle w:val="BodyText"/>
      </w:pPr>
      <w:r>
        <w:t xml:space="preserve">Le référentiel commande tout : la version, la base et le calibrage utilisés sont figés dans la fiche de simulation au moment de l’exécution.</w:t>
      </w:r>
    </w:p>
    <w:p>
      <w:pPr>
        <w:pStyle w:val="BodyText"/>
      </w:pPr>
      <w:r>
        <w:rPr>
          <w:bCs/>
          <w:b/>
        </w:rPr>
        <w:t xml:space="preserve">Répartition des responsabilités entre le dorsal applicatif et le service de calcul</w:t>
      </w:r>
      <w:r>
        <w:t xml:space="preserve">, qui était ambiguë et qui est ici normative :</w:t>
      </w:r>
    </w:p>
    <w:tbl>
      <w:tblPr>
        <w:tblStyle w:val="Table"/>
        <w:tblW w:type="dxa" w:w="9354"/>
        <w:tblLayout w:type="fixed"/>
        <w:tblLook w:firstRow="1" w:lastRow="0" w:firstColumn="0" w:lastColumn="0" w:noHBand="0" w:noVBand="0" w:val="0020"/>
        <w:jc w:val="start"/>
      </w:tblPr>
      <w:tblGrid>
        <w:gridCol w:w="5142"/>
        <w:gridCol w:w="4212"/>
      </w:tblGrid>
      <w:tr>
        <w:trPr>
          <w:tblHeader w:val="true"/>
        </w:trPr>
        <w:tc>
          <w:tcPr/>
          <w:p>
            <w:pPr>
              <w:pStyle w:val="Compact"/>
              <w:jc w:val="left"/>
            </w:pPr>
            <w:r>
              <w:t xml:space="preserve">Responsabilité</w:t>
            </w:r>
          </w:p>
        </w:tc>
        <w:tc>
          <w:tcPr/>
          <w:p>
            <w:pPr>
              <w:pStyle w:val="Compact"/>
              <w:jc w:val="left"/>
            </w:pPr>
            <w:r>
              <w:t xml:space="preserve">Porteur</w:t>
            </w:r>
          </w:p>
        </w:tc>
      </w:tr>
      <w:tr>
        <w:tc>
          <w:tcPr/>
          <w:p>
            <w:pPr>
              <w:pStyle w:val="Compact"/>
              <w:jc w:val="left"/>
            </w:pPr>
            <w:r>
              <w:t xml:space="preserve">Référentiels, comptes, habilitations, GED, notifications</w:t>
            </w:r>
          </w:p>
        </w:tc>
        <w:tc>
          <w:tcPr/>
          <w:p>
            <w:pPr>
              <w:pStyle w:val="Compact"/>
              <w:jc w:val="left"/>
            </w:pPr>
            <w:r>
              <w:t xml:space="preserve">Dorsal applicatif</w:t>
            </w:r>
          </w:p>
        </w:tc>
      </w:tr>
      <w:tr>
        <w:tc>
          <w:tcPr/>
          <w:p>
            <w:pPr>
              <w:pStyle w:val="Compact"/>
              <w:jc w:val="left"/>
            </w:pPr>
            <w:r>
              <w:t xml:space="preserve">Machine à états de la simulation et de la version de modèle</w:t>
            </w:r>
          </w:p>
        </w:tc>
        <w:tc>
          <w:tcPr/>
          <w:p>
            <w:pPr>
              <w:pStyle w:val="Compact"/>
              <w:jc w:val="left"/>
            </w:pPr>
            <w:r>
              <w:t xml:space="preserve">Dorsal applicatif</w:t>
            </w:r>
          </w:p>
        </w:tc>
      </w:tr>
      <w:tr>
        <w:tc>
          <w:tcPr/>
          <w:p>
            <w:pPr>
              <w:pStyle w:val="Compact"/>
              <w:jc w:val="left"/>
            </w:pPr>
            <w:r>
              <w:t xml:space="preserve">Écriture de la fiche de simulation et des résultats en base</w:t>
            </w:r>
          </w:p>
        </w:tc>
        <w:tc>
          <w:tcPr/>
          <w:p>
            <w:pPr>
              <w:pStyle w:val="Compact"/>
              <w:jc w:val="left"/>
            </w:pPr>
            <w:r>
              <w:t xml:space="preserve">Dorsal applicatif</w:t>
            </w:r>
          </w:p>
        </w:tc>
      </w:tr>
      <w:tr>
        <w:tc>
          <w:tcPr/>
          <w:p>
            <w:pPr>
              <w:pStyle w:val="Compact"/>
              <w:jc w:val="left"/>
            </w:pPr>
            <w:r>
              <w:t xml:space="preserve">Mise en file, priorités, quotas, annulation</w:t>
            </w:r>
          </w:p>
        </w:tc>
        <w:tc>
          <w:tcPr/>
          <w:p>
            <w:pPr>
              <w:pStyle w:val="Compact"/>
              <w:jc w:val="left"/>
            </w:pPr>
            <w:r>
              <w:t xml:space="preserve">Dorsal applicatif</w:t>
            </w:r>
          </w:p>
        </w:tc>
      </w:tr>
      <w:tr>
        <w:tc>
          <w:tcPr/>
          <w:p>
            <w:pPr>
              <w:pStyle w:val="Compact"/>
              <w:jc w:val="left"/>
            </w:pPr>
            <w:r>
              <w:t xml:space="preserve">Préparation des entrées, appel du moteur, lecture des sorties nommées</w:t>
            </w:r>
          </w:p>
        </w:tc>
        <w:tc>
          <w:tcPr/>
          <w:p>
            <w:pPr>
              <w:pStyle w:val="Compact"/>
              <w:jc w:val="left"/>
            </w:pPr>
            <w:r>
              <w:t xml:space="preserve">Service de calcul</w:t>
            </w:r>
          </w:p>
        </w:tc>
      </w:tr>
      <w:tr>
        <w:tc>
          <w:tcPr/>
          <w:p>
            <w:pPr>
              <w:pStyle w:val="Compact"/>
              <w:jc w:val="left"/>
            </w:pPr>
            <w:r>
              <w:t xml:space="preserve">Exécution de la batterie de contrôles et production de leur verdict</w:t>
            </w:r>
          </w:p>
        </w:tc>
        <w:tc>
          <w:tcPr/>
          <w:p>
            <w:pPr>
              <w:pStyle w:val="Compact"/>
              <w:jc w:val="left"/>
            </w:pPr>
            <w:r>
              <w:t xml:space="preserve">Service de calcul</w:t>
            </w:r>
          </w:p>
        </w:tc>
      </w:tr>
      <w:tr>
        <w:tc>
          <w:tcPr/>
          <w:p>
            <w:pPr>
              <w:pStyle w:val="Compact"/>
              <w:jc w:val="left"/>
            </w:pPr>
            <w:r>
              <w:t xml:space="preserve">Accès direct à la base applicative</w:t>
            </w:r>
          </w:p>
        </w:tc>
        <w:tc>
          <w:tcPr/>
          <w:p>
            <w:pPr>
              <w:pStyle w:val="Compact"/>
              <w:jc w:val="left"/>
            </w:pPr>
            <w:r>
              <w:rPr>
                <w:bCs/>
                <w:b/>
              </w:rPr>
              <w:t xml:space="preserve">Interdit au service de calcul</w:t>
            </w:r>
          </w:p>
        </w:tc>
      </w:tr>
    </w:tbl>
    <w:p>
      <w:pPr>
        <w:pStyle w:val="BodyText"/>
      </w:pPr>
      <w:r>
        <w:t xml:space="preserve">Le service de calcul est un exécutant sans état : il reçoit un ordre d’exécution complet, renvoie un résultat structuré, et n’écrit jamais en base. Le dorsal applicatif ne connaît que le contrat, jamais le moteur.</w:t>
      </w:r>
    </w:p>
    <w:bookmarkEnd w:id="71"/>
    <w:bookmarkStart w:id="72" w:name="conventions-dapi"/>
    <w:p>
      <w:pPr>
        <w:pStyle w:val="Heading3"/>
      </w:pPr>
      <w:r>
        <w:t xml:space="preserve">11.4 Conventions d’API</w:t>
      </w:r>
    </w:p>
    <w:p>
      <w:pPr>
        <w:pStyle w:val="FirstParagraph"/>
      </w:pPr>
      <w:r>
        <w:t xml:space="preserve">Ces conventions, issues du domaine B, s’appliquent au produit entier.</w:t>
      </w:r>
    </w:p>
    <w:p>
      <w:pPr>
        <w:numPr>
          <w:ilvl w:val="0"/>
          <w:numId w:val="1012"/>
        </w:numPr>
        <w:pStyle w:val="Compact"/>
      </w:pPr>
      <w:r>
        <w:t xml:space="preserve">API REST sur HTTPS, préfixe</w:t>
      </w:r>
      <w:r>
        <w:t xml:space="preserve"> </w:t>
      </w:r>
      <w:r>
        <w:rPr>
          <w:rStyle w:val="VerbatimChar"/>
        </w:rPr>
        <w:t xml:space="preserve">/api/v1</w:t>
      </w:r>
      <w:r>
        <w:t xml:space="preserve">, JSON UTF-8, dates en ISO 8601 UTC.</w:t>
      </w:r>
    </w:p>
    <w:p>
      <w:pPr>
        <w:numPr>
          <w:ilvl w:val="0"/>
          <w:numId w:val="1012"/>
        </w:numPr>
        <w:pStyle w:val="Compact"/>
      </w:pPr>
      <w:r>
        <w:rPr>
          <w:bCs/>
          <w:b/>
        </w:rPr>
        <w:t xml:space="preserve">L’API est la seule voie d’accès aux données</w:t>
      </w:r>
      <w:r>
        <w:t xml:space="preserve"> </w:t>
      </w:r>
      <w:r>
        <w:t xml:space="preserve">: ni l’interface web ni le mobile n’accèdent directement à la base ou au moteur de calcul.</w:t>
      </w:r>
    </w:p>
    <w:p>
      <w:pPr>
        <w:numPr>
          <w:ilvl w:val="0"/>
          <w:numId w:val="1012"/>
        </w:numPr>
        <w:pStyle w:val="Compact"/>
      </w:pPr>
      <w:r>
        <w:t xml:space="preserve">Enveloppe d’erreur unique, avec</w:t>
      </w:r>
      <w:r>
        <w:t xml:space="preserve"> </w:t>
      </w:r>
      <w:r>
        <w:rPr>
          <w:rStyle w:val="VerbatimChar"/>
        </w:rPr>
        <w:t xml:space="preserve">code</w:t>
      </w:r>
      <w:r>
        <w:t xml:space="preserve"> </w:t>
      </w:r>
      <w:r>
        <w:t xml:space="preserve">métier,</w:t>
      </w:r>
      <w:r>
        <w:t xml:space="preserve"> </w:t>
      </w:r>
      <w:r>
        <w:rPr>
          <w:rStyle w:val="VerbatimChar"/>
        </w:rPr>
        <w:t xml:space="preserve">message</w:t>
      </w:r>
      <w:r>
        <w:t xml:space="preserve">,</w:t>
      </w:r>
      <w:r>
        <w:t xml:space="preserve"> </w:t>
      </w:r>
      <w:r>
        <w:rPr>
          <w:rStyle w:val="VerbatimChar"/>
        </w:rPr>
        <w:t xml:space="preserve">details</w:t>
      </w:r>
      <w:r>
        <w:t xml:space="preserve"> </w:t>
      </w:r>
      <w:r>
        <w:t xml:space="preserve">et</w:t>
      </w:r>
      <w:r>
        <w:t xml:space="preserve"> </w:t>
      </w:r>
      <w:r>
        <w:rPr>
          <w:rStyle w:val="VerbatimChar"/>
        </w:rPr>
        <w:t xml:space="preserve">trace_id</w:t>
      </w:r>
      <w:r>
        <w:t xml:space="preserve">.</w:t>
      </w:r>
    </w:p>
    <w:p>
      <w:pPr>
        <w:numPr>
          <w:ilvl w:val="0"/>
          <w:numId w:val="1012"/>
        </w:numPr>
        <w:pStyle w:val="Compact"/>
      </w:pPr>
      <w:r>
        <w:t xml:space="preserve">Authentification par jeton porteur de durée de vie courte, avec rafraîchissement ; chaque appel journalisé avec</w:t>
      </w:r>
      <w:r>
        <w:t xml:space="preserve"> </w:t>
      </w:r>
      <w:r>
        <w:rPr>
          <w:rStyle w:val="VerbatimChar"/>
        </w:rPr>
        <w:t xml:space="preserve">trace_id</w:t>
      </w:r>
      <w:r>
        <w:t xml:space="preserve">, utilisateur et durée.</w:t>
      </w:r>
    </w:p>
    <w:p>
      <w:pPr>
        <w:numPr>
          <w:ilvl w:val="0"/>
          <w:numId w:val="1012"/>
        </w:numPr>
        <w:pStyle w:val="Compact"/>
      </w:pPr>
      <w:r>
        <w:t xml:space="preserve">Pagination par page et taille, 50 par défaut, 500 au maximum, total renvoyé dans l’enveloppe.</w:t>
      </w:r>
    </w:p>
    <w:p>
      <w:pPr>
        <w:numPr>
          <w:ilvl w:val="0"/>
          <w:numId w:val="1012"/>
        </w:numPr>
        <w:pStyle w:val="Compact"/>
      </w:pPr>
      <w:r>
        <w:t xml:space="preserve">Idempotence obligatoire sur la mise en file d’une exécution : deux appels avec la même clé ne créent qu’une exécution.</w:t>
      </w:r>
    </w:p>
    <w:p>
      <w:pPr>
        <w:numPr>
          <w:ilvl w:val="0"/>
          <w:numId w:val="1012"/>
        </w:numPr>
        <w:pStyle w:val="Compact"/>
      </w:pPr>
      <w:r>
        <w:t xml:space="preserve">Aucune attente bloquante côté client : suivi par interrogation périodique ou flux d’événements serveur.</w:t>
      </w:r>
    </w:p>
    <w:p>
      <w:pPr>
        <w:numPr>
          <w:ilvl w:val="0"/>
          <w:numId w:val="1012"/>
        </w:numPr>
        <w:pStyle w:val="Compact"/>
      </w:pPr>
      <w:r>
        <w:t xml:space="preserve">Concurrence gérée par en-tête conditionnel sur les objets modifiables, conflit renvoyé en 409.</w:t>
      </w:r>
    </w:p>
    <w:p>
      <w:pPr>
        <w:numPr>
          <w:ilvl w:val="0"/>
          <w:numId w:val="1012"/>
        </w:numPr>
        <w:pStyle w:val="Compact"/>
      </w:pPr>
      <w:r>
        <w:t xml:space="preserve">Les exports volumineux passent par le service d’export, jamais par l’API de lecture.</w:t>
      </w:r>
    </w:p>
    <w:bookmarkEnd w:id="72"/>
    <w:bookmarkStart w:id="73" w:name="interfaces-applicatives-de-référence"/>
    <w:p>
      <w:pPr>
        <w:pStyle w:val="Heading3"/>
      </w:pPr>
      <w:r>
        <w:t xml:space="preserve">11.5 Interfaces applicatives de référence</w:t>
      </w:r>
    </w:p>
    <w:p>
      <w:pPr>
        <w:pStyle w:val="FirstParagraph"/>
      </w:pPr>
      <w:r>
        <w:t xml:space="preserve">Les chemins ci-dessous sont normatifs pour le domaine B et servent de modèle de nommage au domaine A. Le rôle indiqué est le rôle minimal requis, au sens de la section 5.</w:t>
      </w:r>
    </w:p>
    <w:tbl>
      <w:tblPr>
        <w:tblStyle w:val="Table"/>
        <w:tblW w:type="dxa" w:w="9354"/>
        <w:tblLayout w:type="fixed"/>
        <w:tblLook w:firstRow="1" w:lastRow="0" w:firstColumn="0" w:lastColumn="0" w:noHBand="0" w:noVBand="0" w:val="0020"/>
        <w:jc w:val="start"/>
      </w:tblPr>
      <w:tblGrid>
        <w:gridCol w:w="3718"/>
        <w:gridCol w:w="3148"/>
        <w:gridCol w:w="2488"/>
      </w:tblGrid>
      <w:tr>
        <w:trPr>
          <w:tblHeader w:val="true"/>
        </w:trPr>
        <w:tc>
          <w:tcPr/>
          <w:p>
            <w:pPr>
              <w:pStyle w:val="Compact"/>
              <w:jc w:val="left"/>
            </w:pPr>
            <w:r>
              <w:t xml:space="preserve">Méthode et chemin</w:t>
            </w:r>
          </w:p>
        </w:tc>
        <w:tc>
          <w:tcPr/>
          <w:p>
            <w:pPr>
              <w:pStyle w:val="Compact"/>
              <w:jc w:val="left"/>
            </w:pPr>
            <w:r>
              <w:t xml:space="preserve">Objet</w:t>
            </w:r>
          </w:p>
        </w:tc>
        <w:tc>
          <w:tcPr/>
          <w:p>
            <w:pPr>
              <w:pStyle w:val="Compact"/>
              <w:jc w:val="left"/>
            </w:pPr>
            <w:r>
              <w:t xml:space="preserve">Rôle minimal</w:t>
            </w:r>
          </w:p>
        </w:tc>
      </w:tr>
      <w:tr>
        <w:tc>
          <w:tcPr/>
          <w:p>
            <w:pPr>
              <w:pStyle w:val="Compact"/>
              <w:jc w:val="left"/>
            </w:pPr>
            <w:r>
              <w:rPr>
                <w:rStyle w:val="VerbatimChar"/>
              </w:rPr>
              <w:t xml:space="preserve">GET /modeles</w:t>
            </w:r>
          </w:p>
        </w:tc>
        <w:tc>
          <w:tcPr/>
          <w:p>
            <w:pPr>
              <w:pStyle w:val="Compact"/>
              <w:jc w:val="left"/>
            </w:pPr>
            <w:r>
              <w:t xml:space="preserve">Liste des modèles, version active, responsable, date de calibrage</w:t>
            </w:r>
          </w:p>
        </w:tc>
        <w:tc>
          <w:tcPr/>
          <w:p>
            <w:pPr>
              <w:pStyle w:val="Compact"/>
              <w:jc w:val="left"/>
            </w:pPr>
            <w:r>
              <w:t xml:space="preserve">Analyste</w:t>
            </w:r>
          </w:p>
        </w:tc>
      </w:tr>
      <w:tr>
        <w:tc>
          <w:tcPr/>
          <w:p>
            <w:pPr>
              <w:pStyle w:val="Compact"/>
              <w:jc w:val="left"/>
            </w:pPr>
            <w:r>
              <w:rPr>
                <w:rStyle w:val="VerbatimChar"/>
              </w:rPr>
              <w:t xml:space="preserve">GET /modeles/{id}</w:t>
            </w:r>
          </w:p>
        </w:tc>
        <w:tc>
          <w:tcPr/>
          <w:p>
            <w:pPr>
              <w:pStyle w:val="Compact"/>
              <w:jc w:val="left"/>
            </w:pPr>
            <w:r>
              <w:t xml:space="preserve">Fiche d’identité complète, paramètres de choc, indicateurs</w:t>
            </w:r>
          </w:p>
        </w:tc>
        <w:tc>
          <w:tcPr/>
          <w:p>
            <w:pPr>
              <w:pStyle w:val="Compact"/>
              <w:jc w:val="left"/>
            </w:pPr>
            <w:r>
              <w:t xml:space="preserve">Analyste</w:t>
            </w:r>
          </w:p>
        </w:tc>
      </w:tr>
      <w:tr>
        <w:tc>
          <w:tcPr/>
          <w:p>
            <w:pPr>
              <w:pStyle w:val="Compact"/>
              <w:jc w:val="left"/>
            </w:pPr>
            <w:r>
              <w:rPr>
                <w:rStyle w:val="VerbatimChar"/>
              </w:rPr>
              <w:t xml:space="preserve">POST /modeles</w:t>
            </w:r>
            <w:r>
              <w:t xml:space="preserve"> </w:t>
            </w:r>
            <w:r>
              <w:t xml:space="preserve">·</w:t>
            </w:r>
            <w:r>
              <w:t xml:space="preserve"> </w:t>
            </w:r>
            <w:r>
              <w:rPr>
                <w:rStyle w:val="VerbatimChar"/>
              </w:rPr>
              <w:t xml:space="preserve">PATCH /modeles/{id}</w:t>
            </w:r>
          </w:p>
        </w:tc>
        <w:tc>
          <w:tcPr/>
          <w:p>
            <w:pPr>
              <w:pStyle w:val="Compact"/>
              <w:jc w:val="left"/>
            </w:pPr>
            <w:r>
              <w:t xml:space="preserve">Création et mise à jour d’une fiche de modèle</w:t>
            </w:r>
          </w:p>
        </w:tc>
        <w:tc>
          <w:tcPr/>
          <w:p>
            <w:pPr>
              <w:pStyle w:val="Compact"/>
              <w:jc w:val="left"/>
            </w:pPr>
            <w:r>
              <w:t xml:space="preserve">Administrateur</w:t>
            </w:r>
          </w:p>
        </w:tc>
      </w:tr>
      <w:tr>
        <w:tc>
          <w:tcPr/>
          <w:p>
            <w:pPr>
              <w:pStyle w:val="Compact"/>
              <w:jc w:val="left"/>
            </w:pPr>
            <w:r>
              <w:rPr>
                <w:rStyle w:val="VerbatimChar"/>
              </w:rPr>
              <w:t xml:space="preserve">POST /modeles/{id}/versions</w:t>
            </w:r>
          </w:p>
        </w:tc>
        <w:tc>
          <w:tcPr/>
          <w:p>
            <w:pPr>
              <w:pStyle w:val="Compact"/>
              <w:jc w:val="left"/>
            </w:pPr>
            <w:r>
              <w:t xml:space="preserve">Dépôt d’une version (téléversement multipart)</w:t>
            </w:r>
          </w:p>
        </w:tc>
        <w:tc>
          <w:tcPr/>
          <w:p>
            <w:pPr>
              <w:pStyle w:val="Compact"/>
              <w:jc w:val="left"/>
            </w:pPr>
            <w:r>
              <w:t xml:space="preserve">Administrateur</w:t>
            </w:r>
          </w:p>
        </w:tc>
      </w:tr>
      <w:tr>
        <w:tc>
          <w:tcPr/>
          <w:p>
            <w:pPr>
              <w:pStyle w:val="Compact"/>
              <w:jc w:val="left"/>
            </w:pPr>
            <w:r>
              <w:rPr>
                <w:rStyle w:val="VerbatimChar"/>
              </w:rPr>
              <w:t xml:space="preserve">GET /modeles/{id}/versions</w:t>
            </w:r>
          </w:p>
        </w:tc>
        <w:tc>
          <w:tcPr/>
          <w:p>
            <w:pPr>
              <w:pStyle w:val="Compact"/>
              <w:jc w:val="left"/>
            </w:pPr>
            <w:r>
              <w:t xml:space="preserve">Historique des versions et de leurs états</w:t>
            </w:r>
          </w:p>
        </w:tc>
        <w:tc>
          <w:tcPr/>
          <w:p>
            <w:pPr>
              <w:pStyle w:val="Compact"/>
              <w:jc w:val="left"/>
            </w:pPr>
            <w:r>
              <w:t xml:space="preserve">Analyste</w:t>
            </w:r>
          </w:p>
        </w:tc>
      </w:tr>
      <w:tr>
        <w:tc>
          <w:tcPr/>
          <w:p>
            <w:pPr>
              <w:pStyle w:val="Compact"/>
              <w:jc w:val="left"/>
            </w:pPr>
            <w:r>
              <w:rPr>
                <w:rStyle w:val="VerbatimChar"/>
              </w:rPr>
              <w:t xml:space="preserve">POST /versions/{id}/controles</w:t>
            </w:r>
          </w:p>
        </w:tc>
        <w:tc>
          <w:tcPr/>
          <w:p>
            <w:pPr>
              <w:pStyle w:val="Compact"/>
              <w:jc w:val="left"/>
            </w:pPr>
            <w:r>
              <w:t xml:space="preserve">Relance de la batterie de contrôles</w:t>
            </w:r>
          </w:p>
        </w:tc>
        <w:tc>
          <w:tcPr/>
          <w:p>
            <w:pPr>
              <w:pStyle w:val="Compact"/>
              <w:jc w:val="left"/>
            </w:pPr>
            <w:r>
              <w:t xml:space="preserve">Administrateur</w:t>
            </w:r>
          </w:p>
        </w:tc>
      </w:tr>
      <w:tr>
        <w:tc>
          <w:tcPr/>
          <w:p>
            <w:pPr>
              <w:pStyle w:val="Compact"/>
              <w:jc w:val="left"/>
            </w:pPr>
            <w:r>
              <w:rPr>
                <w:rStyle w:val="VerbatimChar"/>
              </w:rPr>
              <w:t xml:space="preserve">POST /versions/{id}/activation</w:t>
            </w:r>
          </w:p>
        </w:tc>
        <w:tc>
          <w:tcPr/>
          <w:p>
            <w:pPr>
              <w:pStyle w:val="Compact"/>
              <w:jc w:val="left"/>
            </w:pPr>
            <w:r>
              <w:t xml:space="preserve">Demande d’activation d’une version</w:t>
            </w:r>
          </w:p>
        </w:tc>
        <w:tc>
          <w:tcPr/>
          <w:p>
            <w:pPr>
              <w:pStyle w:val="Compact"/>
              <w:jc w:val="left"/>
            </w:pPr>
            <w:r>
              <w:t xml:space="preserve">Administrateur</w:t>
            </w:r>
          </w:p>
        </w:tc>
      </w:tr>
      <w:tr>
        <w:tc>
          <w:tcPr/>
          <w:p>
            <w:pPr>
              <w:pStyle w:val="Compact"/>
              <w:jc w:val="left"/>
            </w:pPr>
            <w:r>
              <w:rPr>
                <w:rStyle w:val="VerbatimChar"/>
              </w:rPr>
              <w:t xml:space="preserve">POST /versions/{id}/activation/approbation</w:t>
            </w:r>
          </w:p>
        </w:tc>
        <w:tc>
          <w:tcPr/>
          <w:p>
            <w:pPr>
              <w:pStyle w:val="Compact"/>
              <w:jc w:val="left"/>
            </w:pPr>
            <w:r>
              <w:t xml:space="preserve">Approbation ; la version devient active</w:t>
            </w:r>
          </w:p>
        </w:tc>
        <w:tc>
          <w:tcPr/>
          <w:p>
            <w:pPr>
              <w:pStyle w:val="Compact"/>
              <w:jc w:val="left"/>
            </w:pPr>
            <w:r>
              <w:t xml:space="preserve">Responsable de modèle</w:t>
            </w:r>
          </w:p>
        </w:tc>
      </w:tr>
      <w:tr>
        <w:tc>
          <w:tcPr/>
          <w:p>
            <w:pPr>
              <w:pStyle w:val="Compact"/>
              <w:jc w:val="left"/>
            </w:pPr>
            <w:r>
              <w:rPr>
                <w:rStyle w:val="VerbatimChar"/>
              </w:rPr>
              <w:t xml:space="preserve">POST /versions/{id}/derogation</w:t>
            </w:r>
          </w:p>
        </w:tc>
        <w:tc>
          <w:tcPr/>
          <w:p>
            <w:pPr>
              <w:pStyle w:val="Compact"/>
              <w:jc w:val="left"/>
            </w:pPr>
            <w:r>
              <w:t xml:space="preserve">Dérogation motivée à un contrôle bloquant</w:t>
            </w:r>
          </w:p>
        </w:tc>
        <w:tc>
          <w:tcPr/>
          <w:p>
            <w:pPr>
              <w:pStyle w:val="Compact"/>
              <w:jc w:val="left"/>
            </w:pPr>
            <w:r>
              <w:t xml:space="preserve">Administrateur</w:t>
            </w:r>
          </w:p>
        </w:tc>
      </w:tr>
      <w:tr>
        <w:tc>
          <w:tcPr/>
          <w:p>
            <w:pPr>
              <w:pStyle w:val="Compact"/>
              <w:jc w:val="left"/>
            </w:pPr>
            <w:r>
              <w:rPr>
                <w:rStyle w:val="VerbatimChar"/>
              </w:rPr>
              <w:t xml:space="preserve">GET /versions/{id}/diff</w:t>
            </w:r>
          </w:p>
        </w:tc>
        <w:tc>
          <w:tcPr/>
          <w:p>
            <w:pPr>
              <w:pStyle w:val="Compact"/>
              <w:jc w:val="left"/>
            </w:pPr>
            <w:r>
              <w:t xml:space="preserve">Comparaison de deux versions</w:t>
            </w:r>
          </w:p>
        </w:tc>
        <w:tc>
          <w:tcPr/>
          <w:p>
            <w:pPr>
              <w:pStyle w:val="Compact"/>
              <w:jc w:val="left"/>
            </w:pPr>
            <w:r>
              <w:t xml:space="preserve">Analyste</w:t>
            </w:r>
          </w:p>
        </w:tc>
      </w:tr>
      <w:tr>
        <w:tc>
          <w:tcPr/>
          <w:p>
            <w:pPr>
              <w:pStyle w:val="Compact"/>
              <w:jc w:val="left"/>
            </w:pPr>
            <w:r>
              <w:rPr>
                <w:rStyle w:val="VerbatimChar"/>
              </w:rPr>
              <w:t xml:space="preserve">POST /bases</w:t>
            </w:r>
            <w:r>
              <w:t xml:space="preserve"> </w:t>
            </w:r>
            <w:r>
              <w:t xml:space="preserve">·</w:t>
            </w:r>
            <w:r>
              <w:t xml:space="preserve"> </w:t>
            </w:r>
            <w:r>
              <w:rPr>
                <w:rStyle w:val="VerbatimChar"/>
              </w:rPr>
              <w:t xml:space="preserve">POST /bases/{id}/association</w:t>
            </w:r>
          </w:p>
        </w:tc>
        <w:tc>
          <w:tcPr/>
          <w:p>
            <w:pPr>
              <w:pStyle w:val="Compact"/>
              <w:jc w:val="left"/>
            </w:pPr>
            <w:r>
              <w:t xml:space="preserve">Dépôt d’une base de référence et association à des modèles</w:t>
            </w:r>
          </w:p>
        </w:tc>
        <w:tc>
          <w:tcPr/>
          <w:p>
            <w:pPr>
              <w:pStyle w:val="Compact"/>
              <w:jc w:val="left"/>
            </w:pPr>
            <w:r>
              <w:t xml:space="preserve">Administrateur</w:t>
            </w:r>
          </w:p>
        </w:tc>
      </w:tr>
      <w:tr>
        <w:tc>
          <w:tcPr/>
          <w:p>
            <w:pPr>
              <w:pStyle w:val="Compact"/>
              <w:jc w:val="left"/>
            </w:pPr>
            <w:r>
              <w:rPr>
                <w:rStyle w:val="VerbatimChar"/>
              </w:rPr>
              <w:t xml:space="preserve">GET /scenarios</w:t>
            </w:r>
            <w:r>
              <w:t xml:space="preserve"> </w:t>
            </w:r>
            <w:r>
              <w:t xml:space="preserve">·</w:t>
            </w:r>
            <w:r>
              <w:t xml:space="preserve"> </w:t>
            </w:r>
            <w:r>
              <w:rPr>
                <w:rStyle w:val="VerbatimChar"/>
              </w:rPr>
              <w:t xml:space="preserve">POST /scenarios</w:t>
            </w:r>
          </w:p>
        </w:tc>
        <w:tc>
          <w:tcPr/>
          <w:p>
            <w:pPr>
              <w:pStyle w:val="Compact"/>
              <w:jc w:val="left"/>
            </w:pPr>
            <w:r>
              <w:t xml:space="preserve">Scénarios disponibles, création d’un scénario et de ses chocs</w:t>
            </w:r>
          </w:p>
        </w:tc>
        <w:tc>
          <w:tcPr/>
          <w:p>
            <w:pPr>
              <w:pStyle w:val="Compact"/>
              <w:jc w:val="left"/>
            </w:pPr>
            <w:r>
              <w:t xml:space="preserve">Analyste</w:t>
            </w:r>
          </w:p>
        </w:tc>
      </w:tr>
      <w:tr>
        <w:tc>
          <w:tcPr/>
          <w:p>
            <w:pPr>
              <w:pStyle w:val="Compact"/>
              <w:jc w:val="left"/>
            </w:pPr>
            <w:r>
              <w:rPr>
                <w:rStyle w:val="VerbatimChar"/>
              </w:rPr>
              <w:t xml:space="preserve">POST /simulations</w:t>
            </w:r>
          </w:p>
        </w:tc>
        <w:tc>
          <w:tcPr/>
          <w:p>
            <w:pPr>
              <w:pStyle w:val="Compact"/>
              <w:jc w:val="left"/>
            </w:pPr>
            <w:r>
              <w:t xml:space="preserve">Création d’une simulation à l’état brouillon</w:t>
            </w:r>
          </w:p>
        </w:tc>
        <w:tc>
          <w:tcPr/>
          <w:p>
            <w:pPr>
              <w:pStyle w:val="Compact"/>
              <w:jc w:val="left"/>
            </w:pPr>
            <w:r>
              <w:t xml:space="preserve">Analyste</w:t>
            </w:r>
          </w:p>
        </w:tc>
      </w:tr>
      <w:tr>
        <w:tc>
          <w:tcPr/>
          <w:p>
            <w:pPr>
              <w:pStyle w:val="Compact"/>
              <w:jc w:val="left"/>
            </w:pPr>
            <w:r>
              <w:rPr>
                <w:rStyle w:val="VerbatimChar"/>
              </w:rPr>
              <w:t xml:space="preserve">POST /simulations/{id}/execution</w:t>
            </w:r>
          </w:p>
        </w:tc>
        <w:tc>
          <w:tcPr/>
          <w:p>
            <w:pPr>
              <w:pStyle w:val="Compact"/>
              <w:jc w:val="left"/>
            </w:pPr>
            <w:r>
              <w:t xml:space="preserve">Mise en file ; en-tête</w:t>
            </w:r>
            <w:r>
              <w:t xml:space="preserve"> </w:t>
            </w:r>
            <w:r>
              <w:rPr>
                <w:rStyle w:val="VerbatimChar"/>
              </w:rPr>
              <w:t xml:space="preserve">Idempotency-Key</w:t>
            </w:r>
            <w:r>
              <w:t xml:space="preserve"> </w:t>
            </w:r>
            <w:r>
              <w:t xml:space="preserve">obligatoire</w:t>
            </w:r>
          </w:p>
        </w:tc>
        <w:tc>
          <w:tcPr/>
          <w:p>
            <w:pPr>
              <w:pStyle w:val="Compact"/>
              <w:jc w:val="left"/>
            </w:pPr>
            <w:r>
              <w:t xml:space="preserve">Analyste</w:t>
            </w:r>
          </w:p>
        </w:tc>
      </w:tr>
      <w:tr>
        <w:tc>
          <w:tcPr/>
          <w:p>
            <w:pPr>
              <w:pStyle w:val="Compact"/>
              <w:jc w:val="left"/>
            </w:pPr>
            <w:r>
              <w:rPr>
                <w:rStyle w:val="VerbatimChar"/>
              </w:rPr>
              <w:t xml:space="preserve">GET /simulations/{id}</w:t>
            </w:r>
          </w:p>
        </w:tc>
        <w:tc>
          <w:tcPr/>
          <w:p>
            <w:pPr>
              <w:pStyle w:val="Compact"/>
              <w:jc w:val="left"/>
            </w:pPr>
            <w:r>
              <w:t xml:space="preserve">Fiche complète, état, contrôles, statut du solveur</w:t>
            </w:r>
          </w:p>
        </w:tc>
        <w:tc>
          <w:tcPr/>
          <w:p>
            <w:pPr>
              <w:pStyle w:val="Compact"/>
              <w:jc w:val="left"/>
            </w:pPr>
            <w:r>
              <w:t xml:space="preserve">Analyste</w:t>
            </w:r>
          </w:p>
        </w:tc>
      </w:tr>
      <w:tr>
        <w:tc>
          <w:tcPr/>
          <w:p>
            <w:pPr>
              <w:pStyle w:val="Compact"/>
              <w:jc w:val="left"/>
            </w:pPr>
            <w:r>
              <w:rPr>
                <w:rStyle w:val="VerbatimChar"/>
              </w:rPr>
              <w:t xml:space="preserve">GET /simulations/{id}/resultats</w:t>
            </w:r>
          </w:p>
        </w:tc>
        <w:tc>
          <w:tcPr/>
          <w:p>
            <w:pPr>
              <w:pStyle w:val="Compact"/>
              <w:jc w:val="left"/>
            </w:pPr>
            <w:r>
              <w:t xml:space="preserve">Résultats, filtrables par indicateur et période</w:t>
            </w:r>
          </w:p>
        </w:tc>
        <w:tc>
          <w:tcPr/>
          <w:p>
            <w:pPr>
              <w:pStyle w:val="Compact"/>
              <w:jc w:val="left"/>
            </w:pPr>
            <w:r>
              <w:t xml:space="preserve">Analyste</w:t>
            </w:r>
          </w:p>
        </w:tc>
      </w:tr>
      <w:tr>
        <w:tc>
          <w:tcPr/>
          <w:p>
            <w:pPr>
              <w:pStyle w:val="Compact"/>
              <w:jc w:val="left"/>
            </w:pPr>
            <w:r>
              <w:rPr>
                <w:rStyle w:val="VerbatimChar"/>
              </w:rPr>
              <w:t xml:space="preserve">DELETE /simulations/{id}/execution</w:t>
            </w:r>
          </w:p>
        </w:tc>
        <w:tc>
          <w:tcPr/>
          <w:p>
            <w:pPr>
              <w:pStyle w:val="Compact"/>
              <w:jc w:val="left"/>
            </w:pPr>
            <w:r>
              <w:t xml:space="preserve">Annulation</w:t>
            </w:r>
          </w:p>
        </w:tc>
        <w:tc>
          <w:tcPr/>
          <w:p>
            <w:pPr>
              <w:pStyle w:val="Compact"/>
              <w:jc w:val="left"/>
            </w:pPr>
            <w:r>
              <w:t xml:space="preserve">Auteur ou administrateur</w:t>
            </w:r>
          </w:p>
        </w:tc>
      </w:tr>
      <w:tr>
        <w:tc>
          <w:tcPr/>
          <w:p>
            <w:pPr>
              <w:pStyle w:val="Compact"/>
              <w:jc w:val="left"/>
            </w:pPr>
            <w:r>
              <w:rPr>
                <w:rStyle w:val="VerbatimChar"/>
              </w:rPr>
              <w:t xml:space="preserve">POST /simulations/{id}/statut</w:t>
            </w:r>
          </w:p>
        </w:tc>
        <w:tc>
          <w:tcPr/>
          <w:p>
            <w:pPr>
              <w:pStyle w:val="Compact"/>
              <w:jc w:val="left"/>
            </w:pPr>
            <w:r>
              <w:t xml:space="preserve">Passage à validée ou diffusable, motif obligatoire</w:t>
            </w:r>
          </w:p>
        </w:tc>
        <w:tc>
          <w:tcPr/>
          <w:p>
            <w:pPr>
              <w:pStyle w:val="Compact"/>
              <w:jc w:val="left"/>
            </w:pPr>
            <w:r>
              <w:t xml:space="preserve">Responsable ou validateur</w:t>
            </w:r>
          </w:p>
        </w:tc>
      </w:tr>
      <w:tr>
        <w:tc>
          <w:tcPr/>
          <w:p>
            <w:pPr>
              <w:pStyle w:val="Compact"/>
              <w:jc w:val="left"/>
            </w:pPr>
            <w:r>
              <w:rPr>
                <w:rStyle w:val="VerbatimChar"/>
              </w:rPr>
              <w:t xml:space="preserve">POST /simulations/{id}/rejeu</w:t>
            </w:r>
          </w:p>
        </w:tc>
        <w:tc>
          <w:tcPr/>
          <w:p>
            <w:pPr>
              <w:pStyle w:val="Compact"/>
              <w:jc w:val="left"/>
            </w:pPr>
            <w:r>
              <w:t xml:space="preserve">Réexécution à l’identique et comparaison des valeurs</w:t>
            </w:r>
          </w:p>
        </w:tc>
        <w:tc>
          <w:tcPr/>
          <w:p>
            <w:pPr>
              <w:pStyle w:val="Compact"/>
              <w:jc w:val="left"/>
            </w:pPr>
            <w:r>
              <w:t xml:space="preserve">Analyste</w:t>
            </w:r>
          </w:p>
        </w:tc>
      </w:tr>
      <w:tr>
        <w:tc>
          <w:tcPr/>
          <w:p>
            <w:pPr>
              <w:pStyle w:val="Compact"/>
              <w:jc w:val="left"/>
            </w:pPr>
            <w:r>
              <w:rPr>
                <w:rStyle w:val="VerbatimChar"/>
              </w:rPr>
              <w:t xml:space="preserve">GET /simulations</w:t>
            </w:r>
            <w:r>
              <w:t xml:space="preserve"> </w:t>
            </w:r>
            <w:r>
              <w:t xml:space="preserve">·</w:t>
            </w:r>
            <w:r>
              <w:t xml:space="preserve"> </w:t>
            </w:r>
            <w:r>
              <w:rPr>
                <w:rStyle w:val="VerbatimChar"/>
              </w:rPr>
              <w:t xml:space="preserve">GET /comparaisons</w:t>
            </w:r>
          </w:p>
        </w:tc>
        <w:tc>
          <w:tcPr/>
          <w:p>
            <w:pPr>
              <w:pStyle w:val="Compact"/>
              <w:jc w:val="left"/>
            </w:pPr>
            <w:r>
              <w:t xml:space="preserve">Historique filtré et paginé ; comparaison sur le socle</w:t>
            </w:r>
          </w:p>
        </w:tc>
        <w:tc>
          <w:tcPr/>
          <w:p>
            <w:pPr>
              <w:pStyle w:val="Compact"/>
              <w:jc w:val="left"/>
            </w:pPr>
            <w:r>
              <w:t xml:space="preserve">Analyste</w:t>
            </w:r>
          </w:p>
        </w:tc>
      </w:tr>
      <w:tr>
        <w:tc>
          <w:tcPr/>
          <w:p>
            <w:pPr>
              <w:pStyle w:val="Compact"/>
              <w:jc w:val="left"/>
            </w:pPr>
            <w:r>
              <w:rPr>
                <w:rStyle w:val="VerbatimChar"/>
              </w:rPr>
              <w:t xml:space="preserve">POST /exports</w:t>
            </w:r>
          </w:p>
        </w:tc>
        <w:tc>
          <w:tcPr/>
          <w:p>
            <w:pPr>
              <w:pStyle w:val="Compact"/>
              <w:jc w:val="left"/>
            </w:pPr>
            <w:r>
              <w:t xml:space="preserve">Génération d’un export Excel, PDF ou Word</w:t>
            </w:r>
          </w:p>
        </w:tc>
        <w:tc>
          <w:tcPr/>
          <w:p>
            <w:pPr>
              <w:pStyle w:val="Compact"/>
              <w:jc w:val="left"/>
            </w:pPr>
            <w:r>
              <w:t xml:space="preserve">Analyste</w:t>
            </w:r>
          </w:p>
        </w:tc>
      </w:tr>
      <w:tr>
        <w:tc>
          <w:tcPr/>
          <w:p>
            <w:pPr>
              <w:pStyle w:val="Compact"/>
              <w:jc w:val="left"/>
            </w:pPr>
            <w:r>
              <w:rPr>
                <w:rStyle w:val="VerbatimChar"/>
              </w:rPr>
              <w:t xml:space="preserve">POST /rapports</w:t>
            </w:r>
            <w:r>
              <w:t xml:space="preserve"> </w:t>
            </w:r>
            <w:r>
              <w:t xml:space="preserve">·</w:t>
            </w:r>
            <w:r>
              <w:t xml:space="preserve"> </w:t>
            </w:r>
            <w:r>
              <w:rPr>
                <w:rStyle w:val="VerbatimChar"/>
              </w:rPr>
              <w:t xml:space="preserve">POST /rapports/{id}/statut</w:t>
            </w:r>
          </w:p>
        </w:tc>
        <w:tc>
          <w:tcPr/>
          <w:p>
            <w:pPr>
              <w:pStyle w:val="Compact"/>
              <w:jc w:val="left"/>
            </w:pPr>
            <w:r>
              <w:t xml:space="preserve">Projet de rapport et changement de statut</w:t>
            </w:r>
          </w:p>
        </w:tc>
        <w:tc>
          <w:tcPr/>
          <w:p>
            <w:pPr>
              <w:pStyle w:val="Compact"/>
              <w:jc w:val="left"/>
            </w:pPr>
            <w:r>
              <w:t xml:space="preserve">Analyste, validateur</w:t>
            </w:r>
          </w:p>
        </w:tc>
      </w:tr>
      <w:tr>
        <w:tc>
          <w:tcPr/>
          <w:p>
            <w:pPr>
              <w:pStyle w:val="Compact"/>
              <w:jc w:val="left"/>
            </w:pPr>
            <w:r>
              <w:rPr>
                <w:rStyle w:val="VerbatimChar"/>
              </w:rPr>
              <w:t xml:space="preserve">POST /assistant/message</w:t>
            </w:r>
          </w:p>
        </w:tc>
        <w:tc>
          <w:tcPr/>
          <w:p>
            <w:pPr>
              <w:pStyle w:val="Compact"/>
              <w:jc w:val="left"/>
            </w:pPr>
            <w:r>
              <w:t xml:space="preserve">Tour de conversation, renvoie une proposition structurée</w:t>
            </w:r>
          </w:p>
        </w:tc>
        <w:tc>
          <w:tcPr/>
          <w:p>
            <w:pPr>
              <w:pStyle w:val="Compact"/>
              <w:jc w:val="left"/>
            </w:pPr>
            <w:r>
              <w:t xml:space="preserve">Analyste</w:t>
            </w:r>
          </w:p>
        </w:tc>
      </w:tr>
      <w:tr>
        <w:tc>
          <w:tcPr/>
          <w:p>
            <w:pPr>
              <w:pStyle w:val="Compact"/>
              <w:jc w:val="left"/>
            </w:pPr>
            <w:r>
              <w:rPr>
                <w:rStyle w:val="VerbatimChar"/>
              </w:rPr>
              <w:t xml:space="preserve">POST /copilote/analyse</w:t>
            </w:r>
          </w:p>
        </w:tc>
        <w:tc>
          <w:tcPr/>
          <w:p>
            <w:pPr>
              <w:pStyle w:val="Compact"/>
              <w:jc w:val="left"/>
            </w:pPr>
            <w:r>
              <w:t xml:space="preserve">Analyse d’impact d’une modification décrite en langage courant</w:t>
            </w:r>
          </w:p>
        </w:tc>
        <w:tc>
          <w:tcPr/>
          <w:p>
            <w:pPr>
              <w:pStyle w:val="Compact"/>
              <w:jc w:val="left"/>
            </w:pPr>
            <w:r>
              <w:t xml:space="preserve">Administrateur</w:t>
            </w:r>
          </w:p>
        </w:tc>
      </w:tr>
      <w:tr>
        <w:tc>
          <w:tcPr/>
          <w:p>
            <w:pPr>
              <w:pStyle w:val="Compact"/>
              <w:jc w:val="left"/>
            </w:pPr>
            <w:r>
              <w:rPr>
                <w:rStyle w:val="VerbatimChar"/>
              </w:rPr>
              <w:t xml:space="preserve">GET /journal</w:t>
            </w:r>
          </w:p>
        </w:tc>
        <w:tc>
          <w:tcPr/>
          <w:p>
            <w:pPr>
              <w:pStyle w:val="Compact"/>
              <w:jc w:val="left"/>
            </w:pPr>
            <w:r>
              <w:t xml:space="preserve">Journal des actions, filtré et exportable</w:t>
            </w:r>
          </w:p>
        </w:tc>
        <w:tc>
          <w:tcPr/>
          <w:p>
            <w:pPr>
              <w:pStyle w:val="Compact"/>
              <w:jc w:val="left"/>
            </w:pPr>
            <w:r>
              <w:t xml:space="preserve">Administrateur</w:t>
            </w:r>
          </w:p>
        </w:tc>
      </w:tr>
      <w:tr>
        <w:tc>
          <w:tcPr/>
          <w:p>
            <w:pPr>
              <w:pStyle w:val="Compact"/>
              <w:jc w:val="left"/>
            </w:pPr>
            <w:r>
              <w:rPr>
                <w:rStyle w:val="VerbatimChar"/>
              </w:rPr>
              <w:t xml:space="preserve">GET /consommation</w:t>
            </w:r>
          </w:p>
        </w:tc>
        <w:tc>
          <w:tcPr/>
          <w:p>
            <w:pPr>
              <w:pStyle w:val="Compact"/>
              <w:jc w:val="left"/>
            </w:pPr>
            <w:r>
              <w:t xml:space="preserve">Consommation du moteur et du service d’IA par période</w:t>
            </w:r>
          </w:p>
        </w:tc>
        <w:tc>
          <w:tcPr/>
          <w:p>
            <w:pPr>
              <w:pStyle w:val="Compact"/>
              <w:jc w:val="left"/>
            </w:pPr>
            <w:r>
              <w:t xml:space="preserve">Administrateur</w:t>
            </w:r>
          </w:p>
        </w:tc>
      </w:tr>
      <w:tr>
        <w:tc>
          <w:tcPr/>
          <w:p>
            <w:pPr>
              <w:pStyle w:val="Compact"/>
              <w:jc w:val="left"/>
            </w:pPr>
            <w:r>
              <w:rPr>
                <w:rStyle w:val="VerbatimChar"/>
              </w:rPr>
              <w:t xml:space="preserve">GET /sante</w:t>
            </w:r>
          </w:p>
        </w:tc>
        <w:tc>
          <w:tcPr/>
          <w:p>
            <w:pPr>
              <w:pStyle w:val="Compact"/>
              <w:jc w:val="left"/>
            </w:pPr>
            <w:r>
              <w:t xml:space="preserve">Sonde technique : base, file, moteur, service d’IA</w:t>
            </w:r>
          </w:p>
        </w:tc>
        <w:tc>
          <w:tcPr/>
          <w:p>
            <w:pPr>
              <w:pStyle w:val="Compact"/>
              <w:jc w:val="left"/>
            </w:pPr>
            <w:r>
              <w:t xml:space="preserve">Ouvert en interne</w:t>
            </w:r>
          </w:p>
        </w:tc>
      </w:tr>
    </w:tbl>
    <w:p>
      <w:pPr>
        <w:pStyle w:val="BodyText"/>
      </w:pPr>
      <w:r>
        <w:rPr>
          <w:bCs/>
          <w:b/>
        </w:rPr>
        <w:t xml:space="preserve">Codes d’erreur métier.</w:t>
      </w:r>
      <w:r>
        <w:t xml:space="preserve"> </w:t>
      </w:r>
      <w:r>
        <w:t xml:space="preserve">L’enveloppe d’erreur porte un code stable, indépendant du libellé :</w:t>
      </w:r>
      <w:r>
        <w:t xml:space="preserve"> </w:t>
      </w:r>
      <w:r>
        <w:rPr>
          <w:rStyle w:val="VerbatimChar"/>
        </w:rPr>
        <w:t xml:space="preserve">AUTH_REQUISE</w:t>
      </w:r>
      <w:r>
        <w:t xml:space="preserve"> </w:t>
      </w:r>
      <w:r>
        <w:t xml:space="preserve">et</w:t>
      </w:r>
      <w:r>
        <w:t xml:space="preserve"> </w:t>
      </w:r>
      <w:r>
        <w:rPr>
          <w:rStyle w:val="VerbatimChar"/>
        </w:rPr>
        <w:t xml:space="preserve">DROIT_INSUFFISANT</w:t>
      </w:r>
      <w:r>
        <w:t xml:space="preserve"> </w:t>
      </w:r>
      <w:r>
        <w:t xml:space="preserve">(401, 403) ;</w:t>
      </w:r>
      <w:r>
        <w:t xml:space="preserve"> </w:t>
      </w:r>
      <w:r>
        <w:rPr>
          <w:rStyle w:val="VerbatimChar"/>
        </w:rPr>
        <w:t xml:space="preserve">MODELE_SANS_VERSION_ACTIVE</w:t>
      </w:r>
      <w:r>
        <w:t xml:space="preserve"> </w:t>
      </w:r>
      <w:r>
        <w:t xml:space="preserve">et conflit de concurrence (409) ;</w:t>
      </w:r>
      <w:r>
        <w:t xml:space="preserve"> </w:t>
      </w:r>
      <w:r>
        <w:rPr>
          <w:rStyle w:val="VerbatimChar"/>
        </w:rPr>
        <w:t xml:space="preserve">PARAMETRE_NON_DECLARE</w:t>
      </w:r>
      <w:r>
        <w:t xml:space="preserve"> </w:t>
      </w:r>
      <w:r>
        <w:t xml:space="preserve">et</w:t>
      </w:r>
      <w:r>
        <w:t xml:space="preserve"> </w:t>
      </w:r>
      <w:r>
        <w:rPr>
          <w:rStyle w:val="VerbatimChar"/>
        </w:rPr>
        <w:t xml:space="preserve">BORNE_DEPASSEE</w:t>
      </w:r>
      <w:r>
        <w:t xml:space="preserve"> </w:t>
      </w:r>
      <w:r>
        <w:t xml:space="preserve">(422) ;</w:t>
      </w:r>
      <w:r>
        <w:t xml:space="preserve"> </w:t>
      </w:r>
      <w:r>
        <w:rPr>
          <w:rStyle w:val="VerbatimChar"/>
        </w:rPr>
        <w:t xml:space="preserve">CONTROLE_BLOQUANT</w:t>
      </w:r>
      <w:r>
        <w:t xml:space="preserve"> </w:t>
      </w:r>
      <w:r>
        <w:t xml:space="preserve">(422) ;</w:t>
      </w:r>
      <w:r>
        <w:t xml:space="preserve"> </w:t>
      </w:r>
      <w:r>
        <w:rPr>
          <w:rStyle w:val="VerbatimChar"/>
        </w:rPr>
        <w:t xml:space="preserve">CAPACITE_MOTEUR_ATTEINTE</w:t>
      </w:r>
      <w:r>
        <w:t xml:space="preserve"> </w:t>
      </w:r>
      <w:r>
        <w:t xml:space="preserve">(503). Le libellé affiché est en français et compréhensible par un non-spécialiste ; le détail technique reste dans le journal.</w:t>
      </w:r>
    </w:p>
    <w:bookmarkEnd w:id="73"/>
    <w:bookmarkEnd w:id="74"/>
    <w:bookmarkStart w:id="77" w:name="lotissement"/>
    <w:p>
      <w:pPr>
        <w:pStyle w:val="Heading2"/>
      </w:pPr>
      <w:r>
        <w:t xml:space="preserve">12. Lotissement</w:t>
      </w:r>
    </w:p>
    <w:p>
      <w:pPr>
        <w:pStyle w:val="FirstParagraph"/>
      </w:pPr>
      <w:r>
        <w:t xml:space="preserve">Huit lots, alternant les deux domaines de manière que chacun ait une livraison visible dans la première année. Une équipe unique ne peut pas tenir deux files strictement parallèles : l’alternance est le prix de la fusion, et ce qui la rend supportable. Les durées sont à chiffrer par la maîtrise d’œuvre.</w:t>
      </w:r>
    </w:p>
    <w:tbl>
      <w:tblPr>
        <w:tblStyle w:val="Table"/>
        <w:tblW w:type="dxa" w:w="9354"/>
        <w:tblLayout w:type="fixed"/>
        <w:tblLook w:firstRow="1" w:lastRow="0" w:firstColumn="0" w:lastColumn="0" w:noHBand="0" w:noVBand="0" w:val="0020"/>
        <w:jc w:val="start"/>
      </w:tblPr>
      <w:tblGrid>
        <w:gridCol w:w="2068"/>
        <w:gridCol w:w="3644"/>
        <w:gridCol w:w="1472"/>
        <w:gridCol w:w="2170"/>
      </w:tblGrid>
      <w:tr>
        <w:trPr>
          <w:tblHeader w:val="true"/>
        </w:trPr>
        <w:tc>
          <w:tcPr/>
          <w:p>
            <w:pPr>
              <w:pStyle w:val="Compact"/>
              <w:jc w:val="left"/>
            </w:pPr>
            <w:r>
              <w:t xml:space="preserve">Lot</w:t>
            </w:r>
          </w:p>
        </w:tc>
        <w:tc>
          <w:tcPr/>
          <w:p>
            <w:pPr>
              <w:pStyle w:val="Compact"/>
              <w:jc w:val="left"/>
            </w:pPr>
            <w:r>
              <w:t xml:space="preserve">Contenu</w:t>
            </w:r>
          </w:p>
        </w:tc>
        <w:tc>
          <w:tcPr/>
          <w:p>
            <w:pPr>
              <w:pStyle w:val="Compact"/>
              <w:jc w:val="left"/>
            </w:pPr>
            <w:r>
              <w:t xml:space="preserve">Domaine</w:t>
            </w:r>
          </w:p>
        </w:tc>
        <w:tc>
          <w:tcPr/>
          <w:p>
            <w:pPr>
              <w:pStyle w:val="Compact"/>
              <w:jc w:val="left"/>
            </w:pPr>
            <w:r>
              <w:t xml:space="preserve">Condition de démarrage</w:t>
            </w:r>
          </w:p>
        </w:tc>
      </w:tr>
      <w:tr>
        <w:tc>
          <w:tcPr/>
          <w:p>
            <w:pPr>
              <w:pStyle w:val="Compact"/>
              <w:jc w:val="left"/>
            </w:pPr>
            <w:r>
              <w:rPr>
                <w:bCs/>
                <w:b/>
              </w:rPr>
              <w:t xml:space="preserve">0 — Socle</w:t>
            </w:r>
          </w:p>
        </w:tc>
        <w:tc>
          <w:tcPr/>
          <w:p>
            <w:pPr>
              <w:pStyle w:val="Compact"/>
              <w:jc w:val="left"/>
            </w:pPr>
            <w:r>
              <w:t xml:space="preserve">Référentiel organisationnel complet — divisions, sections, cellules et secrétariat de direction —, dossiers agents, annuaire, comptes internes et externes,</w:t>
            </w:r>
            <w:r>
              <w:t xml:space="preserve"> </w:t>
            </w:r>
            <w:r>
              <w:rPr>
                <w:bCs/>
                <w:b/>
              </w:rPr>
              <w:t xml:space="preserve">administration effective des comptes et paramétrage</w:t>
            </w:r>
            <w:r>
              <w:t xml:space="preserve">, habilitations à deux axes, suppléances, journal d’audit, GED, notifications, portail, conteneurisation</w:t>
            </w:r>
          </w:p>
        </w:tc>
        <w:tc>
          <w:tcPr/>
          <w:p>
            <w:pPr>
              <w:pStyle w:val="Compact"/>
              <w:jc w:val="left"/>
            </w:pPr>
            <w:r>
              <w:t xml:space="preserve">Socle</w:t>
            </w:r>
          </w:p>
        </w:tc>
        <w:tc>
          <w:tcPr/>
          <w:p>
            <w:pPr>
              <w:pStyle w:val="Compact"/>
              <w:jc w:val="left"/>
            </w:pPr>
            <w:r>
              <w:t xml:space="preserve">Décisions D-01 à D-10 rendues</w:t>
            </w:r>
          </w:p>
        </w:tc>
      </w:tr>
      <w:tr>
        <w:tc>
          <w:tcPr/>
          <w:p>
            <w:pPr>
              <w:pStyle w:val="Compact"/>
              <w:jc w:val="left"/>
            </w:pPr>
            <w:r>
              <w:rPr>
                <w:bCs/>
                <w:b/>
              </w:rPr>
              <w:t xml:space="preserve">1 — Pilotage et référentiel des modèles</w:t>
            </w:r>
          </w:p>
        </w:tc>
        <w:tc>
          <w:tcPr/>
          <w:p>
            <w:pPr>
              <w:pStyle w:val="Compact"/>
              <w:jc w:val="left"/>
            </w:pPr>
            <w:r>
              <w:t xml:space="preserve">Plan de travail, activités, tâches, réunions et décisions, messagerie avec pièces jointes et transmission, annonces, sondages, suggestions, recherche transverse, tableaux de bord, exports ;</w:t>
            </w:r>
            <w:r>
              <w:t xml:space="preserve"> </w:t>
            </w:r>
            <w:r>
              <w:rPr>
                <w:bCs/>
                <w:b/>
              </w:rPr>
              <w:t xml:space="preserve">intégration d’un modèle au référentiel</w:t>
            </w:r>
            <w:r>
              <w:t xml:space="preserve">, versions, bases, données et séries, sans exécution</w:t>
            </w:r>
          </w:p>
        </w:tc>
        <w:tc>
          <w:tcPr/>
          <w:p>
            <w:pPr>
              <w:pStyle w:val="Compact"/>
              <w:jc w:val="left"/>
            </w:pPr>
            <w:r>
              <w:t xml:space="preserve">A et B</w:t>
            </w:r>
          </w:p>
        </w:tc>
        <w:tc>
          <w:tcPr/>
          <w:p>
            <w:pPr>
              <w:pStyle w:val="Compact"/>
              <w:jc w:val="left"/>
            </w:pPr>
            <w:r>
              <w:t xml:space="preserve">Réception du lot 0 ; registre des modèles approuvé.</w:t>
            </w:r>
            <w:r>
              <w:t xml:space="preserve"> </w:t>
            </w:r>
            <w:r>
              <w:rPr>
                <w:bCs/>
                <w:b/>
              </w:rPr>
              <w:t xml:space="preserve">Réception partielle par domaine admise</w:t>
            </w:r>
            <w:r>
              <w:t xml:space="preserve"> </w:t>
            </w:r>
            <w:r>
              <w:t xml:space="preserve">(section 13.3)</w:t>
            </w:r>
          </w:p>
        </w:tc>
      </w:tr>
      <w:tr>
        <w:tc>
          <w:tcPr/>
          <w:p>
            <w:pPr>
              <w:pStyle w:val="Compact"/>
              <w:jc w:val="left"/>
            </w:pPr>
            <w:r>
              <w:rPr>
                <w:bCs/>
                <w:b/>
              </w:rPr>
              <w:t xml:space="preserve">2 — Exécution GAMS</w:t>
            </w:r>
          </w:p>
        </w:tc>
        <w:tc>
          <w:tcPr/>
          <w:p>
            <w:pPr>
              <w:pStyle w:val="Compact"/>
              <w:jc w:val="left"/>
            </w:pPr>
            <w:r>
              <w:t xml:space="preserve">Scénario de référence et choc sur un modèle témoin, lecture GDX par nom, batterie de contrôles, fiche de simulation, bibliothèque de chocs, test de sensibilité, comparaison multi-scénarios, rejeu, export Excel et PDF</w:t>
            </w:r>
          </w:p>
        </w:tc>
        <w:tc>
          <w:tcPr/>
          <w:p>
            <w:pPr>
              <w:pStyle w:val="Compact"/>
              <w:jc w:val="left"/>
            </w:pPr>
            <w:r>
              <w:t xml:space="preserve">B</w:t>
            </w:r>
          </w:p>
        </w:tc>
        <w:tc>
          <w:tcPr/>
          <w:p>
            <w:pPr>
              <w:pStyle w:val="Compact"/>
              <w:jc w:val="left"/>
            </w:pPr>
            <w:r>
              <w:t xml:space="preserve">Réception du lot 1</w:t>
            </w:r>
          </w:p>
        </w:tc>
      </w:tr>
      <w:tr>
        <w:tc>
          <w:tcPr/>
          <w:p>
            <w:pPr>
              <w:pStyle w:val="Compact"/>
              <w:jc w:val="left"/>
            </w:pPr>
            <w:r>
              <w:rPr>
                <w:bCs/>
                <w:b/>
              </w:rPr>
              <w:t xml:space="preserve">3 — Flux administratifs</w:t>
            </w:r>
          </w:p>
        </w:tc>
        <w:tc>
          <w:tcPr/>
          <w:p>
            <w:pPr>
              <w:pStyle w:val="Compact"/>
              <w:jc w:val="left"/>
            </w:pPr>
            <w:r>
              <w:t xml:space="preserve">Congés, absences, missions, stages et rapports, effectifs, carrière et actes des ressources humaines, documents générés, enrichissement de la GED, notifications SMS</w:t>
            </w:r>
          </w:p>
        </w:tc>
        <w:tc>
          <w:tcPr/>
          <w:p>
            <w:pPr>
              <w:pStyle w:val="Compact"/>
              <w:jc w:val="left"/>
            </w:pPr>
            <w:r>
              <w:t xml:space="preserve">A</w:t>
            </w:r>
          </w:p>
        </w:tc>
        <w:tc>
          <w:tcPr/>
          <w:p>
            <w:pPr>
              <w:pStyle w:val="Compact"/>
              <w:jc w:val="left"/>
            </w:pPr>
            <w:r>
              <w:t xml:space="preserve">Règles de gestion des congés écrites et validées par les RH</w:t>
            </w:r>
          </w:p>
        </w:tc>
      </w:tr>
      <w:tr>
        <w:tc>
          <w:tcPr/>
          <w:p>
            <w:pPr>
              <w:pStyle w:val="Compact"/>
              <w:jc w:val="left"/>
            </w:pPr>
            <w:r>
              <w:rPr>
                <w:bCs/>
                <w:b/>
              </w:rPr>
              <w:t xml:space="preserve">4 — Famille A complète</w:t>
            </w:r>
          </w:p>
        </w:tc>
        <w:tc>
          <w:tcPr/>
          <w:p>
            <w:pPr>
              <w:pStyle w:val="Compact"/>
              <w:jc w:val="left"/>
            </w:pPr>
            <w:r>
              <w:t xml:space="preserve">Intégration des autres modèles GAMS, licence serveur dimensionnée, exécutions concurrentes, couche assistée</w:t>
            </w:r>
          </w:p>
        </w:tc>
        <w:tc>
          <w:tcPr/>
          <w:p>
            <w:pPr>
              <w:pStyle w:val="Compact"/>
              <w:jc w:val="left"/>
            </w:pPr>
            <w:r>
              <w:t xml:space="preserve">B</w:t>
            </w:r>
          </w:p>
        </w:tc>
        <w:tc>
          <w:tcPr/>
          <w:p>
            <w:pPr>
              <w:pStyle w:val="Compact"/>
              <w:jc w:val="left"/>
            </w:pPr>
            <w:r>
              <w:t xml:space="preserve">Démonstration du lot 2 concluante et moyens engagés</w:t>
            </w:r>
          </w:p>
        </w:tc>
      </w:tr>
      <w:tr>
        <w:tc>
          <w:tcPr/>
          <w:p>
            <w:pPr>
              <w:pStyle w:val="Compact"/>
              <w:jc w:val="left"/>
            </w:pPr>
            <w:r>
              <w:rPr>
                <w:bCs/>
                <w:b/>
              </w:rPr>
              <w:t xml:space="preserve">5 — Rémunération et actes</w:t>
            </w:r>
          </w:p>
        </w:tc>
        <w:tc>
          <w:tcPr/>
          <w:p>
            <w:pPr>
              <w:pStyle w:val="Compact"/>
              <w:jc w:val="left"/>
            </w:pPr>
            <w:r>
              <w:t xml:space="preserve">Campagnes de paie, bulletins, éléments de rémunération, ordres de paiement, missions et indemnités, suivi budgétaire de gestion, états financiers, attestations et actes générés, instructions de la Direction, courrier, logistique</w:t>
            </w:r>
          </w:p>
        </w:tc>
        <w:tc>
          <w:tcPr/>
          <w:p>
            <w:pPr>
              <w:pStyle w:val="Compact"/>
              <w:jc w:val="left"/>
            </w:pPr>
            <w:r>
              <w:t xml:space="preserve">A</w:t>
            </w:r>
          </w:p>
        </w:tc>
        <w:tc>
          <w:tcPr/>
          <w:p>
            <w:pPr>
              <w:pStyle w:val="Compact"/>
              <w:jc w:val="left"/>
            </w:pPr>
            <w:r>
              <w:t xml:space="preserve">Hébergement définitif arbitré, test d’intrusion réalisé, référentiel des agents fiabilisé</w:t>
            </w:r>
          </w:p>
        </w:tc>
      </w:tr>
      <w:tr>
        <w:tc>
          <w:tcPr/>
          <w:p>
            <w:pPr>
              <w:pStyle w:val="Compact"/>
              <w:jc w:val="left"/>
            </w:pPr>
            <w:r>
              <w:rPr>
                <w:bCs/>
                <w:b/>
              </w:rPr>
              <w:t xml:space="preserve">6 — Familles B et C</w:t>
            </w:r>
          </w:p>
        </w:tc>
        <w:tc>
          <w:tcPr/>
          <w:p>
            <w:pPr>
              <w:pStyle w:val="Compact"/>
              <w:jc w:val="left"/>
            </w:pPr>
            <w:r>
              <w:t xml:space="preserve">Programmation financière trimestrielle, TOFE, module dette, IHPC, PIB_3FEUILLES, PIB_DEMANDE, Input-Output</w:t>
            </w:r>
          </w:p>
        </w:tc>
        <w:tc>
          <w:tcPr/>
          <w:p>
            <w:pPr>
              <w:pStyle w:val="Compact"/>
              <w:jc w:val="left"/>
            </w:pPr>
            <w:r>
              <w:t xml:space="preserve">B</w:t>
            </w:r>
          </w:p>
        </w:tc>
        <w:tc>
          <w:tcPr/>
          <w:p>
            <w:pPr>
              <w:pStyle w:val="Compact"/>
              <w:jc w:val="left"/>
            </w:pPr>
            <w:r>
              <w:t xml:space="preserve">Voie Excel ou Python arbitrée ; non-régression vérifiée sur un exercice témoin</w:t>
            </w:r>
          </w:p>
        </w:tc>
      </w:tr>
      <w:tr>
        <w:tc>
          <w:tcPr/>
          <w:p>
            <w:pPr>
              <w:pStyle w:val="Compact"/>
              <w:jc w:val="left"/>
            </w:pPr>
            <w:r>
              <w:rPr>
                <w:bCs/>
                <w:b/>
              </w:rPr>
              <w:t xml:space="preserve">7 — Rapports et enchaînements</w:t>
            </w:r>
          </w:p>
        </w:tc>
        <w:tc>
          <w:tcPr/>
          <w:p>
            <w:pPr>
              <w:pStyle w:val="Compact"/>
              <w:jc w:val="left"/>
            </w:pPr>
            <w:r>
              <w:t xml:space="preserve">RPEF, notes de conjoncture, éléments de cadrage du CDMT, enchaînements supervisés entre modèles</w:t>
            </w:r>
          </w:p>
        </w:tc>
        <w:tc>
          <w:tcPr/>
          <w:p>
            <w:pPr>
              <w:pStyle w:val="Compact"/>
              <w:jc w:val="left"/>
            </w:pPr>
            <w:r>
              <w:t xml:space="preserve">B</w:t>
            </w:r>
          </w:p>
        </w:tc>
        <w:tc>
          <w:tcPr/>
          <w:p>
            <w:pPr>
              <w:pStyle w:val="Compact"/>
              <w:jc w:val="left"/>
            </w:pPr>
            <w:r>
              <w:t xml:space="preserve">Un exercice trimestriel produit depuis le produit</w:t>
            </w:r>
          </w:p>
        </w:tc>
      </w:tr>
    </w:tbl>
    <w:p>
      <w:pPr>
        <w:pStyle w:val="BodyText"/>
      </w:pPr>
      <w:r>
        <w:rPr>
          <w:bCs/>
          <w:b/>
        </w:rPr>
        <w:t xml:space="preserve">Point de décision.</w:t>
      </w:r>
      <w:r>
        <w:t xml:space="preserve"> </w:t>
      </w:r>
      <w:r>
        <w:t xml:space="preserve">Le lot 2 se conclut par une démonstration à la Direction sur un modèle réel. Les moyens des lots suivants — licence serveur, contrat d’IA, hébergement définitif — ne sont engagés qu’après cette démonstration.</w:t>
      </w:r>
    </w:p>
    <w:p>
      <w:pPr>
        <w:pStyle w:val="BodyText"/>
      </w:pPr>
      <w:r>
        <w:rPr>
          <w:bCs/>
          <w:b/>
        </w:rPr>
        <w:t xml:space="preserve">Deux réserves de séquencement.</w:t>
      </w:r>
      <w:r>
        <w:t xml:space="preserve"> </w:t>
      </w:r>
      <w:r>
        <w:t xml:space="preserve">Le lot 5 est placé tard non par ordre d’importance, mais parce qu’il dépend de données propres, d’un hébergement arbitré et d’un niveau de sécurité éprouvé : publier des bulletins adossés à des dossiers incomplets, sur un hébergement provisoire, exposerait la Direction à un incident dont le coût dépasserait le bénéfice d’une livraison anticipée. Et le domaine B ne peut plus être mis en service avant le socle, ce qui n’était pas le cas quand les deux projets étaient séparés.</w:t>
      </w:r>
    </w:p>
    <w:bookmarkStart w:id="75" w:name="travaux-à-lancer-sans-attendre"/>
    <w:p>
      <w:pPr>
        <w:pStyle w:val="Heading3"/>
      </w:pPr>
      <w:r>
        <w:t xml:space="preserve">12.1 Travaux à lancer sans attendre</w:t>
      </w:r>
    </w:p>
    <w:p>
      <w:pPr>
        <w:pStyle w:val="FirstParagraph"/>
      </w:pPr>
      <w:r>
        <w:t xml:space="preserve">Deux chantiers ne dépendent ni du marché, ni du budget, ni d’un arbitrage technique, et conditionnent le lot 1. Ils sont conduits en interne, en parallèle de la finalisation du dossier.</w:t>
      </w:r>
    </w:p>
    <w:p>
      <w:pPr>
        <w:numPr>
          <w:ilvl w:val="0"/>
          <w:numId w:val="1013"/>
        </w:numPr>
        <w:pStyle w:val="Compact"/>
      </w:pPr>
      <w:r>
        <w:rPr>
          <w:bCs/>
          <w:b/>
        </w:rPr>
        <w:t xml:space="preserve">État des lieux du parc de modèles et désignation des versions faisant foi</w:t>
      </w:r>
      <w:r>
        <w:t xml:space="preserve">, deux à trois semaines de travail d’économistes, aboutissant à un registre des modèles approuvé par le chef de division.</w:t>
      </w:r>
    </w:p>
    <w:p>
      <w:pPr>
        <w:numPr>
          <w:ilvl w:val="0"/>
          <w:numId w:val="1013"/>
        </w:numPr>
        <w:pStyle w:val="Compact"/>
      </w:pPr>
      <w:r>
        <w:rPr>
          <w:bCs/>
          <w:b/>
        </w:rPr>
        <w:t xml:space="preserve">Reprise de l’existant côté agents</w:t>
      </w:r>
      <w:r>
        <w:t xml:space="preserve"> </w:t>
      </w:r>
      <w:r>
        <w:t xml:space="preserve">: fiabilisation des matricules, statuts, grades et rattachements, conduite par les RH et la CSID.</w:t>
      </w:r>
    </w:p>
    <w:bookmarkEnd w:id="75"/>
    <w:bookmarkStart w:id="76" w:name="reprise-de-lexistant"/>
    <w:p>
      <w:pPr>
        <w:pStyle w:val="Heading3"/>
      </w:pPr>
      <w:r>
        <w:t xml:space="preserve">12.2 Reprise de l’existant</w:t>
      </w:r>
    </w:p>
    <w:p>
      <w:pPr>
        <w:pStyle w:val="FirstParagraph"/>
      </w:pPr>
      <w:r>
        <w:t xml:space="preserve">Le lot 0 n’est pas livrable sans reprise des données. Le lot 1 n’est pas livrable sans le registre des modèles. Aucun des deux chantiers n’appartient à la maîtrise d’œuvre.</w:t>
      </w:r>
    </w:p>
    <w:bookmarkEnd w:id="76"/>
    <w:bookmarkEnd w:id="77"/>
    <w:bookmarkStart w:id="88" w:name="gouvernance-et-réception"/>
    <w:p>
      <w:pPr>
        <w:pStyle w:val="Heading2"/>
      </w:pPr>
      <w:r>
        <w:t xml:space="preserve">13. Gouvernance et réception</w:t>
      </w:r>
    </w:p>
    <w:p>
      <w:pPr>
        <w:pStyle w:val="FirstParagraph"/>
      </w:pPr>
      <w:r>
        <w:t xml:space="preserve">Un comité de pilotage unique, deux maîtrises d’ouvrage métier maintenues. La fusion des projets ne fusionne pas les responsabilités métier : les RH ne valident pas une correspondance de variables, et le chef de la Division des Prévisions Économiques ne valide pas une règle de calcul de solde de congés.</w:t>
      </w:r>
    </w:p>
    <w:bookmarkStart w:id="78" w:name="acteurs"/>
    <w:p>
      <w:pPr>
        <w:pStyle w:val="Heading3"/>
      </w:pPr>
      <w:r>
        <w:t xml:space="preserve">13.1 Acteurs</w:t>
      </w:r>
    </w:p>
    <w:tbl>
      <w:tblPr>
        <w:tblStyle w:val="Table"/>
        <w:tblW w:type="dxa" w:w="9354"/>
        <w:tblLayout w:type="fixed"/>
        <w:tblLook w:firstRow="1" w:lastRow="0" w:firstColumn="0" w:lastColumn="0" w:noHBand="0" w:noVBand="0" w:val="0020"/>
        <w:jc w:val="start"/>
      </w:tblPr>
      <w:tblGrid>
        <w:gridCol w:w="4319"/>
        <w:gridCol w:w="5035"/>
      </w:tblGrid>
      <w:tr>
        <w:trPr>
          <w:tblHeader w:val="true"/>
        </w:trPr>
        <w:tc>
          <w:tcPr/>
          <w:p>
            <w:pPr>
              <w:pStyle w:val="Compact"/>
              <w:jc w:val="left"/>
            </w:pPr>
            <w:r>
              <w:t xml:space="preserve">Fonction</w:t>
            </w:r>
          </w:p>
        </w:tc>
        <w:tc>
          <w:tcPr/>
          <w:p>
            <w:pPr>
              <w:pStyle w:val="Compact"/>
              <w:jc w:val="left"/>
            </w:pPr>
            <w:r>
              <w:t xml:space="preserve">Titulaire</w:t>
            </w:r>
          </w:p>
        </w:tc>
      </w:tr>
      <w:tr>
        <w:tc>
          <w:tcPr/>
          <w:p>
            <w:pPr>
              <w:pStyle w:val="Compact"/>
              <w:jc w:val="left"/>
            </w:pPr>
            <w:r>
              <w:t xml:space="preserve">Commanditaire</w:t>
            </w:r>
          </w:p>
        </w:tc>
        <w:tc>
          <w:tcPr/>
          <w:p>
            <w:pPr>
              <w:pStyle w:val="Compact"/>
              <w:jc w:val="left"/>
            </w:pPr>
            <w:r>
              <w:t xml:space="preserve">Directeur National</w:t>
            </w:r>
          </w:p>
        </w:tc>
      </w:tr>
      <w:tr>
        <w:tc>
          <w:tcPr/>
          <w:p>
            <w:pPr>
              <w:pStyle w:val="Compact"/>
              <w:jc w:val="left"/>
            </w:pPr>
            <w:r>
              <w:t xml:space="preserve">Maîtrise d’ouvrage technique</w:t>
            </w:r>
          </w:p>
        </w:tc>
        <w:tc>
          <w:tcPr/>
          <w:p>
            <w:pPr>
              <w:pStyle w:val="Compact"/>
              <w:jc w:val="left"/>
            </w:pPr>
            <w:r>
              <w:t xml:space="preserve">CSID</w:t>
            </w:r>
          </w:p>
        </w:tc>
      </w:tr>
      <w:tr>
        <w:tc>
          <w:tcPr/>
          <w:p>
            <w:pPr>
              <w:pStyle w:val="Compact"/>
              <w:jc w:val="left"/>
            </w:pPr>
            <w:r>
              <w:t xml:space="preserve">Maîtrise d’ouvrage métier, domaine A</w:t>
            </w:r>
          </w:p>
        </w:tc>
        <w:tc>
          <w:tcPr/>
          <w:p>
            <w:pPr>
              <w:pStyle w:val="Compact"/>
              <w:jc w:val="left"/>
            </w:pPr>
            <w:r>
              <w:t xml:space="preserve">SAF et RH pour le personnel, le temps, la rémunération et les stages ; chefs de division pour le pilotage et la collaboration</w:t>
            </w:r>
          </w:p>
        </w:tc>
      </w:tr>
      <w:tr>
        <w:tc>
          <w:tcPr/>
          <w:p>
            <w:pPr>
              <w:pStyle w:val="Compact"/>
              <w:jc w:val="left"/>
            </w:pPr>
            <w:r>
              <w:t xml:space="preserve">Maîtrise d’ouvrage métier, domaine B</w:t>
            </w:r>
          </w:p>
        </w:tc>
        <w:tc>
          <w:tcPr/>
          <w:p>
            <w:pPr>
              <w:pStyle w:val="Compact"/>
              <w:jc w:val="left"/>
            </w:pPr>
            <w:r>
              <w:t xml:space="preserve">Chef de la Division des Prévisions Économiques</w:t>
            </w:r>
          </w:p>
        </w:tc>
      </w:tr>
      <w:tr>
        <w:tc>
          <w:tcPr/>
          <w:p>
            <w:pPr>
              <w:pStyle w:val="Compact"/>
              <w:jc w:val="left"/>
            </w:pPr>
            <w:r>
              <w:t xml:space="preserve">Maîtrise d’œuvre</w:t>
            </w:r>
          </w:p>
        </w:tc>
        <w:tc>
          <w:tcPr/>
          <w:p>
            <w:pPr>
              <w:pStyle w:val="Compact"/>
              <w:jc w:val="left"/>
            </w:pPr>
            <w:r>
              <w:t xml:space="preserve">À désigner : équipe interne, prestataire, ou combinaison</w:t>
            </w:r>
          </w:p>
        </w:tc>
      </w:tr>
      <w:tr>
        <w:tc>
          <w:tcPr/>
          <w:p>
            <w:pPr>
              <w:pStyle w:val="Compact"/>
              <w:jc w:val="left"/>
            </w:pPr>
            <w:r>
              <w:t xml:space="preserve">Référents utilisateurs</w:t>
            </w:r>
          </w:p>
        </w:tc>
        <w:tc>
          <w:tcPr/>
          <w:p>
            <w:pPr>
              <w:pStyle w:val="Compact"/>
              <w:jc w:val="left"/>
            </w:pPr>
            <w:r>
              <w:t xml:space="preserve">Un référent par division, plus un référent modélisation</w:t>
            </w:r>
          </w:p>
        </w:tc>
      </w:tr>
    </w:tbl>
    <w:p>
      <w:pPr>
        <w:pStyle w:val="BodyText"/>
      </w:pPr>
      <w:r>
        <w:t xml:space="preserve">La CSID ne peut être simultanément maîtrise d’ouvrage, maîtrise d’œuvre, administrateur et mainteneur sans que les responsabilités de chacun de ces rôles et la personne qui les exerce soient précisées par écrit. Cette clarification est un prérequis au démarrage.</w:t>
      </w:r>
    </w:p>
    <w:bookmarkEnd w:id="78"/>
    <w:bookmarkStart w:id="79" w:name="instances"/>
    <w:p>
      <w:pPr>
        <w:pStyle w:val="Heading3"/>
      </w:pPr>
      <w:r>
        <w:t xml:space="preserve">13.2 Instances</w:t>
      </w:r>
    </w:p>
    <w:p>
      <w:pPr>
        <w:numPr>
          <w:ilvl w:val="0"/>
          <w:numId w:val="1014"/>
        </w:numPr>
        <w:pStyle w:val="Compact"/>
      </w:pPr>
      <w:r>
        <w:rPr>
          <w:bCs/>
          <w:b/>
        </w:rPr>
        <w:t xml:space="preserve">Comité de pilotage</w:t>
      </w:r>
      <w:r>
        <w:t xml:space="preserve"> </w:t>
      </w:r>
      <w:r>
        <w:t xml:space="preserve">: DN ou DNA, chefs de division, CSID, SAF, RH. Mensuel. Arbitre le périmètre, les lots et les points en suspens.</w:t>
      </w:r>
    </w:p>
    <w:p>
      <w:pPr>
        <w:numPr>
          <w:ilvl w:val="0"/>
          <w:numId w:val="1014"/>
        </w:numPr>
        <w:pStyle w:val="Compact"/>
      </w:pPr>
      <w:r>
        <w:rPr>
          <w:bCs/>
          <w:b/>
        </w:rPr>
        <w:t xml:space="preserve">Comité technique</w:t>
      </w:r>
      <w:r>
        <w:t xml:space="preserve"> </w:t>
      </w:r>
      <w:r>
        <w:t xml:space="preserve">: CSID et maîtrise d’œuvre. Hebdomadaire. Suit l’avancement et les difficultés.</w:t>
      </w:r>
    </w:p>
    <w:p>
      <w:pPr>
        <w:numPr>
          <w:ilvl w:val="0"/>
          <w:numId w:val="1014"/>
        </w:numPr>
        <w:pStyle w:val="Compact"/>
      </w:pPr>
      <w:r>
        <w:rPr>
          <w:bCs/>
          <w:b/>
        </w:rPr>
        <w:t xml:space="preserve">Groupe utilisateurs</w:t>
      </w:r>
      <w:r>
        <w:t xml:space="preserve"> </w:t>
      </w:r>
      <w:r>
        <w:t xml:space="preserve">: les référents de division et le référent modélisation. Sollicité à chaque fin de lot pour la recette fonctionnelle.</w:t>
      </w:r>
    </w:p>
    <w:bookmarkEnd w:id="79"/>
    <w:bookmarkStart w:id="80" w:name="réception"/>
    <w:p>
      <w:pPr>
        <w:pStyle w:val="Heading3"/>
      </w:pPr>
      <w:r>
        <w:t xml:space="preserve">13.3 Réception</w:t>
      </w:r>
    </w:p>
    <w:p>
      <w:pPr>
        <w:pStyle w:val="FirstParagraph"/>
      </w:pPr>
      <w:r>
        <w:t xml:space="preserve">La réception est</w:t>
      </w:r>
      <w:r>
        <w:t xml:space="preserve"> </w:t>
      </w:r>
      <w:r>
        <w:rPr>
          <w:bCs/>
          <w:b/>
        </w:rPr>
        <w:t xml:space="preserve">par lot et indépendante</w:t>
      </w:r>
      <w:r>
        <w:t xml:space="preserve">. C’est la garantie que la modélisation n’attend pas les règles de gestion de la paie, et réciproquement. Recette fonctionnelle par le groupe utilisateurs sur la base des critères d’acceptation, consignée dans un procès-verbal listant les écarts ; réception provisoire après correction des écarts bloquants. La garantie applicable est celle de la section 19.5, soit douze mois à compter de la réception de chaque lot.</w:t>
      </w:r>
    </w:p>
    <w:p>
      <w:pPr>
        <w:pStyle w:val="BodyText"/>
      </w:pPr>
      <w:r>
        <w:t xml:space="preserve">Aucun lot n’est réputé livré sans que les règles d’habilitation de la section 5 aient été vérifiées sur son périmètre, y compris pour les lots du domaine B.</w:t>
      </w:r>
    </w:p>
    <w:p>
      <w:pPr>
        <w:pStyle w:val="BodyText"/>
      </w:pPr>
      <w:r>
        <w:rPr>
          <w:bCs/>
          <w:b/>
        </w:rPr>
        <w:t xml:space="preserve">Réception partielle.</w:t>
      </w:r>
      <w:r>
        <w:t xml:space="preserve"> </w:t>
      </w:r>
      <w:r>
        <w:t xml:space="preserve">Le lot 1 porte sur les deux domaines et relève donc de deux maîtrises d’ouvrage métier. Sa réception peut être prononcée séparément pour chaque domaine, chaque procès-verbal engageant la maîtrise d’ouvrage concernée. Le lot est réputé achevé lorsque les deux procès-verbaux sont signés. Aucun autre lot ne relève de ce régime.</w:t>
      </w:r>
    </w:p>
    <w:bookmarkEnd w:id="80"/>
    <w:bookmarkStart w:id="81" w:name="marché-et-titulaire"/>
    <w:p>
      <w:pPr>
        <w:pStyle w:val="Heading3"/>
      </w:pPr>
      <w:r>
        <w:t xml:space="preserve">13.4 Marché et titulaire</w:t>
      </w:r>
    </w:p>
    <w:p>
      <w:pPr>
        <w:pStyle w:val="FirstParagraph"/>
      </w:pPr>
      <w:r>
        <w:t xml:space="preserve">Le risque principal de la fusion est le titulaire unique. Une équipe maîtrisant à la fois les circuits RH et paie et l’orchestration GAMS et économétrique est rare. Deux dispositions sont exigées :</w:t>
      </w:r>
    </w:p>
    <w:p>
      <w:pPr>
        <w:numPr>
          <w:ilvl w:val="0"/>
          <w:numId w:val="1015"/>
        </w:numPr>
        <w:pStyle w:val="Compact"/>
      </w:pPr>
      <w:r>
        <w:rPr>
          <w:bCs/>
          <w:b/>
        </w:rPr>
        <w:t xml:space="preserve">allotissement du marché ou co-traitance imposée</w:t>
      </w:r>
      <w:r>
        <w:t xml:space="preserve">, avec un responsable nommé pour le moteur de calcul, distinct du responsable applicatif ;</w:t>
      </w:r>
    </w:p>
    <w:p>
      <w:pPr>
        <w:numPr>
          <w:ilvl w:val="0"/>
          <w:numId w:val="1015"/>
        </w:numPr>
        <w:pStyle w:val="Compact"/>
      </w:pPr>
      <w:r>
        <w:rPr>
          <w:bCs/>
          <w:b/>
        </w:rPr>
        <w:t xml:space="preserve">engagements écrits dès la réponse</w:t>
      </w:r>
      <w:r>
        <w:t xml:space="preserve"> </w:t>
      </w:r>
      <w:r>
        <w:t xml:space="preserve">: dépôt du code sur un compte appartenant à la DNPEC dès le premier jour, documentation tenue à jour, transfert de compétences à la CSID, réversibilité, propriété intellectuelle, et absence de données personnelles réelles ou de données sensibles avant publication hors production.</w:t>
      </w:r>
    </w:p>
    <w:bookmarkEnd w:id="81"/>
    <w:bookmarkStart w:id="84" w:name="mission-de-ladministrateur"/>
    <w:p>
      <w:pPr>
        <w:pStyle w:val="Heading3"/>
      </w:pPr>
      <w:r>
        <w:t xml:space="preserve">13.5 Mission de l’administrateur</w:t>
      </w:r>
    </w:p>
    <w:p>
      <w:pPr>
        <w:pStyle w:val="FirstParagraph"/>
      </w:pPr>
      <w:r>
        <w:t xml:space="preserve">L’administrateur est le</w:t>
      </w:r>
      <w:r>
        <w:t xml:space="preserve"> </w:t>
      </w:r>
      <w:r>
        <w:rPr>
          <w:bCs/>
          <w:b/>
        </w:rPr>
        <w:t xml:space="preserve">gestionnaire technique de la plateforme</w:t>
      </w:r>
      <w:r>
        <w:t xml:space="preserve">. Sa mission tient en trois verbes, et elle s’arrête là :</w:t>
      </w:r>
    </w:p>
    <w:p>
      <w:pPr>
        <w:pStyle w:val="BlockText"/>
      </w:pPr>
      <w:r>
        <w:rPr>
          <w:bCs/>
          <w:b/>
        </w:rPr>
        <w:t xml:space="preserve">Paramétrer</w:t>
      </w:r>
      <w:r>
        <w:t xml:space="preserve"> </w:t>
      </w:r>
      <w:r>
        <w:t xml:space="preserve">le logiciel,</w:t>
      </w:r>
      <w:r>
        <w:t xml:space="preserve"> </w:t>
      </w:r>
      <w:r>
        <w:rPr>
          <w:bCs/>
          <w:b/>
        </w:rPr>
        <w:t xml:space="preserve">surveiller</w:t>
      </w:r>
      <w:r>
        <w:t xml:space="preserve"> </w:t>
      </w:r>
      <w:r>
        <w:t xml:space="preserve">son fonctionnement,</w:t>
      </w:r>
      <w:r>
        <w:t xml:space="preserve"> </w:t>
      </w:r>
      <w:r>
        <w:rPr>
          <w:bCs/>
          <w:b/>
        </w:rPr>
        <w:t xml:space="preserve">veiller</w:t>
      </w:r>
      <w:r>
        <w:t xml:space="preserve"> </w:t>
      </w:r>
      <w:r>
        <w:t xml:space="preserve">à ce qu’il reste en état de servir.</w:t>
      </w:r>
    </w:p>
    <w:p>
      <w:pPr>
        <w:pStyle w:val="FirstParagraph"/>
      </w:pPr>
      <w:r>
        <w:t xml:space="preserve">Il n’est ni un acteur métier, ni une autorité hiérarchique. Il ne décide rien de ce que la plateforme produit : il fait en sorte qu’elle le produise.</w:t>
      </w:r>
    </w:p>
    <w:p>
      <w:pPr>
        <w:pStyle w:val="BodyText"/>
      </w:pPr>
      <w:r>
        <w:rPr>
          <w:bCs/>
          <w:b/>
        </w:rPr>
        <w:t xml:space="preserve">Ce que l’administrateur fait.</w:t>
      </w:r>
    </w:p>
    <w:p>
      <w:pPr>
        <w:numPr>
          <w:ilvl w:val="0"/>
          <w:numId w:val="1016"/>
        </w:numPr>
        <w:pStyle w:val="Compact"/>
      </w:pPr>
      <w:r>
        <w:rPr>
          <w:bCs/>
          <w:b/>
        </w:rPr>
        <w:t xml:space="preserve">Paramétrer</w:t>
      </w:r>
      <w:r>
        <w:t xml:space="preserve"> </w:t>
      </w:r>
      <w:r>
        <w:t xml:space="preserve">— les réglages de la section 13.6, les canaux de notification, les seuils des contrôles, les gabarits et les séquences de numérotation sur instruction du secrétariat de direction, les environnements et les droits d’accès. Sans intervention sur le code : un besoin de paramétrage qui exige un développement est un défaut de conception, opposable en recette.</w:t>
      </w:r>
    </w:p>
    <w:p>
      <w:pPr>
        <w:numPr>
          <w:ilvl w:val="0"/>
          <w:numId w:val="1016"/>
        </w:numPr>
        <w:pStyle w:val="Compact"/>
      </w:pPr>
      <w:r>
        <w:rPr>
          <w:bCs/>
          <w:b/>
        </w:rPr>
        <w:t xml:space="preserve">Administrer les comptes</w:t>
      </w:r>
      <w:r>
        <w:t xml:space="preserve"> </w:t>
      </w:r>
      <w:r>
        <w:t xml:space="preserve">— créer, activer, suspendre, désactiver, attribuer et retirer les rôles, prononcer les mutations, tenir les comptes externes et les suppléances, selon les règles ci-dessous.</w:t>
      </w:r>
    </w:p>
    <w:p>
      <w:pPr>
        <w:numPr>
          <w:ilvl w:val="0"/>
          <w:numId w:val="1016"/>
        </w:numPr>
        <w:pStyle w:val="Compact"/>
      </w:pPr>
      <w:r>
        <w:rPr>
          <w:bCs/>
          <w:b/>
        </w:rPr>
        <w:t xml:space="preserve">Surveiller</w:t>
      </w:r>
      <w:r>
        <w:t xml:space="preserve"> </w:t>
      </w:r>
      <w:r>
        <w:t xml:space="preserve">— l’état des services, la file d’exécution, les sauvegardes et leur restauration, la consommation du moteur et du service d’intelligence artificielle, les comptes à échéance, les incidents et les accès refusés.</w:t>
      </w:r>
    </w:p>
    <w:p>
      <w:pPr>
        <w:numPr>
          <w:ilvl w:val="0"/>
          <w:numId w:val="1016"/>
        </w:numPr>
        <w:pStyle w:val="Compact"/>
      </w:pPr>
      <w:r>
        <w:rPr>
          <w:bCs/>
          <w:b/>
        </w:rPr>
        <w:t xml:space="preserve">Veiller au bon fonctionnement</w:t>
      </w:r>
      <w:r>
        <w:t xml:space="preserve"> </w:t>
      </w:r>
      <w:r>
        <w:t xml:space="preserve">— traiter les incidents selon les niveaux de sévérité de la section 19.4, appliquer les correctifs, suivre les indicateurs de la section 19.8, alerter le comité technique lorsqu’un seuil est franchi.</w:t>
      </w:r>
    </w:p>
    <w:p>
      <w:pPr>
        <w:pStyle w:val="FirstParagraph"/>
      </w:pPr>
      <w:r>
        <w:rPr>
          <w:bCs/>
          <w:b/>
        </w:rPr>
        <w:t xml:space="preserve">Ce que l’administrateur ne fait pas.</w:t>
      </w:r>
      <w:r>
        <w:t xml:space="preserve"> </w:t>
      </w:r>
      <w:r>
        <w:t xml:space="preserve">La liste est aussi importante que la précédente, et elle est technique, pas déclarative : la plateforme doit l’empêcher, pas la lui déconseiller.</w:t>
      </w:r>
    </w:p>
    <w:p>
      <w:pPr>
        <w:numPr>
          <w:ilvl w:val="0"/>
          <w:numId w:val="1017"/>
        </w:numPr>
        <w:pStyle w:val="Compact"/>
      </w:pPr>
      <w:r>
        <w:t xml:space="preserve">Il n’accède à</w:t>
      </w:r>
      <w:r>
        <w:t xml:space="preserve"> </w:t>
      </w:r>
      <w:r>
        <w:rPr>
          <w:bCs/>
          <w:b/>
        </w:rPr>
        <w:t xml:space="preserve">aucun objet protégé</w:t>
      </w:r>
      <w:r>
        <w:t xml:space="preserve"> </w:t>
      </w:r>
      <w:r>
        <w:t xml:space="preserve">au sens de la section 3.2 : ni bulletin, ni dossier agent, ni justificatif médical, ni suggestion anonyme, ni simulation exploratoire d’un autre agent. Toute tentative est refusée et journalisée.</w:t>
      </w:r>
    </w:p>
    <w:p>
      <w:pPr>
        <w:numPr>
          <w:ilvl w:val="0"/>
          <w:numId w:val="1017"/>
        </w:numPr>
        <w:pStyle w:val="Compact"/>
      </w:pPr>
      <w:r>
        <w:t xml:space="preserve">Il ne</w:t>
      </w:r>
      <w:r>
        <w:t xml:space="preserve"> </w:t>
      </w:r>
      <w:r>
        <w:rPr>
          <w:bCs/>
          <w:b/>
        </w:rPr>
        <w:t xml:space="preserve">valide</w:t>
      </w:r>
      <w:r>
        <w:t xml:space="preserve"> </w:t>
      </w:r>
      <w:r>
        <w:t xml:space="preserve">rien : ni une simulation, ni un rapport, ni une campagne de paie, ni un acte.</w:t>
      </w:r>
    </w:p>
    <w:p>
      <w:pPr>
        <w:numPr>
          <w:ilvl w:val="0"/>
          <w:numId w:val="1017"/>
        </w:numPr>
        <w:pStyle w:val="Compact"/>
      </w:pPr>
      <w:r>
        <w:t xml:space="preserve">Il n’</w:t>
      </w:r>
      <w:r>
        <w:rPr>
          <w:bCs/>
          <w:b/>
        </w:rPr>
        <w:t xml:space="preserve">active pas</w:t>
      </w:r>
      <w:r>
        <w:t xml:space="preserve"> </w:t>
      </w:r>
      <w:r>
        <w:t xml:space="preserve">seul une version de modèle : le dépôt et les contrôles lui reviennent, le visa économique appartient au responsable du modèle.</w:t>
      </w:r>
    </w:p>
    <w:p>
      <w:pPr>
        <w:numPr>
          <w:ilvl w:val="0"/>
          <w:numId w:val="1017"/>
        </w:numPr>
        <w:pStyle w:val="Compact"/>
      </w:pPr>
      <w:r>
        <w:t xml:space="preserve">Il ne</w:t>
      </w:r>
      <w:r>
        <w:t xml:space="preserve"> </w:t>
      </w:r>
      <w:r>
        <w:rPr>
          <w:bCs/>
          <w:b/>
        </w:rPr>
        <w:t xml:space="preserve">modifie ni ne purge</w:t>
      </w:r>
      <w:r>
        <w:t xml:space="preserve"> </w:t>
      </w:r>
      <w:r>
        <w:t xml:space="preserve">le journal d’audit, où ses propres actions figurent au même titre que les autres.</w:t>
      </w:r>
    </w:p>
    <w:p>
      <w:pPr>
        <w:numPr>
          <w:ilvl w:val="0"/>
          <w:numId w:val="1017"/>
        </w:numPr>
        <w:pStyle w:val="Compact"/>
      </w:pPr>
      <w:r>
        <w:t xml:space="preserve">Il n’exerce</w:t>
      </w:r>
      <w:r>
        <w:t xml:space="preserve"> </w:t>
      </w:r>
      <w:r>
        <w:rPr>
          <w:bCs/>
          <w:b/>
        </w:rPr>
        <w:t xml:space="preserve">aucun périmètre hiérarchique</w:t>
      </w:r>
      <w:r>
        <w:t xml:space="preserve"> </w:t>
      </w:r>
      <w:r>
        <w:t xml:space="preserve">: son rôle ne lui donne la vue d’aucune unité.</w:t>
      </w:r>
    </w:p>
    <w:p>
      <w:pPr>
        <w:pStyle w:val="FirstParagraph"/>
      </w:pPr>
      <w:r>
        <w:rPr>
          <w:bCs/>
          <w:b/>
        </w:rPr>
        <w:t xml:space="preserve">Deux administrateurs au minimum</w:t>
      </w:r>
      <w:r>
        <w:t xml:space="preserve">, pour éviter le point unique de défaillance, et pour que les actions de l’un restent lisibles par l’autre.</w:t>
      </w:r>
    </w:p>
    <w:bookmarkStart w:id="82" w:name="fonctions-dadministration-des-comptes"/>
    <w:p>
      <w:pPr>
        <w:pStyle w:val="Heading4"/>
      </w:pPr>
      <w:r>
        <w:t xml:space="preserve">Fonctions d’administration des comptes</w:t>
      </w:r>
    </w:p>
    <w:p>
      <w:pPr>
        <w:pStyle w:val="FirstParagraph"/>
      </w:pPr>
      <w:r>
        <w:t xml:space="preserve">Les fonctions ci-dessous lui sont ouvertes, et à lui seul.</w:t>
      </w:r>
    </w:p>
    <w:tbl>
      <w:tblPr>
        <w:tblStyle w:val="Table"/>
        <w:tblW w:type="dxa" w:w="9354"/>
        <w:tblLayout w:type="fixed"/>
        <w:tblLook w:firstRow="1" w:lastRow="0" w:firstColumn="0" w:lastColumn="0" w:noHBand="0" w:noVBand="0" w:val="0020"/>
        <w:jc w:val="start"/>
      </w:tblPr>
      <w:tblGrid>
        <w:gridCol w:w="2364"/>
        <w:gridCol w:w="3764"/>
        <w:gridCol w:w="3226"/>
      </w:tblGrid>
      <w:tr>
        <w:trPr>
          <w:tblHeader w:val="true"/>
        </w:trPr>
        <w:tc>
          <w:tcPr/>
          <w:p>
            <w:pPr>
              <w:pStyle w:val="Compact"/>
              <w:jc w:val="left"/>
            </w:pPr>
            <w:r>
              <w:t xml:space="preserve">Fonction</w:t>
            </w:r>
          </w:p>
        </w:tc>
        <w:tc>
          <w:tcPr/>
          <w:p>
            <w:pPr>
              <w:pStyle w:val="Compact"/>
              <w:jc w:val="left"/>
            </w:pPr>
            <w:r>
              <w:t xml:space="preserve">Contenu</w:t>
            </w:r>
          </w:p>
        </w:tc>
        <w:tc>
          <w:tcPr/>
          <w:p>
            <w:pPr>
              <w:pStyle w:val="Compact"/>
              <w:jc w:val="left"/>
            </w:pPr>
            <w:r>
              <w:t xml:space="preserve">Réserve</w:t>
            </w:r>
          </w:p>
        </w:tc>
      </w:tr>
      <w:tr>
        <w:tc>
          <w:tcPr/>
          <w:p>
            <w:pPr>
              <w:pStyle w:val="Compact"/>
              <w:jc w:val="left"/>
            </w:pPr>
            <w:r>
              <w:t xml:space="preserve">Créer un compte interne</w:t>
            </w:r>
          </w:p>
        </w:tc>
        <w:tc>
          <w:tcPr/>
          <w:p>
            <w:pPr>
              <w:pStyle w:val="Compact"/>
              <w:jc w:val="left"/>
            </w:pPr>
            <w:r>
              <w:t xml:space="preserve">À partir d’un dossier agent existant : unité, rôles, exigence de double facteur. Le compte naît à l’état « en attente d’activation » et ne peut ouvrir de session avant activation</w:t>
            </w:r>
          </w:p>
        </w:tc>
        <w:tc>
          <w:tcPr/>
          <w:p>
            <w:pPr>
              <w:pStyle w:val="Compact"/>
              <w:jc w:val="left"/>
            </w:pPr>
            <w:r>
              <w:rPr>
                <w:bCs/>
                <w:b/>
              </w:rPr>
              <w:t xml:space="preserve">Aucun compte sans dossier agent</w:t>
            </w:r>
            <w:r>
              <w:t xml:space="preserve"> </w:t>
            </w:r>
            <w:r>
              <w:t xml:space="preserve">: la liste de création ne propose que des agents dotés d’un dossier tenu par les RH</w:t>
            </w:r>
          </w:p>
        </w:tc>
      </w:tr>
      <w:tr>
        <w:tc>
          <w:tcPr/>
          <w:p>
            <w:pPr>
              <w:pStyle w:val="Compact"/>
              <w:jc w:val="left"/>
            </w:pPr>
            <w:r>
              <w:t xml:space="preserve">Créer un compte externe</w:t>
            </w:r>
          </w:p>
        </w:tc>
        <w:tc>
          <w:tcPr/>
          <w:p>
            <w:pPr>
              <w:pStyle w:val="Compact"/>
              <w:jc w:val="left"/>
            </w:pPr>
            <w:r>
              <w:t xml:space="preserve">Organisation invitée, parrain interne obligatoire, durée plafonnée au réglage en vigueur</w:t>
            </w:r>
          </w:p>
        </w:tc>
        <w:tc>
          <w:tcPr/>
          <w:p>
            <w:pPr>
              <w:pStyle w:val="Compact"/>
              <w:jc w:val="left"/>
            </w:pPr>
            <w:r>
              <w:t xml:space="preserve">Aucun rôle du domaine A ni rôle Administrateur (section 4.3)</w:t>
            </w:r>
          </w:p>
        </w:tc>
      </w:tr>
      <w:tr>
        <w:tc>
          <w:tcPr/>
          <w:p>
            <w:pPr>
              <w:pStyle w:val="Compact"/>
              <w:jc w:val="left"/>
            </w:pPr>
            <w:r>
              <w:t xml:space="preserve">Activer, suspendre, désactiver</w:t>
            </w:r>
          </w:p>
        </w:tc>
        <w:tc>
          <w:tcPr/>
          <w:p>
            <w:pPr>
              <w:pStyle w:val="Compact"/>
              <w:jc w:val="left"/>
            </w:pPr>
            <w:r>
              <w:t xml:space="preserve">La suspension exige un motif journalisé et interdit l’ouverture de session. La désactivation transfère les tâches en cours au chef d’unité</w:t>
            </w:r>
          </w:p>
        </w:tc>
        <w:tc>
          <w:tcPr/>
          <w:p>
            <w:pPr>
              <w:pStyle w:val="Compact"/>
              <w:jc w:val="left"/>
            </w:pPr>
            <w:r>
              <w:t xml:space="preserve">Les simulations et rapports dont le compte était l’auteur sont conservés : la traçabilité survit au compte</w:t>
            </w:r>
          </w:p>
        </w:tc>
      </w:tr>
      <w:tr>
        <w:tc>
          <w:tcPr/>
          <w:p>
            <w:pPr>
              <w:pStyle w:val="Compact"/>
              <w:jc w:val="left"/>
            </w:pPr>
            <w:r>
              <w:t xml:space="preserve">Attribuer ou retirer un rôle</w:t>
            </w:r>
          </w:p>
        </w:tc>
        <w:tc>
          <w:tcPr/>
          <w:p>
            <w:pPr>
              <w:pStyle w:val="Compact"/>
              <w:jc w:val="left"/>
            </w:pPr>
            <w:r>
              <w:t xml:space="preserve">Sélection des rôles fonctionnels ; ajouts et retraits journalisés séparément</w:t>
            </w:r>
          </w:p>
        </w:tc>
        <w:tc>
          <w:tcPr/>
          <w:p>
            <w:pPr>
              <w:pStyle w:val="Compact"/>
              <w:jc w:val="left"/>
            </w:pPr>
            <w:r>
              <w:t xml:space="preserve">Un rôle ne confère jamais de périmètre ; le cumul ne perce jamais les objets protégés</w:t>
            </w:r>
          </w:p>
        </w:tc>
      </w:tr>
      <w:tr>
        <w:tc>
          <w:tcPr/>
          <w:p>
            <w:pPr>
              <w:pStyle w:val="Compact"/>
              <w:jc w:val="left"/>
            </w:pPr>
            <w:r>
              <w:t xml:space="preserve">Prononcer une mutation</w:t>
            </w:r>
          </w:p>
        </w:tc>
        <w:tc>
          <w:tcPr/>
          <w:p>
            <w:pPr>
              <w:pStyle w:val="Compact"/>
              <w:jc w:val="left"/>
            </w:pPr>
            <w:r>
              <w:t xml:space="preserve">Changement d’unité et de fonction daté ; le périmètre est recalculé par cascade</w:t>
            </w:r>
          </w:p>
        </w:tc>
        <w:tc>
          <w:tcPr/>
          <w:p>
            <w:pPr>
              <w:pStyle w:val="Compact"/>
              <w:jc w:val="left"/>
            </w:pPr>
            <w:r>
              <w:t xml:space="preserve">Les droits de l’unité précédente cessent à la date d’effet</w:t>
            </w:r>
          </w:p>
        </w:tc>
      </w:tr>
      <w:tr>
        <w:tc>
          <w:tcPr/>
          <w:p>
            <w:pPr>
              <w:pStyle w:val="Compact"/>
              <w:jc w:val="left"/>
            </w:pPr>
            <w:r>
              <w:t xml:space="preserve">Paramétrer</w:t>
            </w:r>
          </w:p>
        </w:tc>
        <w:tc>
          <w:tcPr/>
          <w:p>
            <w:pPr>
              <w:pStyle w:val="Compact"/>
              <w:jc w:val="left"/>
            </w:pPr>
            <w:r>
              <w:t xml:space="preserve">Réglages bornés et référencés au cahier, applicables sans développement (section 13.6)</w:t>
            </w:r>
          </w:p>
        </w:tc>
        <w:tc>
          <w:tcPr/>
          <w:p>
            <w:pPr>
              <w:pStyle w:val="Compact"/>
              <w:jc w:val="left"/>
            </w:pPr>
            <w:r>
              <w:t xml:space="preserve">Chaque modification est journalisée</w:t>
            </w:r>
          </w:p>
        </w:tc>
      </w:tr>
      <w:tr>
        <w:tc>
          <w:tcPr/>
          <w:p>
            <w:pPr>
              <w:pStyle w:val="Compact"/>
              <w:jc w:val="left"/>
            </w:pPr>
            <w:r>
              <w:t xml:space="preserve">Superviser</w:t>
            </w:r>
          </w:p>
        </w:tc>
        <w:tc>
          <w:tcPr/>
          <w:p>
            <w:pPr>
              <w:pStyle w:val="Compact"/>
              <w:jc w:val="left"/>
            </w:pPr>
            <w:r>
              <w:t xml:space="preserve">État des services, sauvegardes, sessions ouvertes, comptes à surveiller, consommation du moteur et du service d’IA</w:t>
            </w:r>
          </w:p>
        </w:tc>
        <w:tc>
          <w:tcPr/>
          <w:p>
            <w:pPr>
              <w:pStyle w:val="Compact"/>
              <w:jc w:val="left"/>
            </w:pPr>
            <w:r>
              <w:t xml:space="preserve">Aucun accès aux objets protégés</w:t>
            </w:r>
          </w:p>
        </w:tc>
      </w:tr>
    </w:tbl>
    <w:bookmarkEnd w:id="82"/>
    <w:bookmarkStart w:id="83" w:name="surveillance-et-bon-fonctionnement"/>
    <w:p>
      <w:pPr>
        <w:pStyle w:val="Heading4"/>
      </w:pPr>
      <w:r>
        <w:t xml:space="preserve">Surveillance et bon fonctionnement</w:t>
      </w:r>
    </w:p>
    <w:tbl>
      <w:tblPr>
        <w:tblStyle w:val="Table"/>
        <w:tblW w:type="dxa" w:w="9354"/>
        <w:tblLayout w:type="fixed"/>
        <w:tblLook w:firstRow="1" w:lastRow="0" w:firstColumn="0" w:lastColumn="0" w:noHBand="0" w:noVBand="0" w:val="0020"/>
        <w:jc w:val="start"/>
      </w:tblPr>
      <w:tblGrid>
        <w:gridCol w:w="1961"/>
        <w:gridCol w:w="3680"/>
        <w:gridCol w:w="1883"/>
        <w:gridCol w:w="1830"/>
      </w:tblGrid>
      <w:tr>
        <w:trPr>
          <w:tblHeader w:val="true"/>
        </w:trPr>
        <w:tc>
          <w:tcPr/>
          <w:p>
            <w:pPr>
              <w:pStyle w:val="Compact"/>
              <w:jc w:val="left"/>
            </w:pPr>
            <w:r>
              <w:t xml:space="preserve">ID</w:t>
            </w:r>
          </w:p>
        </w:tc>
        <w:tc>
          <w:tcPr/>
          <w:p>
            <w:pPr>
              <w:pStyle w:val="Compact"/>
              <w:jc w:val="left"/>
            </w:pPr>
            <w:r>
              <w:t xml:space="preserve">Exigence</w:t>
            </w:r>
          </w:p>
        </w:tc>
        <w:tc>
          <w:tcPr/>
          <w:p>
            <w:pPr>
              <w:pStyle w:val="Compact"/>
              <w:jc w:val="left"/>
            </w:pPr>
            <w:r>
              <w:t xml:space="preserve">Priorité</w:t>
            </w:r>
          </w:p>
        </w:tc>
        <w:tc>
          <w:tcPr/>
          <w:p>
            <w:pPr>
              <w:pStyle w:val="Compact"/>
              <w:jc w:val="left"/>
            </w:pPr>
            <w:r>
              <w:t xml:space="preserve">Lot</w:t>
            </w:r>
          </w:p>
        </w:tc>
      </w:tr>
      <w:tr>
        <w:tc>
          <w:tcPr/>
          <w:p>
            <w:pPr>
              <w:pStyle w:val="Compact"/>
              <w:jc w:val="left"/>
            </w:pPr>
            <w:r>
              <w:t xml:space="preserve">SOC-SUP-01</w:t>
            </w:r>
          </w:p>
        </w:tc>
        <w:tc>
          <w:tcPr/>
          <w:p>
            <w:pPr>
              <w:pStyle w:val="Compact"/>
              <w:jc w:val="left"/>
            </w:pPr>
            <w:r>
              <w:t xml:space="preserve">Tableau de supervision affichant l’état de chaque service — base, file d’exécution, moteur de calcul, service d’IA, stockage documentaire, passerelles de notification — avec un état nominal, dégradé ou indisponible</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SOC-SUP-02</w:t>
            </w:r>
          </w:p>
        </w:tc>
        <w:tc>
          <w:tcPr/>
          <w:p>
            <w:pPr>
              <w:pStyle w:val="Compact"/>
              <w:jc w:val="left"/>
            </w:pPr>
            <w:r>
              <w:t xml:space="preserve">File d’exécution visible : tâches en attente, en cours, échouées sur 24 heures, durée moyenne par modèle</w:t>
            </w:r>
          </w:p>
        </w:tc>
        <w:tc>
          <w:tcPr/>
          <w:p>
            <w:pPr>
              <w:pStyle w:val="Compact"/>
              <w:jc w:val="left"/>
            </w:pPr>
            <w:r>
              <w:t xml:space="preserve">MUST</w:t>
            </w:r>
          </w:p>
        </w:tc>
        <w:tc>
          <w:tcPr/>
          <w:p>
            <w:pPr>
              <w:pStyle w:val="Compact"/>
              <w:jc w:val="left"/>
            </w:pPr>
            <w:r>
              <w:t xml:space="preserve">2</w:t>
            </w:r>
          </w:p>
        </w:tc>
      </w:tr>
      <w:tr>
        <w:tc>
          <w:tcPr/>
          <w:p>
            <w:pPr>
              <w:pStyle w:val="Compact"/>
              <w:jc w:val="left"/>
            </w:pPr>
            <w:r>
              <w:t xml:space="preserve">SOC-SUP-03</w:t>
            </w:r>
          </w:p>
        </w:tc>
        <w:tc>
          <w:tcPr/>
          <w:p>
            <w:pPr>
              <w:pStyle w:val="Compact"/>
              <w:jc w:val="left"/>
            </w:pPr>
            <w:r>
              <w:t xml:space="preserve">État des sauvegardes : dernière sauvegarde réussie, conservation effective, date et résultat du dernier test de restauration</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SOC-SUP-04</w:t>
            </w:r>
          </w:p>
        </w:tc>
        <w:tc>
          <w:tcPr/>
          <w:p>
            <w:pPr>
              <w:pStyle w:val="Compact"/>
              <w:jc w:val="left"/>
            </w:pPr>
            <w:r>
              <w:t xml:space="preserve">Consommation du moteur de calcul et du service d’IA par période et par modèle, rapportée aux quotas en vigueur</w:t>
            </w:r>
          </w:p>
        </w:tc>
        <w:tc>
          <w:tcPr/>
          <w:p>
            <w:pPr>
              <w:pStyle w:val="Compact"/>
              <w:jc w:val="left"/>
            </w:pPr>
            <w:r>
              <w:t xml:space="preserve">MUST</w:t>
            </w:r>
          </w:p>
        </w:tc>
        <w:tc>
          <w:tcPr/>
          <w:p>
            <w:pPr>
              <w:pStyle w:val="Compact"/>
              <w:jc w:val="left"/>
            </w:pPr>
            <w:r>
              <w:t xml:space="preserve">4</w:t>
            </w:r>
          </w:p>
        </w:tc>
      </w:tr>
      <w:tr>
        <w:tc>
          <w:tcPr/>
          <w:p>
            <w:pPr>
              <w:pStyle w:val="Compact"/>
              <w:jc w:val="left"/>
            </w:pPr>
            <w:r>
              <w:t xml:space="preserve">SOC-SUP-05</w:t>
            </w:r>
          </w:p>
        </w:tc>
        <w:tc>
          <w:tcPr/>
          <w:p>
            <w:pPr>
              <w:pStyle w:val="Compact"/>
              <w:jc w:val="left"/>
            </w:pPr>
            <w:r>
              <w:t xml:space="preserve">Liste des comptes à surveiller : comptes non actifs, comptes externes dont l’échéance tombe sous le seuil d’alerte</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SOC-SUP-06</w:t>
            </w:r>
          </w:p>
        </w:tc>
        <w:tc>
          <w:tcPr/>
          <w:p>
            <w:pPr>
              <w:pStyle w:val="Compact"/>
              <w:jc w:val="left"/>
            </w:pPr>
            <w:r>
              <w:t xml:space="preserve">Les accès refusés sur objet protégé sont comptés et consultables, sans exposer le contenu de l’objet refusé</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SOC-SUP-07</w:t>
            </w:r>
          </w:p>
        </w:tc>
        <w:tc>
          <w:tcPr/>
          <w:p>
            <w:pPr>
              <w:pStyle w:val="Compact"/>
              <w:jc w:val="left"/>
            </w:pPr>
            <w:r>
              <w:t xml:space="preserve">Alerte à l’administrateur dès qu’un service passe en état dégradé, qu’une sauvegarde échoue ou qu’un quota est atteint</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SOC-SUP-08</w:t>
            </w:r>
          </w:p>
        </w:tc>
        <w:tc>
          <w:tcPr/>
          <w:p>
            <w:pPr>
              <w:pStyle w:val="Compact"/>
              <w:jc w:val="left"/>
            </w:pPr>
            <w:r>
              <w:t xml:space="preserve">Sonde technique interrogeable renvoyant l’état des dépendances, exploitable par un outil de supervision externe</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SOC-SUP-09</w:t>
            </w:r>
          </w:p>
        </w:tc>
        <w:tc>
          <w:tcPr/>
          <w:p>
            <w:pPr>
              <w:pStyle w:val="Compact"/>
              <w:jc w:val="left"/>
            </w:pPr>
            <w:r>
              <w:t xml:space="preserve">Les indicateurs de succès de la section 19.8 sont calculés par la plateforme elle-même et consultables par l’administrateur et le comité de pilotage</w:t>
            </w:r>
          </w:p>
        </w:tc>
        <w:tc>
          <w:tcPr/>
          <w:p>
            <w:pPr>
              <w:pStyle w:val="Compact"/>
              <w:jc w:val="left"/>
            </w:pPr>
            <w:r>
              <w:t xml:space="preserve">SHOULD</w:t>
            </w:r>
          </w:p>
        </w:tc>
        <w:tc>
          <w:tcPr/>
          <w:p>
            <w:pPr>
              <w:pStyle w:val="Compact"/>
              <w:jc w:val="left"/>
            </w:pPr>
            <w:r>
              <w:t xml:space="preserve">3</w:t>
            </w:r>
          </w:p>
        </w:tc>
      </w:tr>
      <w:tr>
        <w:tc>
          <w:tcPr/>
          <w:p>
            <w:pPr>
              <w:pStyle w:val="Compact"/>
              <w:jc w:val="left"/>
            </w:pPr>
            <w:r>
              <w:t xml:space="preserve">SOC-SUP-10</w:t>
            </w:r>
          </w:p>
        </w:tc>
        <w:tc>
          <w:tcPr/>
          <w:p>
            <w:pPr>
              <w:pStyle w:val="Compact"/>
              <w:jc w:val="left"/>
            </w:pPr>
            <w:r>
              <w:t xml:space="preserve">Aucun écran de supervision n’expose le contenu d’un objet protégé, ni ne permet de l’atteindre</w:t>
            </w:r>
          </w:p>
        </w:tc>
        <w:tc>
          <w:tcPr/>
          <w:p>
            <w:pPr>
              <w:pStyle w:val="Compact"/>
              <w:jc w:val="left"/>
            </w:pPr>
            <w:r>
              <w:t xml:space="preserve">MUST</w:t>
            </w:r>
          </w:p>
        </w:tc>
        <w:tc>
          <w:tcPr/>
          <w:p>
            <w:pPr>
              <w:pStyle w:val="Compact"/>
              <w:jc w:val="left"/>
            </w:pPr>
            <w:r>
              <w:t xml:space="preserve">0</w:t>
            </w:r>
          </w:p>
        </w:tc>
      </w:tr>
    </w:tbl>
    <w:bookmarkEnd w:id="83"/>
    <w:bookmarkEnd w:id="84"/>
    <w:bookmarkStart w:id="85" w:name="paramétrage"/>
    <w:p>
      <w:pPr>
        <w:pStyle w:val="Heading3"/>
      </w:pPr>
      <w:r>
        <w:t xml:space="preserve">13.6 Paramétrage</w:t>
      </w:r>
    </w:p>
    <w:p>
      <w:pPr>
        <w:pStyle w:val="FirstParagraph"/>
      </w:pPr>
      <w:r>
        <w:t xml:space="preserve">Les valeurs suivantes sont modifiables par l’administrateur, dans des bornes qui interdisent un réglage incompatible avec le cahier, et s’appliquent immédiatement aux circuits concernés.</w:t>
      </w:r>
    </w:p>
    <w:tbl>
      <w:tblPr>
        <w:tblStyle w:val="Table"/>
        <w:tblW w:type="dxa" w:w="9354"/>
        <w:tblLayout w:type="fixed"/>
        <w:tblLook w:firstRow="1" w:lastRow="0" w:firstColumn="0" w:lastColumn="0" w:noHBand="0" w:noVBand="0" w:val="0020"/>
        <w:jc w:val="start"/>
      </w:tblPr>
      <w:tblGrid>
        <w:gridCol w:w="2620"/>
        <w:gridCol w:w="2209"/>
        <w:gridCol w:w="2158"/>
        <w:gridCol w:w="2367"/>
      </w:tblGrid>
      <w:tr>
        <w:trPr>
          <w:tblHeader w:val="true"/>
        </w:trPr>
        <w:tc>
          <w:tcPr/>
          <w:p>
            <w:pPr>
              <w:pStyle w:val="Compact"/>
              <w:jc w:val="left"/>
            </w:pPr>
            <w:r>
              <w:t xml:space="preserve">Paramètre</w:t>
            </w:r>
          </w:p>
        </w:tc>
        <w:tc>
          <w:tcPr/>
          <w:p>
            <w:pPr>
              <w:pStyle w:val="Compact"/>
              <w:jc w:val="left"/>
            </w:pPr>
            <w:r>
              <w:t xml:space="preserve">Défaut</w:t>
            </w:r>
          </w:p>
        </w:tc>
        <w:tc>
          <w:tcPr/>
          <w:p>
            <w:pPr>
              <w:pStyle w:val="Compact"/>
              <w:jc w:val="left"/>
            </w:pPr>
            <w:r>
              <w:t xml:space="preserve">Bornes</w:t>
            </w:r>
          </w:p>
        </w:tc>
        <w:tc>
          <w:tcPr/>
          <w:p>
            <w:pPr>
              <w:pStyle w:val="Compact"/>
              <w:jc w:val="left"/>
            </w:pPr>
            <w:r>
              <w:t xml:space="preserve">Référence</w:t>
            </w:r>
          </w:p>
        </w:tc>
      </w:tr>
      <w:tr>
        <w:tc>
          <w:tcPr/>
          <w:p>
            <w:pPr>
              <w:pStyle w:val="Compact"/>
              <w:jc w:val="left"/>
            </w:pPr>
            <w:r>
              <w:t xml:space="preserve">Délai d’avis du chef d’unité</w:t>
            </w:r>
          </w:p>
        </w:tc>
        <w:tc>
          <w:tcPr/>
          <w:p>
            <w:pPr>
              <w:pStyle w:val="Compact"/>
              <w:jc w:val="left"/>
            </w:pPr>
            <w:r>
              <w:t xml:space="preserve">48 heures ouvrées</w:t>
            </w:r>
          </w:p>
        </w:tc>
        <w:tc>
          <w:tcPr/>
          <w:p>
            <w:pPr>
              <w:pStyle w:val="Compact"/>
              <w:jc w:val="left"/>
            </w:pPr>
            <w:r>
              <w:t xml:space="preserve">12 – 120</w:t>
            </w:r>
          </w:p>
        </w:tc>
        <w:tc>
          <w:tcPr/>
          <w:p>
            <w:pPr>
              <w:pStyle w:val="Compact"/>
              <w:jc w:val="left"/>
            </w:pPr>
            <w:r>
              <w:t xml:space="preserve">Partie A, circuit A6.1</w:t>
            </w:r>
          </w:p>
        </w:tc>
      </w:tr>
      <w:tr>
        <w:tc>
          <w:tcPr/>
          <w:p>
            <w:pPr>
              <w:pStyle w:val="Compact"/>
              <w:jc w:val="left"/>
            </w:pPr>
            <w:r>
              <w:t xml:space="preserve">Durée maximale d’une exécution</w:t>
            </w:r>
          </w:p>
        </w:tc>
        <w:tc>
          <w:tcPr/>
          <w:p>
            <w:pPr>
              <w:pStyle w:val="Compact"/>
              <w:jc w:val="left"/>
            </w:pPr>
            <w:r>
              <w:t xml:space="preserve">30 minutes</w:t>
            </w:r>
          </w:p>
        </w:tc>
        <w:tc>
          <w:tcPr/>
          <w:p>
            <w:pPr>
              <w:pStyle w:val="Compact"/>
              <w:jc w:val="left"/>
            </w:pPr>
            <w:r>
              <w:t xml:space="preserve">5 – 180</w:t>
            </w:r>
          </w:p>
        </w:tc>
        <w:tc>
          <w:tcPr/>
          <w:p>
            <w:pPr>
              <w:pStyle w:val="Compact"/>
              <w:jc w:val="left"/>
            </w:pPr>
            <w:r>
              <w:t xml:space="preserve">Partie B, B6.5</w:t>
            </w:r>
          </w:p>
        </w:tc>
      </w:tr>
      <w:tr>
        <w:tc>
          <w:tcPr/>
          <w:p>
            <w:pPr>
              <w:pStyle w:val="Compact"/>
              <w:jc w:val="left"/>
            </w:pPr>
            <w:r>
              <w:t xml:space="preserve">Plafond mémoire par exécution</w:t>
            </w:r>
          </w:p>
        </w:tc>
        <w:tc>
          <w:tcPr/>
          <w:p>
            <w:pPr>
              <w:pStyle w:val="Compact"/>
              <w:jc w:val="left"/>
            </w:pPr>
            <w:r>
              <w:t xml:space="preserve">8 Go</w:t>
            </w:r>
          </w:p>
        </w:tc>
        <w:tc>
          <w:tcPr/>
          <w:p>
            <w:pPr>
              <w:pStyle w:val="Compact"/>
              <w:jc w:val="left"/>
            </w:pPr>
            <w:r>
              <w:t xml:space="preserve">2 – 64</w:t>
            </w:r>
          </w:p>
        </w:tc>
        <w:tc>
          <w:tcPr/>
          <w:p>
            <w:pPr>
              <w:pStyle w:val="Compact"/>
              <w:jc w:val="left"/>
            </w:pPr>
            <w:r>
              <w:t xml:space="preserve">Partie B, B6.5</w:t>
            </w:r>
          </w:p>
        </w:tc>
      </w:tr>
      <w:tr>
        <w:tc>
          <w:tcPr/>
          <w:p>
            <w:pPr>
              <w:pStyle w:val="Compact"/>
              <w:jc w:val="left"/>
            </w:pPr>
            <w:r>
              <w:t xml:space="preserve">Exécutions concurrentes autorisées</w:t>
            </w:r>
          </w:p>
        </w:tc>
        <w:tc>
          <w:tcPr/>
          <w:p>
            <w:pPr>
              <w:pStyle w:val="Compact"/>
              <w:jc w:val="left"/>
            </w:pPr>
            <w:r>
              <w:t xml:space="preserve">5</w:t>
            </w:r>
          </w:p>
        </w:tc>
        <w:tc>
          <w:tcPr/>
          <w:p>
            <w:pPr>
              <w:pStyle w:val="Compact"/>
              <w:jc w:val="left"/>
            </w:pPr>
            <w:r>
              <w:t xml:space="preserve">1 – 20</w:t>
            </w:r>
          </w:p>
        </w:tc>
        <w:tc>
          <w:tcPr/>
          <w:p>
            <w:pPr>
              <w:pStyle w:val="Compact"/>
              <w:jc w:val="left"/>
            </w:pPr>
            <w:r>
              <w:t xml:space="preserve">SOC-DIM-04</w:t>
            </w:r>
          </w:p>
        </w:tc>
      </w:tr>
      <w:tr>
        <w:tc>
          <w:tcPr/>
          <w:p>
            <w:pPr>
              <w:pStyle w:val="Compact"/>
              <w:jc w:val="left"/>
            </w:pPr>
            <w:r>
              <w:t xml:space="preserve">Durée maximale d’un compte externe</w:t>
            </w:r>
          </w:p>
        </w:tc>
        <w:tc>
          <w:tcPr/>
          <w:p>
            <w:pPr>
              <w:pStyle w:val="Compact"/>
              <w:jc w:val="left"/>
            </w:pPr>
            <w:r>
              <w:t xml:space="preserve">90 jours</w:t>
            </w:r>
          </w:p>
        </w:tc>
        <w:tc>
          <w:tcPr/>
          <w:p>
            <w:pPr>
              <w:pStyle w:val="Compact"/>
              <w:jc w:val="left"/>
            </w:pPr>
            <w:r>
              <w:t xml:space="preserve">15 – 90</w:t>
            </w:r>
          </w:p>
        </w:tc>
        <w:tc>
          <w:tcPr/>
          <w:p>
            <w:pPr>
              <w:pStyle w:val="Compact"/>
              <w:jc w:val="left"/>
            </w:pPr>
            <w:r>
              <w:t xml:space="preserve">Partie 0, section 4.3</w:t>
            </w:r>
          </w:p>
        </w:tc>
      </w:tr>
      <w:tr>
        <w:tc>
          <w:tcPr/>
          <w:p>
            <w:pPr>
              <w:pStyle w:val="Compact"/>
              <w:jc w:val="left"/>
            </w:pPr>
            <w:r>
              <w:t xml:space="preserve">Alerte avant expiration d’un compte</w:t>
            </w:r>
          </w:p>
        </w:tc>
        <w:tc>
          <w:tcPr/>
          <w:p>
            <w:pPr>
              <w:pStyle w:val="Compact"/>
              <w:jc w:val="left"/>
            </w:pPr>
            <w:r>
              <w:t xml:space="preserve">15 jours</w:t>
            </w:r>
          </w:p>
        </w:tc>
        <w:tc>
          <w:tcPr/>
          <w:p>
            <w:pPr>
              <w:pStyle w:val="Compact"/>
              <w:jc w:val="left"/>
            </w:pPr>
            <w:r>
              <w:t xml:space="preserve">5 – 60</w:t>
            </w:r>
          </w:p>
        </w:tc>
        <w:tc>
          <w:tcPr/>
          <w:p>
            <w:pPr>
              <w:pStyle w:val="Compact"/>
              <w:jc w:val="left"/>
            </w:pPr>
            <w:r>
              <w:t xml:space="preserve">Partie 0, section 4.1</w:t>
            </w:r>
          </w:p>
        </w:tc>
      </w:tr>
      <w:tr>
        <w:tc>
          <w:tcPr/>
          <w:p>
            <w:pPr>
              <w:pStyle w:val="Compact"/>
              <w:jc w:val="left"/>
            </w:pPr>
            <w:r>
              <w:t xml:space="preserve">Durée standard d’une rotation de stage</w:t>
            </w:r>
          </w:p>
        </w:tc>
        <w:tc>
          <w:tcPr/>
          <w:p>
            <w:pPr>
              <w:pStyle w:val="Compact"/>
              <w:jc w:val="left"/>
            </w:pPr>
            <w:r>
              <w:t xml:space="preserve">10 jours ouvrables</w:t>
            </w:r>
          </w:p>
        </w:tc>
        <w:tc>
          <w:tcPr/>
          <w:p>
            <w:pPr>
              <w:pStyle w:val="Compact"/>
              <w:jc w:val="left"/>
            </w:pPr>
            <w:r>
              <w:t xml:space="preserve">5 – 30</w:t>
            </w:r>
          </w:p>
        </w:tc>
        <w:tc>
          <w:tcPr/>
          <w:p>
            <w:pPr>
              <w:pStyle w:val="Compact"/>
              <w:jc w:val="left"/>
            </w:pPr>
            <w:r>
              <w:t xml:space="preserve">Partie A, A5.1 — décision D-14</w:t>
            </w:r>
          </w:p>
        </w:tc>
      </w:tr>
      <w:tr>
        <w:tc>
          <w:tcPr/>
          <w:p>
            <w:pPr>
              <w:pStyle w:val="Compact"/>
              <w:jc w:val="left"/>
            </w:pPr>
            <w:r>
              <w:t xml:space="preserve">Conservation des journaux de connexion</w:t>
            </w:r>
          </w:p>
        </w:tc>
        <w:tc>
          <w:tcPr/>
          <w:p>
            <w:pPr>
              <w:pStyle w:val="Compact"/>
              <w:jc w:val="left"/>
            </w:pPr>
            <w:r>
              <w:t xml:space="preserve">12 mois</w:t>
            </w:r>
          </w:p>
        </w:tc>
        <w:tc>
          <w:tcPr/>
          <w:p>
            <w:pPr>
              <w:pStyle w:val="Compact"/>
              <w:jc w:val="left"/>
            </w:pPr>
            <w:r>
              <w:t xml:space="preserve">6 – 36</w:t>
            </w:r>
          </w:p>
        </w:tc>
        <w:tc>
          <w:tcPr/>
          <w:p>
            <w:pPr>
              <w:pStyle w:val="Compact"/>
              <w:jc w:val="left"/>
            </w:pPr>
            <w:r>
              <w:t xml:space="preserve">SOC-SEC-05</w:t>
            </w:r>
          </w:p>
        </w:tc>
      </w:tr>
      <w:tr>
        <w:tc>
          <w:tcPr/>
          <w:p>
            <w:pPr>
              <w:pStyle w:val="Compact"/>
              <w:jc w:val="left"/>
            </w:pPr>
            <w:r>
              <w:t xml:space="preserve">Expiration du jeton après inactivité</w:t>
            </w:r>
          </w:p>
        </w:tc>
        <w:tc>
          <w:tcPr/>
          <w:p>
            <w:pPr>
              <w:pStyle w:val="Compact"/>
              <w:jc w:val="left"/>
            </w:pPr>
            <w:r>
              <w:t xml:space="preserve">30 jours</w:t>
            </w:r>
          </w:p>
        </w:tc>
        <w:tc>
          <w:tcPr/>
          <w:p>
            <w:pPr>
              <w:pStyle w:val="Compact"/>
              <w:jc w:val="left"/>
            </w:pPr>
            <w:r>
              <w:t xml:space="preserve">1 – 90</w:t>
            </w:r>
          </w:p>
        </w:tc>
        <w:tc>
          <w:tcPr/>
          <w:p>
            <w:pPr>
              <w:pStyle w:val="Compact"/>
              <w:jc w:val="left"/>
            </w:pPr>
            <w:r>
              <w:t xml:space="preserve">Partie 0, section 4.4</w:t>
            </w:r>
          </w:p>
        </w:tc>
      </w:tr>
      <w:tr>
        <w:tc>
          <w:tcPr/>
          <w:p>
            <w:pPr>
              <w:pStyle w:val="Compact"/>
              <w:jc w:val="left"/>
            </w:pPr>
            <w:r>
              <w:t xml:space="preserve">Longueur minimale du mot de passe</w:t>
            </w:r>
          </w:p>
        </w:tc>
        <w:tc>
          <w:tcPr/>
          <w:p>
            <w:pPr>
              <w:pStyle w:val="Compact"/>
              <w:jc w:val="left"/>
            </w:pPr>
            <w:r>
              <w:t xml:space="preserve">12 caractères</w:t>
            </w:r>
          </w:p>
        </w:tc>
        <w:tc>
          <w:tcPr/>
          <w:p>
            <w:pPr>
              <w:pStyle w:val="Compact"/>
              <w:jc w:val="left"/>
            </w:pPr>
            <w:r>
              <w:t xml:space="preserve">8 – 32</w:t>
            </w:r>
          </w:p>
        </w:tc>
        <w:tc>
          <w:tcPr/>
          <w:p>
            <w:pPr>
              <w:pStyle w:val="Compact"/>
              <w:jc w:val="left"/>
            </w:pPr>
            <w:r>
              <w:t xml:space="preserve">Partie 0, section 4.4</w:t>
            </w:r>
          </w:p>
        </w:tc>
      </w:tr>
    </w:tbl>
    <w:p>
      <w:pPr>
        <w:pStyle w:val="BodyText"/>
      </w:pPr>
      <w:r>
        <w:t xml:space="preserve">Un réglage modifié doit être visible dans le circuit qu’il gouverne : ramener le délai d’avis de 48 à 24 heures change le comportement du circuit de congé</w:t>
      </w:r>
      <w:r>
        <w:t xml:space="preserve"> </w:t>
      </w:r>
      <w:r>
        <w:rPr>
          <w:bCs/>
          <w:b/>
        </w:rPr>
        <w:t xml:space="preserve">et</w:t>
      </w:r>
      <w:r>
        <w:t xml:space="preserve"> </w:t>
      </w:r>
      <w:r>
        <w:t xml:space="preserve">le texte affiché aux utilisateurs. Ce point est vérifié en recette.</w:t>
      </w:r>
    </w:p>
    <w:bookmarkEnd w:id="85"/>
    <w:bookmarkStart w:id="86" w:name="consultation-et-jugement-des-offres"/>
    <w:p>
      <w:pPr>
        <w:pStyle w:val="Heading3"/>
      </w:pPr>
      <w:r>
        <w:t xml:space="preserve">13.7 Consultation et jugement des offres</w:t>
      </w:r>
    </w:p>
    <w:p>
      <w:pPr>
        <w:pStyle w:val="FirstParagraph"/>
      </w:pPr>
      <w:r>
        <w:t xml:space="preserve">Le présent dossier constitue la pièce technique de la consultation. Les éléments ci-dessous en fixent le cadre ; ils sont repris, le cas échéant, dans le règlement de consultation établi par le service en charge des marchés, auquel ils cèdent en cas de divergence.</w:t>
      </w:r>
    </w:p>
    <w:p>
      <w:pPr>
        <w:pStyle w:val="BodyText"/>
      </w:pPr>
      <w:r>
        <w:rPr>
          <w:bCs/>
          <w:b/>
        </w:rPr>
        <w:t xml:space="preserve">Critères de jugement et pondération.</w:t>
      </w:r>
    </w:p>
    <w:tbl>
      <w:tblPr>
        <w:tblStyle w:val="Table"/>
        <w:tblW w:type="dxa" w:w="9354"/>
        <w:tblLayout w:type="fixed"/>
        <w:tblLook w:firstRow="1" w:lastRow="0" w:firstColumn="0" w:lastColumn="0" w:noHBand="0" w:noVBand="0" w:val="0020"/>
        <w:jc w:val="start"/>
      </w:tblPr>
      <w:tblGrid>
        <w:gridCol w:w="2588"/>
        <w:gridCol w:w="4404"/>
        <w:gridCol w:w="2362"/>
      </w:tblGrid>
      <w:tr>
        <w:trPr>
          <w:tblHeader w:val="true"/>
        </w:trPr>
        <w:tc>
          <w:tcPr/>
          <w:p>
            <w:pPr>
              <w:pStyle w:val="Compact"/>
              <w:jc w:val="left"/>
            </w:pPr>
            <w:r>
              <w:t xml:space="preserve">Critère</w:t>
            </w:r>
          </w:p>
        </w:tc>
        <w:tc>
          <w:tcPr/>
          <w:p>
            <w:pPr>
              <w:pStyle w:val="Compact"/>
              <w:jc w:val="left"/>
            </w:pPr>
            <w:r>
              <w:t xml:space="preserve">Contenu évalué</w:t>
            </w:r>
          </w:p>
        </w:tc>
        <w:tc>
          <w:tcPr/>
          <w:p>
            <w:pPr>
              <w:pStyle w:val="Compact"/>
              <w:jc w:val="left"/>
            </w:pPr>
            <w:r>
              <w:t xml:space="preserve">Poids</w:t>
            </w:r>
          </w:p>
        </w:tc>
      </w:tr>
      <w:tr>
        <w:tc>
          <w:tcPr/>
          <w:p>
            <w:pPr>
              <w:pStyle w:val="Compact"/>
              <w:jc w:val="left"/>
            </w:pPr>
            <w:r>
              <w:t xml:space="preserve">Valeur technique</w:t>
            </w:r>
          </w:p>
        </w:tc>
        <w:tc>
          <w:tcPr/>
          <w:p>
            <w:pPr>
              <w:pStyle w:val="Compact"/>
              <w:jc w:val="left"/>
            </w:pPr>
            <w:r>
              <w:t xml:space="preserve">Compréhension du modèle d’habilitation à deux axes et du cloisonnement des domaines, qualité de la démarche de recette, alternative technique éventuelle et sa justification</w:t>
            </w:r>
          </w:p>
        </w:tc>
        <w:tc>
          <w:tcPr/>
          <w:p>
            <w:pPr>
              <w:pStyle w:val="Compact"/>
              <w:jc w:val="left"/>
            </w:pPr>
            <w:r>
              <w:t xml:space="preserve">40 %</w:t>
            </w:r>
          </w:p>
        </w:tc>
      </w:tr>
      <w:tr>
        <w:tc>
          <w:tcPr/>
          <w:p>
            <w:pPr>
              <w:pStyle w:val="Compact"/>
              <w:jc w:val="left"/>
            </w:pPr>
            <w:r>
              <w:t xml:space="preserve">Couverture des deux domaines</w:t>
            </w:r>
          </w:p>
        </w:tc>
        <w:tc>
          <w:tcPr/>
          <w:p>
            <w:pPr>
              <w:pStyle w:val="Compact"/>
              <w:jc w:val="left"/>
            </w:pPr>
            <w:r>
              <w:t xml:space="preserve">Références sur les circuits administratifs et de paie d’une part, sur l’orchestration de modèles économiques d’autre part ; composition de l’équipe et co-traitance proposée</w:t>
            </w:r>
          </w:p>
        </w:tc>
        <w:tc>
          <w:tcPr/>
          <w:p>
            <w:pPr>
              <w:pStyle w:val="Compact"/>
              <w:jc w:val="left"/>
            </w:pPr>
            <w:r>
              <w:t xml:space="preserve">20 %</w:t>
            </w:r>
          </w:p>
        </w:tc>
      </w:tr>
      <w:tr>
        <w:tc>
          <w:tcPr/>
          <w:p>
            <w:pPr>
              <w:pStyle w:val="Compact"/>
              <w:jc w:val="left"/>
            </w:pPr>
            <w:r>
              <w:t xml:space="preserve">Prix</w:t>
            </w:r>
          </w:p>
        </w:tc>
        <w:tc>
          <w:tcPr/>
          <w:p>
            <w:pPr>
              <w:pStyle w:val="Compact"/>
              <w:jc w:val="left"/>
            </w:pPr>
            <w:r>
              <w:t xml:space="preserve">Chiffrage par lot, en charge et en montant, et coût annuel de fonctionnement induit</w:t>
            </w:r>
          </w:p>
        </w:tc>
        <w:tc>
          <w:tcPr/>
          <w:p>
            <w:pPr>
              <w:pStyle w:val="Compact"/>
              <w:jc w:val="left"/>
            </w:pPr>
            <w:r>
              <w:t xml:space="preserve">30 %</w:t>
            </w:r>
          </w:p>
        </w:tc>
      </w:tr>
      <w:tr>
        <w:tc>
          <w:tcPr/>
          <w:p>
            <w:pPr>
              <w:pStyle w:val="Compact"/>
              <w:jc w:val="left"/>
            </w:pPr>
            <w:r>
              <w:t xml:space="preserve">Délais et engagements</w:t>
            </w:r>
          </w:p>
        </w:tc>
        <w:tc>
          <w:tcPr/>
          <w:p>
            <w:pPr>
              <w:pStyle w:val="Compact"/>
              <w:jc w:val="left"/>
            </w:pPr>
            <w:r>
              <w:t xml:space="preserve">Planning par lot, jalons de recette, engagements écrits de la section 18.5</w:t>
            </w:r>
          </w:p>
        </w:tc>
        <w:tc>
          <w:tcPr/>
          <w:p>
            <w:pPr>
              <w:pStyle w:val="Compact"/>
              <w:jc w:val="left"/>
            </w:pPr>
            <w:r>
              <w:t xml:space="preserve">10 %</w:t>
            </w:r>
          </w:p>
        </w:tc>
      </w:tr>
    </w:tbl>
    <w:p>
      <w:pPr>
        <w:pStyle w:val="BodyText"/>
      </w:pPr>
      <w:r>
        <w:t xml:space="preserve">Une offre qui ne renseigne pas la grille de chiffrage de la section 17.4 par lot est irrégulière. Une offre qui ne couvre qu’un seul des deux domaines, sans co-traitance, est irrecevable.</w:t>
      </w:r>
    </w:p>
    <w:p>
      <w:pPr>
        <w:pStyle w:val="BodyText"/>
      </w:pPr>
      <w:r>
        <w:rPr>
          <w:bCs/>
          <w:b/>
        </w:rPr>
        <w:t xml:space="preserve">Délai de validité des offres :</w:t>
      </w:r>
      <w:r>
        <w:t xml:space="preserve"> </w:t>
      </w:r>
      <w:r>
        <w:t xml:space="preserve">90 jours à compter de la date limite de remise.</w:t>
      </w:r>
    </w:p>
    <w:p>
      <w:pPr>
        <w:pStyle w:val="BodyText"/>
      </w:pPr>
      <w:r>
        <w:rPr>
          <w:bCs/>
          <w:b/>
        </w:rPr>
        <w:t xml:space="preserve">Modalités de remise.</w:t>
      </w:r>
      <w:r>
        <w:t xml:space="preserve"> </w:t>
      </w:r>
      <w:r>
        <w:t xml:space="preserve">Offre technique et offre financière séparées, en français, remises à la CSID par la voie indiquée au règlement de consultation. Les questions sont adressées par écrit à la CSID au plus tard 10 jours avant la date limite ; les réponses sont communiquées à l’ensemble des candidats.</w:t>
      </w:r>
    </w:p>
    <w:p>
      <w:pPr>
        <w:pStyle w:val="BodyText"/>
      </w:pPr>
      <w:r>
        <w:rPr>
          <w:bCs/>
          <w:b/>
        </w:rPr>
        <w:t xml:space="preserve">Date limite de remise :</w:t>
      </w:r>
      <w:r>
        <w:t xml:space="preserve"> </w:t>
      </w:r>
      <w:r>
        <w:t xml:space="preserve">à fixer par la Direction lors de la diffusion.</w:t>
      </w:r>
    </w:p>
    <w:bookmarkEnd w:id="86"/>
    <w:bookmarkStart w:id="87" w:name="évolutions-dexigences"/>
    <w:p>
      <w:pPr>
        <w:pStyle w:val="Heading3"/>
      </w:pPr>
      <w:r>
        <w:t xml:space="preserve">13.8 Évolutions d’exigences</w:t>
      </w:r>
    </w:p>
    <w:p>
      <w:pPr>
        <w:pStyle w:val="FirstParagraph"/>
      </w:pPr>
      <w:r>
        <w:t xml:space="preserve">Toute demande d’évolution fait l’objet d’une fiche identifiant l’exigence concernée, l’impact sur le délai et la charge, et la décision du comité de pilotage. Aucune évolution n’est engagée sur la base d’un échange oral ou d’un message.</w:t>
      </w:r>
    </w:p>
    <w:bookmarkEnd w:id="87"/>
    <w:bookmarkEnd w:id="88"/>
    <w:bookmarkStart w:id="92" w:name="registre-des-décisions"/>
    <w:p>
      <w:pPr>
        <w:pStyle w:val="Heading2"/>
      </w:pPr>
      <w:r>
        <w:t xml:space="preserve">14. Registre des décisions</w:t>
      </w:r>
    </w:p>
    <w:p>
      <w:pPr>
        <w:pStyle w:val="FirstParagraph"/>
      </w:pPr>
      <w:r>
        <w:t xml:space="preserve">Un seul registre pour les deux domaines, à la place des 24 points ouverts du cahier SI et des 15 décisions du cahier simulation. Les décisions</w:t>
      </w:r>
      <w:r>
        <w:t xml:space="preserve"> </w:t>
      </w:r>
      <w:r>
        <w:rPr>
          <w:bCs/>
          <w:b/>
        </w:rPr>
        <w:t xml:space="preserve">D-01 à D-10 et D-28 conditionnent le démarrage</w:t>
      </w:r>
      <w:r>
        <w:t xml:space="preserve">. D-01 est rendue ; les dix autres restent ouvertes. Sans elles, la maîtrise d’œuvre ne peut ni chiffrer, ni concevoir sans présumer d’une réponse : sans elles, la maîtrise d’œuvre ne peut ni chiffrer, ni concevoir sans présumer d’une réponse. Les suivantes se tranchent en cours de projet, avant le lot indiqué.</w:t>
      </w:r>
    </w:p>
    <w:bookmarkStart w:id="89" w:name="décisions-bloquantes"/>
    <w:p>
      <w:pPr>
        <w:pStyle w:val="Heading3"/>
      </w:pPr>
      <w:r>
        <w:t xml:space="preserve">14.1 Décisions bloquantes</w:t>
      </w:r>
    </w:p>
    <w:tbl>
      <w:tblPr>
        <w:tblStyle w:val="Table"/>
        <w:tblW w:type="dxa" w:w="9354"/>
        <w:tblLayout w:type="fixed"/>
        <w:tblLook w:firstRow="1" w:lastRow="0" w:firstColumn="0" w:lastColumn="0" w:noHBand="0" w:noVBand="0" w:val="0020"/>
        <w:jc w:val="start"/>
      </w:tblPr>
      <w:tblGrid>
        <w:gridCol w:w="1667"/>
        <w:gridCol w:w="2469"/>
        <w:gridCol w:w="1775"/>
        <w:gridCol w:w="1662"/>
        <w:gridCol w:w="1781"/>
      </w:tblGrid>
      <w:tr>
        <w:trPr>
          <w:tblHeader w:val="true"/>
        </w:trPr>
        <w:tc>
          <w:tcPr/>
          <w:p>
            <w:pPr>
              <w:pStyle w:val="Compact"/>
              <w:jc w:val="left"/>
            </w:pPr>
            <w:r>
              <w:t xml:space="preserve">Réf</w:t>
            </w:r>
          </w:p>
        </w:tc>
        <w:tc>
          <w:tcPr/>
          <w:p>
            <w:pPr>
              <w:pStyle w:val="Compact"/>
              <w:jc w:val="left"/>
            </w:pPr>
            <w:r>
              <w:t xml:space="preserve">Décision</w:t>
            </w:r>
          </w:p>
        </w:tc>
        <w:tc>
          <w:tcPr/>
          <w:p>
            <w:pPr>
              <w:pStyle w:val="Compact"/>
              <w:jc w:val="left"/>
            </w:pPr>
            <w:r>
              <w:t xml:space="preserve">Qui décide</w:t>
            </w:r>
          </w:p>
        </w:tc>
        <w:tc>
          <w:tcPr/>
          <w:p>
            <w:pPr>
              <w:pStyle w:val="Compact"/>
              <w:jc w:val="left"/>
            </w:pPr>
            <w:r>
              <w:t xml:space="preserve">Lot concerné</w:t>
            </w:r>
          </w:p>
        </w:tc>
        <w:tc>
          <w:tcPr/>
          <w:p>
            <w:pPr>
              <w:pStyle w:val="Compact"/>
              <w:jc w:val="left"/>
            </w:pPr>
            <w:r>
              <w:t xml:space="preserve">État</w:t>
            </w:r>
          </w:p>
        </w:tc>
      </w:tr>
      <w:tr>
        <w:tc>
          <w:tcPr/>
          <w:p>
            <w:pPr>
              <w:pStyle w:val="Compact"/>
              <w:jc w:val="left"/>
            </w:pPr>
            <w:r>
              <w:t xml:space="preserve">D-01</w:t>
            </w:r>
          </w:p>
        </w:tc>
        <w:tc>
          <w:tcPr/>
          <w:p>
            <w:pPr>
              <w:pStyle w:val="Compact"/>
              <w:jc w:val="left"/>
            </w:pPr>
            <w:r>
              <w:t xml:space="preserve">Nom unique du produit</w:t>
            </w:r>
          </w:p>
        </w:tc>
        <w:tc>
          <w:tcPr/>
          <w:p>
            <w:pPr>
              <w:pStyle w:val="Compact"/>
              <w:jc w:val="left"/>
            </w:pPr>
            <w:r>
              <w:t xml:space="preserve">DN</w:t>
            </w:r>
          </w:p>
        </w:tc>
        <w:tc>
          <w:tcPr/>
          <w:p>
            <w:pPr>
              <w:pStyle w:val="Compact"/>
              <w:jc w:val="left"/>
            </w:pPr>
            <w:r>
              <w:t xml:space="preserve">0</w:t>
            </w:r>
          </w:p>
        </w:tc>
        <w:tc>
          <w:tcPr/>
          <w:p>
            <w:pPr>
              <w:pStyle w:val="Compact"/>
              <w:jc w:val="left"/>
            </w:pPr>
            <w:r>
              <w:rPr>
                <w:bCs/>
                <w:b/>
              </w:rPr>
              <w:t xml:space="preserve">Rendue le 19/09/2026 : NIMBA</w:t>
            </w:r>
          </w:p>
        </w:tc>
      </w:tr>
      <w:tr>
        <w:tc>
          <w:tcPr/>
          <w:p>
            <w:pPr>
              <w:pStyle w:val="Compact"/>
              <w:jc w:val="left"/>
            </w:pPr>
            <w:r>
              <w:t xml:space="preserve">D-02</w:t>
            </w:r>
          </w:p>
        </w:tc>
        <w:tc>
          <w:tcPr/>
          <w:p>
            <w:pPr>
              <w:pStyle w:val="Compact"/>
              <w:jc w:val="left"/>
            </w:pPr>
            <w:r>
              <w:t xml:space="preserve">Rattachement ou non de la PICE au socle d’identité</w:t>
            </w:r>
          </w:p>
        </w:tc>
        <w:tc>
          <w:tcPr/>
          <w:p>
            <w:pPr>
              <w:pStyle w:val="Compact"/>
              <w:jc w:val="left"/>
            </w:pPr>
            <w:r>
              <w:t xml:space="preserve">DN, CSID</w:t>
            </w:r>
          </w:p>
        </w:tc>
        <w:tc>
          <w:tcPr/>
          <w:p>
            <w:pPr>
              <w:pStyle w:val="Compact"/>
              <w:jc w:val="left"/>
            </w:pPr>
            <w:r>
              <w:t xml:space="preserve">0</w:t>
            </w:r>
          </w:p>
        </w:tc>
        <w:tc>
          <w:tcPr/>
          <w:p>
            <w:pPr>
              <w:pStyle w:val="Compact"/>
              <w:jc w:val="left"/>
            </w:pPr>
            <w:r>
              <w:t xml:space="preserve">Ouverte</w:t>
            </w:r>
          </w:p>
        </w:tc>
      </w:tr>
      <w:tr>
        <w:tc>
          <w:tcPr/>
          <w:p>
            <w:pPr>
              <w:pStyle w:val="Compact"/>
              <w:jc w:val="left"/>
            </w:pPr>
            <w:r>
              <w:t xml:space="preserve">D-03</w:t>
            </w:r>
          </w:p>
        </w:tc>
        <w:tc>
          <w:tcPr/>
          <w:p>
            <w:pPr>
              <w:pStyle w:val="Compact"/>
              <w:jc w:val="left"/>
            </w:pPr>
            <w:r>
              <w:t xml:space="preserve">Langage applicatif retenu, au vu de la compétence réelle de la CSID</w:t>
            </w:r>
          </w:p>
        </w:tc>
        <w:tc>
          <w:tcPr/>
          <w:p>
            <w:pPr>
              <w:pStyle w:val="Compact"/>
              <w:jc w:val="left"/>
            </w:pPr>
            <w:r>
              <w:t xml:space="preserve">CSID, comité de pilotage</w:t>
            </w:r>
          </w:p>
        </w:tc>
        <w:tc>
          <w:tcPr/>
          <w:p>
            <w:pPr>
              <w:pStyle w:val="Compact"/>
              <w:jc w:val="left"/>
            </w:pPr>
            <w:r>
              <w:t xml:space="preserve">0</w:t>
            </w:r>
          </w:p>
        </w:tc>
        <w:tc>
          <w:tcPr/>
          <w:p>
            <w:pPr>
              <w:pStyle w:val="Compact"/>
              <w:jc w:val="left"/>
            </w:pPr>
            <w:r>
              <w:t xml:space="preserve">Ouverte</w:t>
            </w:r>
          </w:p>
        </w:tc>
      </w:tr>
      <w:tr>
        <w:tc>
          <w:tcPr/>
          <w:p>
            <w:pPr>
              <w:pStyle w:val="Compact"/>
              <w:jc w:val="left"/>
            </w:pPr>
            <w:r>
              <w:t xml:space="preserve">D-04</w:t>
            </w:r>
          </w:p>
        </w:tc>
        <w:tc>
          <w:tcPr/>
          <w:p>
            <w:pPr>
              <w:pStyle w:val="Compact"/>
              <w:jc w:val="left"/>
            </w:pPr>
            <w:r>
              <w:t xml:space="preserve">Validation du périmètre fusionné, du lotissement en huit lots et du modèle d’habilitation à deux axes</w:t>
            </w:r>
          </w:p>
        </w:tc>
        <w:tc>
          <w:tcPr/>
          <w:p>
            <w:pPr>
              <w:pStyle w:val="Compact"/>
              <w:jc w:val="left"/>
            </w:pPr>
            <w:r>
              <w:t xml:space="preserve">Comité de pilotage</w:t>
            </w:r>
          </w:p>
        </w:tc>
        <w:tc>
          <w:tcPr/>
          <w:p>
            <w:pPr>
              <w:pStyle w:val="Compact"/>
              <w:jc w:val="left"/>
            </w:pPr>
            <w:r>
              <w:t xml:space="preserve">0</w:t>
            </w:r>
          </w:p>
        </w:tc>
        <w:tc>
          <w:tcPr/>
          <w:p>
            <w:pPr>
              <w:pStyle w:val="Compact"/>
              <w:jc w:val="left"/>
            </w:pPr>
            <w:r>
              <w:t xml:space="preserve">Ouverte</w:t>
            </w:r>
          </w:p>
        </w:tc>
      </w:tr>
      <w:tr>
        <w:tc>
          <w:tcPr/>
          <w:p>
            <w:pPr>
              <w:pStyle w:val="Compact"/>
              <w:jc w:val="left"/>
            </w:pPr>
            <w:r>
              <w:t xml:space="preserve">D-05</w:t>
            </w:r>
          </w:p>
        </w:tc>
        <w:tc>
          <w:tcPr/>
          <w:p>
            <w:pPr>
              <w:pStyle w:val="Compact"/>
              <w:jc w:val="left"/>
            </w:pPr>
            <w:r>
              <w:t xml:space="preserve">Désignation de la maîtrise d’œuvre et clarification écrite des rôles de la CSID</w:t>
            </w:r>
          </w:p>
        </w:tc>
        <w:tc>
          <w:tcPr/>
          <w:p>
            <w:pPr>
              <w:pStyle w:val="Compact"/>
              <w:jc w:val="left"/>
            </w:pPr>
            <w:r>
              <w:t xml:space="preserve">DN</w:t>
            </w:r>
          </w:p>
        </w:tc>
        <w:tc>
          <w:tcPr/>
          <w:p>
            <w:pPr>
              <w:pStyle w:val="Compact"/>
              <w:jc w:val="left"/>
            </w:pPr>
            <w:r>
              <w:t xml:space="preserve">0</w:t>
            </w:r>
          </w:p>
        </w:tc>
        <w:tc>
          <w:tcPr/>
          <w:p>
            <w:pPr>
              <w:pStyle w:val="Compact"/>
              <w:jc w:val="left"/>
            </w:pPr>
            <w:r>
              <w:t xml:space="preserve">Ouverte</w:t>
            </w:r>
          </w:p>
        </w:tc>
      </w:tr>
      <w:tr>
        <w:tc>
          <w:tcPr/>
          <w:p>
            <w:pPr>
              <w:pStyle w:val="Compact"/>
              <w:jc w:val="left"/>
            </w:pPr>
            <w:r>
              <w:t xml:space="preserve">D-06</w:t>
            </w:r>
          </w:p>
        </w:tc>
        <w:tc>
          <w:tcPr/>
          <w:p>
            <w:pPr>
              <w:pStyle w:val="Compact"/>
              <w:jc w:val="left"/>
            </w:pPr>
            <w:r>
              <w:t xml:space="preserve">Périmètre exact des droits des assistants du DN et du DNA</w:t>
            </w:r>
          </w:p>
        </w:tc>
        <w:tc>
          <w:tcPr/>
          <w:p>
            <w:pPr>
              <w:pStyle w:val="Compact"/>
              <w:jc w:val="left"/>
            </w:pPr>
            <w:r>
              <w:t xml:space="preserve">DN</w:t>
            </w:r>
          </w:p>
        </w:tc>
        <w:tc>
          <w:tcPr/>
          <w:p>
            <w:pPr>
              <w:pStyle w:val="Compact"/>
              <w:jc w:val="left"/>
            </w:pPr>
            <w:r>
              <w:t xml:space="preserve">0</w:t>
            </w:r>
          </w:p>
        </w:tc>
        <w:tc>
          <w:tcPr/>
          <w:p>
            <w:pPr>
              <w:pStyle w:val="Compact"/>
              <w:jc w:val="left"/>
            </w:pPr>
            <w:r>
              <w:t xml:space="preserve">Ouverte</w:t>
            </w:r>
          </w:p>
        </w:tc>
      </w:tr>
      <w:tr>
        <w:tc>
          <w:tcPr/>
          <w:p>
            <w:pPr>
              <w:pStyle w:val="Compact"/>
              <w:jc w:val="left"/>
            </w:pPr>
            <w:r>
              <w:t xml:space="preserve">D-07</w:t>
            </w:r>
          </w:p>
        </w:tc>
        <w:tc>
          <w:tcPr/>
          <w:p>
            <w:pPr>
              <w:pStyle w:val="Compact"/>
              <w:jc w:val="left"/>
            </w:pPr>
            <w:r>
              <w:t xml:space="preserve">Hébergement définitif du produit et du moteur de calcul</w:t>
            </w:r>
          </w:p>
        </w:tc>
        <w:tc>
          <w:tcPr/>
          <w:p>
            <w:pPr>
              <w:pStyle w:val="Compact"/>
              <w:jc w:val="left"/>
            </w:pPr>
            <w:r>
              <w:t xml:space="preserve">DN, CSID, services informatiques du MEFB</w:t>
            </w:r>
          </w:p>
        </w:tc>
        <w:tc>
          <w:tcPr/>
          <w:p>
            <w:pPr>
              <w:pStyle w:val="Compact"/>
              <w:jc w:val="left"/>
            </w:pPr>
            <w:r>
              <w:t xml:space="preserve">0, bloquant pour 5</w:t>
            </w:r>
          </w:p>
        </w:tc>
        <w:tc>
          <w:tcPr/>
          <w:p>
            <w:pPr>
              <w:pStyle w:val="Compact"/>
              <w:jc w:val="left"/>
            </w:pPr>
            <w:r>
              <w:t xml:space="preserve">Ouverte</w:t>
            </w:r>
          </w:p>
        </w:tc>
      </w:tr>
      <w:tr>
        <w:tc>
          <w:tcPr/>
          <w:p>
            <w:pPr>
              <w:pStyle w:val="Compact"/>
              <w:jc w:val="left"/>
            </w:pPr>
            <w:r>
              <w:t xml:space="preserve">D-08</w:t>
            </w:r>
          </w:p>
        </w:tc>
        <w:tc>
          <w:tcPr/>
          <w:p>
            <w:pPr>
              <w:pStyle w:val="Compact"/>
              <w:jc w:val="left"/>
            </w:pPr>
            <w:r>
              <w:t xml:space="preserve">Principe du recours à un service d’IA externe et périmètre de données concerné</w:t>
            </w:r>
          </w:p>
        </w:tc>
        <w:tc>
          <w:tcPr/>
          <w:p>
            <w:pPr>
              <w:pStyle w:val="Compact"/>
              <w:jc w:val="left"/>
            </w:pPr>
            <w:r>
              <w:t xml:space="preserve">DN</w:t>
            </w:r>
          </w:p>
        </w:tc>
        <w:tc>
          <w:tcPr/>
          <w:p>
            <w:pPr>
              <w:pStyle w:val="Compact"/>
              <w:jc w:val="left"/>
            </w:pPr>
            <w:r>
              <w:t xml:space="preserve">4</w:t>
            </w:r>
          </w:p>
        </w:tc>
        <w:tc>
          <w:tcPr/>
          <w:p>
            <w:pPr>
              <w:pStyle w:val="Compact"/>
              <w:jc w:val="left"/>
            </w:pPr>
            <w:r>
              <w:t xml:space="preserve">Ouverte</w:t>
            </w:r>
          </w:p>
        </w:tc>
      </w:tr>
      <w:tr>
        <w:tc>
          <w:tcPr/>
          <w:p>
            <w:pPr>
              <w:pStyle w:val="Compact"/>
              <w:jc w:val="left"/>
            </w:pPr>
            <w:r>
              <w:t xml:space="preserve">D-09</w:t>
            </w:r>
          </w:p>
        </w:tc>
        <w:tc>
          <w:tcPr/>
          <w:p>
            <w:pPr>
              <w:pStyle w:val="Compact"/>
              <w:jc w:val="left"/>
            </w:pPr>
            <w:r>
              <w:t xml:space="preserve">Désignation d’un responsable par modèle et de deux administrateurs</w:t>
            </w:r>
          </w:p>
        </w:tc>
        <w:tc>
          <w:tcPr/>
          <w:p>
            <w:pPr>
              <w:pStyle w:val="Compact"/>
              <w:jc w:val="left"/>
            </w:pPr>
            <w:r>
              <w:t xml:space="preserve">Chef de la DPE</w:t>
            </w:r>
          </w:p>
        </w:tc>
        <w:tc>
          <w:tcPr/>
          <w:p>
            <w:pPr>
              <w:pStyle w:val="Compact"/>
              <w:jc w:val="left"/>
            </w:pPr>
            <w:r>
              <w:t xml:space="preserve">1</w:t>
            </w:r>
          </w:p>
        </w:tc>
        <w:tc>
          <w:tcPr/>
          <w:p>
            <w:pPr>
              <w:pStyle w:val="Compact"/>
              <w:jc w:val="left"/>
            </w:pPr>
            <w:r>
              <w:t xml:space="preserve">Ouverte</w:t>
            </w:r>
          </w:p>
        </w:tc>
      </w:tr>
      <w:tr>
        <w:tc>
          <w:tcPr/>
          <w:p>
            <w:pPr>
              <w:pStyle w:val="Compact"/>
              <w:jc w:val="left"/>
            </w:pPr>
            <w:r>
              <w:t xml:space="preserve">D-10</w:t>
            </w:r>
          </w:p>
        </w:tc>
        <w:tc>
          <w:tcPr/>
          <w:p>
            <w:pPr>
              <w:pStyle w:val="Compact"/>
              <w:jc w:val="left"/>
            </w:pPr>
            <w:r>
              <w:t xml:space="preserve">Budget d’investissement et enveloppe annuelle de fonctionnement</w:t>
            </w:r>
          </w:p>
        </w:tc>
        <w:tc>
          <w:tcPr/>
          <w:p>
            <w:pPr>
              <w:pStyle w:val="Compact"/>
              <w:jc w:val="left"/>
            </w:pPr>
            <w:r>
              <w:t xml:space="preserve">DN</w:t>
            </w:r>
          </w:p>
        </w:tc>
        <w:tc>
          <w:tcPr/>
          <w:p>
            <w:pPr>
              <w:pStyle w:val="Compact"/>
              <w:jc w:val="left"/>
            </w:pPr>
            <w:r>
              <w:t xml:space="preserve">0</w:t>
            </w:r>
          </w:p>
        </w:tc>
        <w:tc>
          <w:tcPr/>
          <w:p>
            <w:pPr>
              <w:pStyle w:val="Compact"/>
              <w:jc w:val="left"/>
            </w:pPr>
            <w:r>
              <w:t xml:space="preserve">Ouverte</w:t>
            </w:r>
          </w:p>
        </w:tc>
      </w:tr>
    </w:tbl>
    <w:bookmarkEnd w:id="89"/>
    <w:bookmarkStart w:id="90" w:name="décisions-à-rendre-avant-un-lot-donné"/>
    <w:p>
      <w:pPr>
        <w:pStyle w:val="Heading3"/>
      </w:pPr>
      <w:r>
        <w:t xml:space="preserve">14.2 Décisions à rendre avant un lot donné</w:t>
      </w:r>
    </w:p>
    <w:tbl>
      <w:tblPr>
        <w:tblStyle w:val="Table"/>
        <w:tblW w:type="dxa" w:w="9354"/>
        <w:tblLayout w:type="fixed"/>
        <w:tblLook w:firstRow="1" w:lastRow="0" w:firstColumn="0" w:lastColumn="0" w:noHBand="0" w:noVBand="0" w:val="0020"/>
        <w:jc w:val="start"/>
      </w:tblPr>
      <w:tblGrid>
        <w:gridCol w:w="1978"/>
        <w:gridCol w:w="3334"/>
        <w:gridCol w:w="2106"/>
        <w:gridCol w:w="1936"/>
      </w:tblGrid>
      <w:tr>
        <w:trPr>
          <w:tblHeader w:val="true"/>
        </w:trPr>
        <w:tc>
          <w:tcPr/>
          <w:p>
            <w:pPr>
              <w:pStyle w:val="Compact"/>
              <w:jc w:val="left"/>
            </w:pPr>
            <w:r>
              <w:t xml:space="preserve">Réf</w:t>
            </w:r>
          </w:p>
        </w:tc>
        <w:tc>
          <w:tcPr/>
          <w:p>
            <w:pPr>
              <w:pStyle w:val="Compact"/>
              <w:jc w:val="left"/>
            </w:pPr>
            <w:r>
              <w:t xml:space="preserve">Décision</w:t>
            </w:r>
          </w:p>
        </w:tc>
        <w:tc>
          <w:tcPr/>
          <w:p>
            <w:pPr>
              <w:pStyle w:val="Compact"/>
              <w:jc w:val="left"/>
            </w:pPr>
            <w:r>
              <w:t xml:space="preserve">Qui décide</w:t>
            </w:r>
          </w:p>
        </w:tc>
        <w:tc>
          <w:tcPr/>
          <w:p>
            <w:pPr>
              <w:pStyle w:val="Compact"/>
              <w:jc w:val="left"/>
            </w:pPr>
            <w:r>
              <w:t xml:space="preserve">Avant le lot</w:t>
            </w:r>
          </w:p>
        </w:tc>
      </w:tr>
      <w:tr>
        <w:tc>
          <w:tcPr/>
          <w:p>
            <w:pPr>
              <w:pStyle w:val="Compact"/>
              <w:jc w:val="left"/>
            </w:pPr>
            <w:r>
              <w:t xml:space="preserve">D-11</w:t>
            </w:r>
          </w:p>
        </w:tc>
        <w:tc>
          <w:tcPr/>
          <w:p>
            <w:pPr>
              <w:pStyle w:val="Compact"/>
              <w:jc w:val="left"/>
            </w:pPr>
            <w:r>
              <w:t xml:space="preserve">Adhésion au principe du référentiel faisant foi et au gel des fichiers de modèles à la mise en service</w:t>
            </w:r>
          </w:p>
        </w:tc>
        <w:tc>
          <w:tcPr/>
          <w:p>
            <w:pPr>
              <w:pStyle w:val="Compact"/>
              <w:jc w:val="left"/>
            </w:pPr>
            <w:r>
              <w:t xml:space="preserve">Chef de la DPE, DN</w:t>
            </w:r>
          </w:p>
        </w:tc>
        <w:tc>
          <w:tcPr/>
          <w:p>
            <w:pPr>
              <w:pStyle w:val="Compact"/>
              <w:jc w:val="left"/>
            </w:pPr>
            <w:r>
              <w:t xml:space="preserve">1</w:t>
            </w:r>
          </w:p>
        </w:tc>
      </w:tr>
      <w:tr>
        <w:tc>
          <w:tcPr/>
          <w:p>
            <w:pPr>
              <w:pStyle w:val="Compact"/>
              <w:jc w:val="left"/>
            </w:pPr>
            <w:r>
              <w:t xml:space="preserve">D-12</w:t>
            </w:r>
          </w:p>
        </w:tc>
        <w:tc>
          <w:tcPr/>
          <w:p>
            <w:pPr>
              <w:pStyle w:val="Compact"/>
              <w:jc w:val="left"/>
            </w:pPr>
            <w:r>
              <w:t xml:space="preserve">Circuit de congé : avis du chef d’unité puis décision du DRH</w:t>
            </w:r>
          </w:p>
        </w:tc>
        <w:tc>
          <w:tcPr/>
          <w:p>
            <w:pPr>
              <w:pStyle w:val="Compact"/>
              <w:jc w:val="left"/>
            </w:pPr>
            <w:r>
              <w:t xml:space="preserve">DN, DRH</w:t>
            </w:r>
          </w:p>
        </w:tc>
        <w:tc>
          <w:tcPr/>
          <w:p>
            <w:pPr>
              <w:pStyle w:val="Compact"/>
              <w:jc w:val="left"/>
            </w:pPr>
            <w:r>
              <w:t xml:space="preserve">3</w:t>
            </w:r>
          </w:p>
        </w:tc>
      </w:tr>
      <w:tr>
        <w:tc>
          <w:tcPr/>
          <w:p>
            <w:pPr>
              <w:pStyle w:val="Compact"/>
              <w:jc w:val="left"/>
            </w:pPr>
            <w:r>
              <w:t xml:space="preserve">D-13</w:t>
            </w:r>
          </w:p>
        </w:tc>
        <w:tc>
          <w:tcPr/>
          <w:p>
            <w:pPr>
              <w:pStyle w:val="Compact"/>
              <w:jc w:val="left"/>
            </w:pPr>
            <w:r>
              <w:t xml:space="preserve">Règles de gestion des congés, absences et missions</w:t>
            </w:r>
          </w:p>
        </w:tc>
        <w:tc>
          <w:tcPr/>
          <w:p>
            <w:pPr>
              <w:pStyle w:val="Compact"/>
              <w:jc w:val="left"/>
            </w:pPr>
            <w:r>
              <w:t xml:space="preserve">RH</w:t>
            </w:r>
          </w:p>
        </w:tc>
        <w:tc>
          <w:tcPr/>
          <w:p>
            <w:pPr>
              <w:pStyle w:val="Compact"/>
              <w:jc w:val="left"/>
            </w:pPr>
            <w:r>
              <w:t xml:space="preserve">3</w:t>
            </w:r>
          </w:p>
        </w:tc>
      </w:tr>
      <w:tr>
        <w:tc>
          <w:tcPr/>
          <w:p>
            <w:pPr>
              <w:pStyle w:val="Compact"/>
              <w:jc w:val="left"/>
            </w:pPr>
            <w:r>
              <w:t xml:space="preserve">D-14</w:t>
            </w:r>
          </w:p>
        </w:tc>
        <w:tc>
          <w:tcPr/>
          <w:p>
            <w:pPr>
              <w:pStyle w:val="Compact"/>
              <w:jc w:val="left"/>
            </w:pPr>
            <w:r>
              <w:t xml:space="preserve">Durée standard d’une rotation de stage, ordre des unités, capacité d’accueil</w:t>
            </w:r>
          </w:p>
        </w:tc>
        <w:tc>
          <w:tcPr/>
          <w:p>
            <w:pPr>
              <w:pStyle w:val="Compact"/>
              <w:jc w:val="left"/>
            </w:pPr>
            <w:r>
              <w:t xml:space="preserve">RH</w:t>
            </w:r>
          </w:p>
        </w:tc>
        <w:tc>
          <w:tcPr/>
          <w:p>
            <w:pPr>
              <w:pStyle w:val="Compact"/>
              <w:jc w:val="left"/>
            </w:pPr>
            <w:r>
              <w:t xml:space="preserve">3</w:t>
            </w:r>
          </w:p>
        </w:tc>
      </w:tr>
      <w:tr>
        <w:tc>
          <w:tcPr/>
          <w:p>
            <w:pPr>
              <w:pStyle w:val="Compact"/>
              <w:jc w:val="left"/>
            </w:pPr>
            <w:r>
              <w:t xml:space="preserve">D-15</w:t>
            </w:r>
          </w:p>
        </w:tc>
        <w:tc>
          <w:tcPr/>
          <w:p>
            <w:pPr>
              <w:pStyle w:val="Compact"/>
              <w:jc w:val="left"/>
            </w:pPr>
            <w:r>
              <w:t xml:space="preserve">Usage du canal WhatsApp pour les notifications institutionnelles</w:t>
            </w:r>
          </w:p>
        </w:tc>
        <w:tc>
          <w:tcPr/>
          <w:p>
            <w:pPr>
              <w:pStyle w:val="Compact"/>
              <w:jc w:val="left"/>
            </w:pPr>
            <w:r>
              <w:t xml:space="preserve">DN</w:t>
            </w:r>
          </w:p>
        </w:tc>
        <w:tc>
          <w:tcPr/>
          <w:p>
            <w:pPr>
              <w:pStyle w:val="Compact"/>
              <w:jc w:val="left"/>
            </w:pPr>
            <w:r>
              <w:t xml:space="preserve">3</w:t>
            </w:r>
          </w:p>
        </w:tc>
      </w:tr>
      <w:tr>
        <w:tc>
          <w:tcPr/>
          <w:p>
            <w:pPr>
              <w:pStyle w:val="Compact"/>
              <w:jc w:val="left"/>
            </w:pPr>
            <w:r>
              <w:t xml:space="preserve">D-16</w:t>
            </w:r>
          </w:p>
        </w:tc>
        <w:tc>
          <w:tcPr/>
          <w:p>
            <w:pPr>
              <w:pStyle w:val="Compact"/>
              <w:jc w:val="left"/>
            </w:pPr>
            <w:r>
              <w:t xml:space="preserve">Licence GAMS serveur : réponse de l’éditeur sur l’exécution multi-utilisateurs</w:t>
            </w:r>
          </w:p>
        </w:tc>
        <w:tc>
          <w:tcPr/>
          <w:p>
            <w:pPr>
              <w:pStyle w:val="Compact"/>
              <w:jc w:val="left"/>
            </w:pPr>
            <w:r>
              <w:t xml:space="preserve">CSID, éditeur</w:t>
            </w:r>
          </w:p>
        </w:tc>
        <w:tc>
          <w:tcPr/>
          <w:p>
            <w:pPr>
              <w:pStyle w:val="Compact"/>
              <w:jc w:val="left"/>
            </w:pPr>
            <w:r>
              <w:t xml:space="preserve">4</w:t>
            </w:r>
          </w:p>
        </w:tc>
      </w:tr>
      <w:tr>
        <w:tc>
          <w:tcPr/>
          <w:p>
            <w:pPr>
              <w:pStyle w:val="Compact"/>
              <w:jc w:val="left"/>
            </w:pPr>
            <w:r>
              <w:t xml:space="preserve">D-17</w:t>
            </w:r>
          </w:p>
        </w:tc>
        <w:tc>
          <w:tcPr/>
          <w:p>
            <w:pPr>
              <w:pStyle w:val="Compact"/>
              <w:jc w:val="left"/>
            </w:pPr>
            <w:r>
              <w:t xml:space="preserve">Seuils de tolérance définitifs des contrôles de cohérence</w:t>
            </w:r>
          </w:p>
        </w:tc>
        <w:tc>
          <w:tcPr/>
          <w:p>
            <w:pPr>
              <w:pStyle w:val="Compact"/>
              <w:jc w:val="left"/>
            </w:pPr>
            <w:r>
              <w:t xml:space="preserve">Responsables de modèles</w:t>
            </w:r>
          </w:p>
        </w:tc>
        <w:tc>
          <w:tcPr/>
          <w:p>
            <w:pPr>
              <w:pStyle w:val="Compact"/>
              <w:jc w:val="left"/>
            </w:pPr>
            <w:r>
              <w:t xml:space="preserve">4</w:t>
            </w:r>
          </w:p>
        </w:tc>
      </w:tr>
      <w:tr>
        <w:tc>
          <w:tcPr/>
          <w:p>
            <w:pPr>
              <w:pStyle w:val="Compact"/>
              <w:jc w:val="left"/>
            </w:pPr>
            <w:r>
              <w:t xml:space="preserve">D-18</w:t>
            </w:r>
          </w:p>
        </w:tc>
        <w:tc>
          <w:tcPr/>
          <w:p>
            <w:pPr>
              <w:pStyle w:val="Compact"/>
              <w:jc w:val="left"/>
            </w:pPr>
            <w:r>
              <w:t xml:space="preserve">Plafonds de consommation du service d’IA</w:t>
            </w:r>
          </w:p>
        </w:tc>
        <w:tc>
          <w:tcPr/>
          <w:p>
            <w:pPr>
              <w:pStyle w:val="Compact"/>
              <w:jc w:val="left"/>
            </w:pPr>
            <w:r>
              <w:t xml:space="preserve">CSID</w:t>
            </w:r>
          </w:p>
        </w:tc>
        <w:tc>
          <w:tcPr/>
          <w:p>
            <w:pPr>
              <w:pStyle w:val="Compact"/>
              <w:jc w:val="left"/>
            </w:pPr>
            <w:r>
              <w:t xml:space="preserve">4</w:t>
            </w:r>
          </w:p>
        </w:tc>
      </w:tr>
      <w:tr>
        <w:tc>
          <w:tcPr/>
          <w:p>
            <w:pPr>
              <w:pStyle w:val="Compact"/>
              <w:jc w:val="left"/>
            </w:pPr>
            <w:r>
              <w:t xml:space="preserve">D-19</w:t>
            </w:r>
          </w:p>
        </w:tc>
        <w:tc>
          <w:tcPr/>
          <w:p>
            <w:pPr>
              <w:pStyle w:val="Compact"/>
              <w:jc w:val="left"/>
            </w:pPr>
            <w:r>
              <w:t xml:space="preserve">Effectif par statut et nature du volet rémunération : mise à disposition des bulletins ou calcul</w:t>
            </w:r>
          </w:p>
        </w:tc>
        <w:tc>
          <w:tcPr/>
          <w:p>
            <w:pPr>
              <w:pStyle w:val="Compact"/>
              <w:jc w:val="left"/>
            </w:pPr>
            <w:r>
              <w:t xml:space="preserve">RH, SAF</w:t>
            </w:r>
          </w:p>
        </w:tc>
        <w:tc>
          <w:tcPr/>
          <w:p>
            <w:pPr>
              <w:pStyle w:val="Compact"/>
              <w:jc w:val="left"/>
            </w:pPr>
            <w:r>
              <w:t xml:space="preserve">5</w:t>
            </w:r>
          </w:p>
        </w:tc>
      </w:tr>
      <w:tr>
        <w:tc>
          <w:tcPr/>
          <w:p>
            <w:pPr>
              <w:pStyle w:val="Compact"/>
              <w:jc w:val="left"/>
            </w:pPr>
            <w:r>
              <w:t xml:space="preserve">D-20</w:t>
            </w:r>
          </w:p>
        </w:tc>
        <w:tc>
          <w:tcPr/>
          <w:p>
            <w:pPr>
              <w:pStyle w:val="Compact"/>
              <w:jc w:val="left"/>
            </w:pPr>
            <w:r>
              <w:t xml:space="preserve">Autorité de validation des campagnes de paie : chef SAF ou DN</w:t>
            </w:r>
          </w:p>
        </w:tc>
        <w:tc>
          <w:tcPr/>
          <w:p>
            <w:pPr>
              <w:pStyle w:val="Compact"/>
              <w:jc w:val="left"/>
            </w:pPr>
            <w:r>
              <w:t xml:space="preserve">DN</w:t>
            </w:r>
          </w:p>
        </w:tc>
        <w:tc>
          <w:tcPr/>
          <w:p>
            <w:pPr>
              <w:pStyle w:val="Compact"/>
              <w:jc w:val="left"/>
            </w:pPr>
            <w:r>
              <w:t xml:space="preserve">5</w:t>
            </w:r>
          </w:p>
        </w:tc>
      </w:tr>
      <w:tr>
        <w:tc>
          <w:tcPr/>
          <w:p>
            <w:pPr>
              <w:pStyle w:val="Compact"/>
              <w:jc w:val="left"/>
            </w:pPr>
            <w:r>
              <w:t xml:space="preserve">D-21</w:t>
            </w:r>
          </w:p>
        </w:tc>
        <w:tc>
          <w:tcPr/>
          <w:p>
            <w:pPr>
              <w:pStyle w:val="Compact"/>
              <w:jc w:val="left"/>
            </w:pPr>
            <w:r>
              <w:t xml:space="preserve">Seuil au-delà duquel une instruction financière exige une pièce signée</w:t>
            </w:r>
          </w:p>
        </w:tc>
        <w:tc>
          <w:tcPr/>
          <w:p>
            <w:pPr>
              <w:pStyle w:val="Compact"/>
              <w:jc w:val="left"/>
            </w:pPr>
            <w:r>
              <w:t xml:space="preserve">DN, SAF</w:t>
            </w:r>
          </w:p>
        </w:tc>
        <w:tc>
          <w:tcPr/>
          <w:p>
            <w:pPr>
              <w:pStyle w:val="Compact"/>
              <w:jc w:val="left"/>
            </w:pPr>
            <w:r>
              <w:t xml:space="preserve">5</w:t>
            </w:r>
          </w:p>
        </w:tc>
      </w:tr>
      <w:tr>
        <w:tc>
          <w:tcPr/>
          <w:p>
            <w:pPr>
              <w:pStyle w:val="Compact"/>
              <w:jc w:val="left"/>
            </w:pPr>
            <w:r>
              <w:t xml:space="preserve">D-22</w:t>
            </w:r>
          </w:p>
        </w:tc>
        <w:tc>
          <w:tcPr/>
          <w:p>
            <w:pPr>
              <w:pStyle w:val="Compact"/>
              <w:jc w:val="left"/>
            </w:pPr>
            <w:r>
              <w:t xml:space="preserve">Mode de signature par famille d’actes, et autorité signataire de l’attestation de stage</w:t>
            </w:r>
          </w:p>
        </w:tc>
        <w:tc>
          <w:tcPr/>
          <w:p>
            <w:pPr>
              <w:pStyle w:val="Compact"/>
              <w:jc w:val="left"/>
            </w:pPr>
            <w:r>
              <w:t xml:space="preserve">DN</w:t>
            </w:r>
          </w:p>
        </w:tc>
        <w:tc>
          <w:tcPr/>
          <w:p>
            <w:pPr>
              <w:pStyle w:val="Compact"/>
              <w:jc w:val="left"/>
            </w:pPr>
            <w:r>
              <w:t xml:space="preserve">5</w:t>
            </w:r>
          </w:p>
        </w:tc>
      </w:tr>
      <w:tr>
        <w:tc>
          <w:tcPr/>
          <w:p>
            <w:pPr>
              <w:pStyle w:val="Compact"/>
              <w:jc w:val="left"/>
            </w:pPr>
            <w:r>
              <w:t xml:space="preserve">D-23</w:t>
            </w:r>
          </w:p>
        </w:tc>
        <w:tc>
          <w:tcPr/>
          <w:p>
            <w:pPr>
              <w:pStyle w:val="Compact"/>
              <w:jc w:val="left"/>
            </w:pPr>
            <w:r>
              <w:t xml:space="preserve">Durées de conservation des bulletins, dossiers agents et pièces comptables, à confirmer avec les Archives nationales</w:t>
            </w:r>
          </w:p>
        </w:tc>
        <w:tc>
          <w:tcPr/>
          <w:p>
            <w:pPr>
              <w:pStyle w:val="Compact"/>
              <w:jc w:val="left"/>
            </w:pPr>
            <w:r>
              <w:t xml:space="preserve">RH, Archives nationales</w:t>
            </w:r>
          </w:p>
        </w:tc>
        <w:tc>
          <w:tcPr/>
          <w:p>
            <w:pPr>
              <w:pStyle w:val="Compact"/>
              <w:jc w:val="left"/>
            </w:pPr>
            <w:r>
              <w:t xml:space="preserve">5</w:t>
            </w:r>
          </w:p>
        </w:tc>
      </w:tr>
      <w:tr>
        <w:tc>
          <w:tcPr/>
          <w:p>
            <w:pPr>
              <w:pStyle w:val="Compact"/>
              <w:jc w:val="left"/>
            </w:pPr>
            <w:r>
              <w:t xml:space="preserve">D-24</w:t>
            </w:r>
          </w:p>
        </w:tc>
        <w:tc>
          <w:tcPr/>
          <w:p>
            <w:pPr>
              <w:pStyle w:val="Compact"/>
              <w:jc w:val="left"/>
            </w:pPr>
            <w:r>
              <w:t xml:space="preserve">Le courrier et son imputation relèvent-ils du produit ou d’un outil ministériel existant</w:t>
            </w:r>
          </w:p>
        </w:tc>
        <w:tc>
          <w:tcPr/>
          <w:p>
            <w:pPr>
              <w:pStyle w:val="Compact"/>
              <w:jc w:val="left"/>
            </w:pPr>
            <w:r>
              <w:t xml:space="preserve">DN, CSID</w:t>
            </w:r>
          </w:p>
        </w:tc>
        <w:tc>
          <w:tcPr/>
          <w:p>
            <w:pPr>
              <w:pStyle w:val="Compact"/>
              <w:jc w:val="left"/>
            </w:pPr>
            <w:r>
              <w:t xml:space="preserve">5</w:t>
            </w:r>
          </w:p>
        </w:tc>
      </w:tr>
      <w:tr>
        <w:tc>
          <w:tcPr/>
          <w:p>
            <w:pPr>
              <w:pStyle w:val="Compact"/>
              <w:jc w:val="left"/>
            </w:pPr>
            <w:r>
              <w:t xml:space="preserve">D-25</w:t>
            </w:r>
          </w:p>
        </w:tc>
        <w:tc>
          <w:tcPr/>
          <w:p>
            <w:pPr>
              <w:pStyle w:val="Compact"/>
              <w:jc w:val="left"/>
            </w:pPr>
            <w:r>
              <w:t xml:space="preserve">Voie retenue pour les modèles Excel : pilotage du classeur ou réécriture en Python</w:t>
            </w:r>
          </w:p>
        </w:tc>
        <w:tc>
          <w:tcPr/>
          <w:p>
            <w:pPr>
              <w:pStyle w:val="Compact"/>
              <w:jc w:val="left"/>
            </w:pPr>
            <w:r>
              <w:t xml:space="preserve">Chef de la DPE, maîtrise d’œuvre</w:t>
            </w:r>
          </w:p>
        </w:tc>
        <w:tc>
          <w:tcPr/>
          <w:p>
            <w:pPr>
              <w:pStyle w:val="Compact"/>
              <w:jc w:val="left"/>
            </w:pPr>
            <w:r>
              <w:t xml:space="preserve">6</w:t>
            </w:r>
          </w:p>
        </w:tc>
      </w:tr>
      <w:tr>
        <w:tc>
          <w:tcPr/>
          <w:p>
            <w:pPr>
              <w:pStyle w:val="Compact"/>
              <w:jc w:val="left"/>
            </w:pPr>
            <w:r>
              <w:t xml:space="preserve">D-26</w:t>
            </w:r>
          </w:p>
        </w:tc>
        <w:tc>
          <w:tcPr/>
          <w:p>
            <w:pPr>
              <w:pStyle w:val="Compact"/>
              <w:jc w:val="left"/>
            </w:pPr>
            <w:r>
              <w:t xml:space="preserve">Intégration du modèle de prévision infra-annuelle, une fois sa conception stabilisée</w:t>
            </w:r>
          </w:p>
        </w:tc>
        <w:tc>
          <w:tcPr/>
          <w:p>
            <w:pPr>
              <w:pStyle w:val="Compact"/>
              <w:jc w:val="left"/>
            </w:pPr>
            <w:r>
              <w:t xml:space="preserve">Chef de la DPE</w:t>
            </w:r>
          </w:p>
        </w:tc>
        <w:tc>
          <w:tcPr/>
          <w:p>
            <w:pPr>
              <w:pStyle w:val="Compact"/>
              <w:jc w:val="left"/>
            </w:pPr>
            <w:r>
              <w:t xml:space="preserve">6</w:t>
            </w:r>
          </w:p>
        </w:tc>
      </w:tr>
      <w:tr>
        <w:tc>
          <w:tcPr/>
          <w:p>
            <w:pPr>
              <w:pStyle w:val="Compact"/>
              <w:jc w:val="left"/>
            </w:pPr>
            <w:r>
              <w:t xml:space="preserve">D-27</w:t>
            </w:r>
          </w:p>
        </w:tc>
        <w:tc>
          <w:tcPr/>
          <w:p>
            <w:pPr>
              <w:pStyle w:val="Compact"/>
              <w:jc w:val="left"/>
            </w:pPr>
            <w:r>
              <w:t xml:space="preserve">Opportunité et calendrier des enchaînements entre modèles</w:t>
            </w:r>
          </w:p>
        </w:tc>
        <w:tc>
          <w:tcPr/>
          <w:p>
            <w:pPr>
              <w:pStyle w:val="Compact"/>
              <w:jc w:val="left"/>
            </w:pPr>
            <w:r>
              <w:t xml:space="preserve">Comité de pilotage</w:t>
            </w:r>
          </w:p>
        </w:tc>
        <w:tc>
          <w:tcPr/>
          <w:p>
            <w:pPr>
              <w:pStyle w:val="Compact"/>
              <w:jc w:val="left"/>
            </w:pPr>
            <w:r>
              <w:t xml:space="preserve">7</w:t>
            </w:r>
          </w:p>
        </w:tc>
      </w:tr>
      <w:tr>
        <w:tc>
          <w:tcPr/>
          <w:p>
            <w:pPr>
              <w:pStyle w:val="Compact"/>
              <w:jc w:val="left"/>
            </w:pPr>
            <w:r>
              <w:t xml:space="preserve">D-28</w:t>
            </w:r>
          </w:p>
        </w:tc>
        <w:tc>
          <w:tcPr/>
          <w:p>
            <w:pPr>
              <w:pStyle w:val="Compact"/>
              <w:jc w:val="left"/>
            </w:pPr>
            <w:r>
              <w:t xml:space="preserve">Références exactes des textes applicables en matière de protection des données et de transactions électroniques, et formalités préalables éventuelles auprès de l’autorité compétente</w:t>
            </w:r>
          </w:p>
        </w:tc>
        <w:tc>
          <w:tcPr/>
          <w:p>
            <w:pPr>
              <w:pStyle w:val="Compact"/>
              <w:jc w:val="left"/>
            </w:pPr>
            <w:r>
              <w:t xml:space="preserve">DN, service juridique du MEFB</w:t>
            </w:r>
          </w:p>
        </w:tc>
        <w:tc>
          <w:tcPr/>
          <w:p>
            <w:pPr>
              <w:pStyle w:val="Compact"/>
              <w:jc w:val="left"/>
            </w:pPr>
            <w:r>
              <w:t xml:space="preserve">0</w:t>
            </w:r>
          </w:p>
        </w:tc>
      </w:tr>
      <w:tr>
        <w:tc>
          <w:tcPr/>
          <w:p>
            <w:pPr>
              <w:pStyle w:val="Compact"/>
              <w:jc w:val="left"/>
            </w:pPr>
            <w:r>
              <w:t xml:space="preserve">D-29</w:t>
            </w:r>
          </w:p>
        </w:tc>
        <w:tc>
          <w:tcPr/>
          <w:p>
            <w:pPr>
              <w:pStyle w:val="Compact"/>
              <w:jc w:val="left"/>
            </w:pPr>
            <w:r>
              <w:t xml:space="preserve">Service de notification mobile retenu, au vu de l’arbitrage de la section 11.2</w:t>
            </w:r>
          </w:p>
        </w:tc>
        <w:tc>
          <w:tcPr/>
          <w:p>
            <w:pPr>
              <w:pStyle w:val="Compact"/>
              <w:jc w:val="left"/>
            </w:pPr>
            <w:r>
              <w:t xml:space="preserve">CSID</w:t>
            </w:r>
          </w:p>
        </w:tc>
        <w:tc>
          <w:tcPr/>
          <w:p>
            <w:pPr>
              <w:pStyle w:val="Compact"/>
              <w:jc w:val="left"/>
            </w:pPr>
            <w:r>
              <w:t xml:space="preserve">3</w:t>
            </w:r>
          </w:p>
        </w:tc>
      </w:tr>
      <w:tr>
        <w:tc>
          <w:tcPr/>
          <w:p>
            <w:pPr>
              <w:pStyle w:val="Compact"/>
              <w:jc w:val="left"/>
            </w:pPr>
            <w:r>
              <w:t xml:space="preserve">D-30</w:t>
            </w:r>
          </w:p>
        </w:tc>
        <w:tc>
          <w:tcPr/>
          <w:p>
            <w:pPr>
              <w:pStyle w:val="Compact"/>
              <w:jc w:val="left"/>
            </w:pPr>
            <w:r>
              <w:t xml:space="preserve">Périmètre financier du SAF : le suivi budgétaire de gestion décrit en Partie A est-il étendu à l’exécution budgétaire proprement dite</w:t>
            </w:r>
          </w:p>
        </w:tc>
        <w:tc>
          <w:tcPr/>
          <w:p>
            <w:pPr>
              <w:pStyle w:val="Compact"/>
              <w:jc w:val="left"/>
            </w:pPr>
            <w:r>
              <w:t xml:space="preserve">DN, SAF</w:t>
            </w:r>
          </w:p>
        </w:tc>
        <w:tc>
          <w:tcPr/>
          <w:p>
            <w:pPr>
              <w:pStyle w:val="Compact"/>
              <w:jc w:val="left"/>
            </w:pPr>
            <w:r>
              <w:t xml:space="preserve">5</w:t>
            </w:r>
          </w:p>
        </w:tc>
      </w:tr>
      <w:tr>
        <w:tc>
          <w:tcPr/>
          <w:p>
            <w:pPr>
              <w:pStyle w:val="Compact"/>
              <w:jc w:val="left"/>
            </w:pPr>
            <w:r>
              <w:t xml:space="preserve">D-31</w:t>
            </w:r>
          </w:p>
        </w:tc>
        <w:tc>
          <w:tcPr/>
          <w:p>
            <w:pPr>
              <w:pStyle w:val="Compact"/>
              <w:jc w:val="left"/>
            </w:pPr>
            <w:r>
              <w:t xml:space="preserve">Ouverture ou non du volet évaluation individuelle et procédures disciplinaires, et cadre de gestion correspondant</w:t>
            </w:r>
          </w:p>
        </w:tc>
        <w:tc>
          <w:tcPr/>
          <w:p>
            <w:pPr>
              <w:pStyle w:val="Compact"/>
              <w:jc w:val="left"/>
            </w:pPr>
            <w:r>
              <w:t xml:space="preserve">DN, DRH</w:t>
            </w:r>
          </w:p>
        </w:tc>
        <w:tc>
          <w:tcPr/>
          <w:p>
            <w:pPr>
              <w:pStyle w:val="Compact"/>
              <w:jc w:val="left"/>
            </w:pPr>
            <w:r>
              <w:t xml:space="preserve">3</w:t>
            </w:r>
          </w:p>
        </w:tc>
      </w:tr>
      <w:tr>
        <w:tc>
          <w:tcPr/>
          <w:p>
            <w:pPr>
              <w:pStyle w:val="Compact"/>
              <w:jc w:val="left"/>
            </w:pPr>
            <w:r>
              <w:t xml:space="preserve">D-32</w:t>
            </w:r>
          </w:p>
        </w:tc>
        <w:tc>
          <w:tcPr/>
          <w:p>
            <w:pPr>
              <w:pStyle w:val="Compact"/>
              <w:jc w:val="left"/>
            </w:pPr>
            <w:r>
              <w:t xml:space="preserve">Calendrier de bascule des coefficients de réponse provisoires vers la lecture des sorties réelles du moteur</w:t>
            </w:r>
          </w:p>
        </w:tc>
        <w:tc>
          <w:tcPr/>
          <w:p>
            <w:pPr>
              <w:pStyle w:val="Compact"/>
              <w:jc w:val="left"/>
            </w:pPr>
            <w:r>
              <w:t xml:space="preserve">Chef de la DPE, CSID</w:t>
            </w:r>
          </w:p>
        </w:tc>
        <w:tc>
          <w:tcPr/>
          <w:p>
            <w:pPr>
              <w:pStyle w:val="Compact"/>
              <w:jc w:val="left"/>
            </w:pPr>
            <w:r>
              <w:t xml:space="preserve">4</w:t>
            </w:r>
          </w:p>
        </w:tc>
      </w:tr>
    </w:tbl>
    <w:bookmarkEnd w:id="90"/>
    <w:bookmarkStart w:id="91" w:name="informations-à-fournir"/>
    <w:p>
      <w:pPr>
        <w:pStyle w:val="Heading3"/>
      </w:pPr>
      <w:r>
        <w:t xml:space="preserve">14.3 Informations à fournir</w:t>
      </w:r>
    </w:p>
    <w:p>
      <w:pPr>
        <w:pStyle w:val="FirstParagraph"/>
      </w:pPr>
      <w:r>
        <w:t xml:space="preserve">Ces éléments ne sont pas des décisions mais des données d’entrée, à fournir par les RH, le SAF et la CSID : répartition exacte de l’effectif par statut ; destinataire, format et périodicité des fichiers de paie produits en amont ; date de gel des soldes de congés et fichier de référence pour la reprise ; existence d’un référentiel des agents de l’État tenu par la Fonction publique et clé de rapprochement ; structure interne des cellules CTSCM et CNC, et traitement du CNC comme instance à participants externes ; fournisseur de SMS et coût unitaire vers les opérateurs locaux.</w:t>
      </w:r>
    </w:p>
    <w:bookmarkEnd w:id="91"/>
    <w:bookmarkEnd w:id="92"/>
    <w:bookmarkStart w:id="98" w:name="X18312ff40fd0ad748590a2ed31aa5d019f56764"/>
    <w:p>
      <w:pPr>
        <w:pStyle w:val="Heading2"/>
      </w:pPr>
      <w:r>
        <w:t xml:space="preserve">15. Traçabilité et correspondance avec les cahiers sources</w:t>
      </w:r>
    </w:p>
    <w:p>
      <w:pPr>
        <w:pStyle w:val="FirstParagraph"/>
      </w:pPr>
      <w:r>
        <w:t xml:space="preserve">Les identifiants d’exigences sont repris des deux cahiers et qualifiés par domaine. Rien n’est renuméroté à l’intérieur d’un domaine : des agents de la Direction ont déjà travaillé sur la version 3.1, et la maîtrise d’œuvre devra retrouver chaque exigence en recette.</w:t>
      </w:r>
    </w:p>
    <w:bookmarkStart w:id="93" w:name="convention-didentifiants"/>
    <w:p>
      <w:pPr>
        <w:pStyle w:val="Heading3"/>
      </w:pPr>
      <w:r>
        <w:t xml:space="preserve">15.1 Convention d’identifiants</w:t>
      </w:r>
    </w:p>
    <w:tbl>
      <w:tblPr>
        <w:tblStyle w:val="Table"/>
        <w:tblW w:type="dxa" w:w="9354"/>
        <w:tblLayout w:type="fixed"/>
        <w:tblLook w:firstRow="1" w:lastRow="0" w:firstColumn="0" w:lastColumn="0" w:noHBand="0" w:noVBand="0" w:val="0020"/>
        <w:jc w:val="start"/>
      </w:tblPr>
      <w:tblGrid>
        <w:gridCol w:w="3306"/>
        <w:gridCol w:w="2975"/>
        <w:gridCol w:w="3073"/>
      </w:tblGrid>
      <w:tr>
        <w:trPr>
          <w:tblHeader w:val="true"/>
        </w:trPr>
        <w:tc>
          <w:tcPr/>
          <w:p>
            <w:pPr>
              <w:pStyle w:val="Compact"/>
              <w:jc w:val="left"/>
            </w:pPr>
            <w:r>
              <w:t xml:space="preserve">Préfixe</w:t>
            </w:r>
          </w:p>
        </w:tc>
        <w:tc>
          <w:tcPr/>
          <w:p>
            <w:pPr>
              <w:pStyle w:val="Compact"/>
              <w:jc w:val="left"/>
            </w:pPr>
            <w:r>
              <w:t xml:space="preserve">Portée</w:t>
            </w:r>
          </w:p>
        </w:tc>
        <w:tc>
          <w:tcPr/>
          <w:p>
            <w:pPr>
              <w:pStyle w:val="Compact"/>
              <w:jc w:val="left"/>
            </w:pPr>
            <w:r>
              <w:t xml:space="preserve">Origine</w:t>
            </w:r>
          </w:p>
        </w:tc>
      </w:tr>
      <w:tr>
        <w:tc>
          <w:tcPr/>
          <w:p>
            <w:pPr>
              <w:pStyle w:val="Compact"/>
              <w:jc w:val="left"/>
            </w:pPr>
            <w:r>
              <w:rPr>
                <w:rStyle w:val="VerbatimChar"/>
              </w:rPr>
              <w:t xml:space="preserve">SOC-xxx-nn</w:t>
            </w:r>
          </w:p>
        </w:tc>
        <w:tc>
          <w:tcPr/>
          <w:p>
            <w:pPr>
              <w:pStyle w:val="Compact"/>
              <w:jc w:val="left"/>
            </w:pPr>
            <w:r>
              <w:t xml:space="preserve">Exigences du socle, Partie 0, section 10</w:t>
            </w:r>
          </w:p>
        </w:tc>
        <w:tc>
          <w:tcPr/>
          <w:p>
            <w:pPr>
              <w:pStyle w:val="Compact"/>
              <w:jc w:val="left"/>
            </w:pPr>
            <w:r>
              <w:t xml:space="preserve">Fusion des RNF du cahier SI et des ENF du cahier simulation</w:t>
            </w:r>
          </w:p>
        </w:tc>
      </w:tr>
      <w:tr>
        <w:tc>
          <w:tcPr/>
          <w:p>
            <w:pPr>
              <w:pStyle w:val="Compact"/>
              <w:jc w:val="left"/>
            </w:pPr>
            <w:r>
              <w:rPr>
                <w:rStyle w:val="VerbatimChar"/>
              </w:rPr>
              <w:t xml:space="preserve">CA-A-nn</w:t>
            </w:r>
          </w:p>
        </w:tc>
        <w:tc>
          <w:tcPr/>
          <w:p>
            <w:pPr>
              <w:pStyle w:val="Compact"/>
              <w:jc w:val="left"/>
            </w:pPr>
            <w:r>
              <w:t xml:space="preserve">Critères d’acceptation du domaine A</w:t>
            </w:r>
          </w:p>
        </w:tc>
        <w:tc>
          <w:tcPr/>
          <w:p>
            <w:pPr>
              <w:pStyle w:val="Compact"/>
              <w:jc w:val="left"/>
            </w:pPr>
            <w:r>
              <w:t xml:space="preserve">Section 9 du cahier SI, numérotés pour la fusion</w:t>
            </w:r>
          </w:p>
        </w:tc>
      </w:tr>
      <w:tr>
        <w:tc>
          <w:tcPr/>
          <w:p>
            <w:pPr>
              <w:pStyle w:val="Compact"/>
              <w:jc w:val="left"/>
            </w:pPr>
            <w:r>
              <w:rPr>
                <w:rStyle w:val="VerbatimChar"/>
              </w:rPr>
              <w:t xml:space="preserve">CR-nn</w:t>
            </w:r>
          </w:p>
        </w:tc>
        <w:tc>
          <w:tcPr/>
          <w:p>
            <w:pPr>
              <w:pStyle w:val="Compact"/>
              <w:jc w:val="left"/>
            </w:pPr>
            <w:r>
              <w:t xml:space="preserve">Critères de réception du domaine B</w:t>
            </w:r>
          </w:p>
        </w:tc>
        <w:tc>
          <w:tcPr/>
          <w:p>
            <w:pPr>
              <w:pStyle w:val="Compact"/>
              <w:jc w:val="left"/>
            </w:pPr>
            <w:r>
              <w:t xml:space="preserve">Section 13 du cahier simulation</w:t>
            </w:r>
          </w:p>
        </w:tc>
      </w:tr>
      <w:tr>
        <w:tc>
          <w:tcPr/>
          <w:p>
            <w:pPr>
              <w:pStyle w:val="Compact"/>
              <w:jc w:val="left"/>
            </w:pPr>
            <w:r>
              <w:rPr>
                <w:rStyle w:val="VerbatimChar"/>
              </w:rPr>
              <w:t xml:space="preserve">SIG-RF-xxx-nn</w:t>
            </w:r>
          </w:p>
        </w:tc>
        <w:tc>
          <w:tcPr/>
          <w:p>
            <w:pPr>
              <w:pStyle w:val="Compact"/>
              <w:jc w:val="left"/>
            </w:pPr>
            <w:r>
              <w:t xml:space="preserve">Exigences fonctionnelles du domaine A</w:t>
            </w:r>
          </w:p>
        </w:tc>
        <w:tc>
          <w:tcPr/>
          <w:p>
            <w:pPr>
              <w:pStyle w:val="Compact"/>
              <w:jc w:val="left"/>
            </w:pPr>
            <w:r>
              <w:t xml:space="preserve">Cahier SI v3.1, section 6, identifiants inchangés</w:t>
            </w:r>
          </w:p>
        </w:tc>
      </w:tr>
      <w:tr>
        <w:tc>
          <w:tcPr/>
          <w:p>
            <w:pPr>
              <w:pStyle w:val="Compact"/>
              <w:jc w:val="left"/>
            </w:pPr>
            <w:r>
              <w:rPr>
                <w:rStyle w:val="VerbatimChar"/>
              </w:rPr>
              <w:t xml:space="preserve">MOD-EF-nn</w:t>
            </w:r>
          </w:p>
        </w:tc>
        <w:tc>
          <w:tcPr/>
          <w:p>
            <w:pPr>
              <w:pStyle w:val="Compact"/>
              <w:jc w:val="left"/>
            </w:pPr>
            <w:r>
              <w:t xml:space="preserve">Exigences fonctionnelles du domaine B</w:t>
            </w:r>
          </w:p>
        </w:tc>
        <w:tc>
          <w:tcPr/>
          <w:p>
            <w:pPr>
              <w:pStyle w:val="Compact"/>
              <w:jc w:val="left"/>
            </w:pPr>
            <w:r>
              <w:t xml:space="preserve">Cahier Plateforme Simulation, section 8, identifiants inchangés</w:t>
            </w:r>
          </w:p>
        </w:tc>
      </w:tr>
      <w:tr>
        <w:tc>
          <w:tcPr/>
          <w:p>
            <w:pPr>
              <w:pStyle w:val="Compact"/>
              <w:jc w:val="left"/>
            </w:pPr>
            <w:r>
              <w:rPr>
                <w:rStyle w:val="VerbatimChar"/>
              </w:rPr>
              <w:t xml:space="preserve">D-nn</w:t>
            </w:r>
          </w:p>
        </w:tc>
        <w:tc>
          <w:tcPr/>
          <w:p>
            <w:pPr>
              <w:pStyle w:val="Compact"/>
              <w:jc w:val="left"/>
            </w:pPr>
            <w:r>
              <w:t xml:space="preserve">Registre des décisions</w:t>
            </w:r>
          </w:p>
        </w:tc>
        <w:tc>
          <w:tcPr/>
          <w:p>
            <w:pPr>
              <w:pStyle w:val="Compact"/>
              <w:jc w:val="left"/>
            </w:pPr>
            <w:r>
              <w:t xml:space="preserve">Fusion des deux registres</w:t>
            </w:r>
          </w:p>
        </w:tc>
      </w:tr>
      <w:tr>
        <w:tc>
          <w:tcPr/>
          <w:p>
            <w:pPr>
              <w:pStyle w:val="Compact"/>
              <w:jc w:val="left"/>
            </w:pPr>
            <w:r>
              <w:rPr>
                <w:rStyle w:val="VerbatimChar"/>
              </w:rPr>
              <w:t xml:space="preserve">RG-xxx-nn</w:t>
            </w:r>
          </w:p>
        </w:tc>
        <w:tc>
          <w:tcPr/>
          <w:p>
            <w:pPr>
              <w:pStyle w:val="Compact"/>
              <w:jc w:val="left"/>
            </w:pPr>
            <w:r>
              <w:t xml:space="preserve">Règles de gestion à écrire par les RH, le SAF et la Direction</w:t>
            </w:r>
          </w:p>
        </w:tc>
        <w:tc>
          <w:tcPr/>
          <w:p>
            <w:pPr>
              <w:pStyle w:val="Compact"/>
              <w:jc w:val="left"/>
            </w:pPr>
            <w:r>
              <w:t xml:space="preserve">Annexe 3 du présent dossier</w:t>
            </w:r>
          </w:p>
        </w:tc>
      </w:tr>
    </w:tbl>
    <w:bookmarkEnd w:id="93"/>
    <w:bookmarkStart w:id="94" w:name="correspondance-des-sections"/>
    <w:p>
      <w:pPr>
        <w:pStyle w:val="Heading3"/>
      </w:pPr>
      <w:r>
        <w:t xml:space="preserve">15.2 Correspondance des sections</w:t>
      </w:r>
    </w:p>
    <w:tbl>
      <w:tblPr>
        <w:tblStyle w:val="Table"/>
        <w:tblW w:type="dxa" w:w="9354"/>
        <w:tblLayout w:type="fixed"/>
        <w:tblLook w:firstRow="1" w:lastRow="0" w:firstColumn="0" w:lastColumn="0" w:noHBand="0" w:noVBand="0" w:val="0020"/>
        <w:jc w:val="start"/>
      </w:tblPr>
      <w:tblGrid>
        <w:gridCol w:w="3259"/>
        <w:gridCol w:w="3062"/>
        <w:gridCol w:w="3033"/>
      </w:tblGrid>
      <w:tr>
        <w:trPr>
          <w:tblHeader w:val="true"/>
        </w:trPr>
        <w:tc>
          <w:tcPr/>
          <w:p>
            <w:pPr>
              <w:pStyle w:val="Compact"/>
              <w:jc w:val="left"/>
            </w:pPr>
            <w:r>
              <w:t xml:space="preserve">Partie 0</w:t>
            </w:r>
          </w:p>
        </w:tc>
        <w:tc>
          <w:tcPr/>
          <w:p>
            <w:pPr>
              <w:pStyle w:val="Compact"/>
              <w:jc w:val="left"/>
            </w:pPr>
            <w:r>
              <w:t xml:space="preserve">Remplace, dans le cahier SI v3.1</w:t>
            </w:r>
          </w:p>
        </w:tc>
        <w:tc>
          <w:tcPr/>
          <w:p>
            <w:pPr>
              <w:pStyle w:val="Compact"/>
              <w:jc w:val="left"/>
            </w:pPr>
            <w:r>
              <w:t xml:space="preserve">Remplace, dans le cahier Simulation</w:t>
            </w:r>
          </w:p>
        </w:tc>
      </w:tr>
      <w:tr>
        <w:tc>
          <w:tcPr/>
          <w:p>
            <w:pPr>
              <w:pStyle w:val="Compact"/>
              <w:jc w:val="left"/>
            </w:pPr>
            <w:r>
              <w:t xml:space="preserve">3. Organisation et cascade</w:t>
            </w:r>
          </w:p>
        </w:tc>
        <w:tc>
          <w:tcPr/>
          <w:p>
            <w:pPr>
              <w:pStyle w:val="Compact"/>
              <w:jc w:val="left"/>
            </w:pPr>
            <w:r>
              <w:t xml:space="preserve">2.1 à 2.6</w:t>
            </w:r>
          </w:p>
        </w:tc>
        <w:tc>
          <w:tcPr/>
          <w:p>
            <w:pPr>
              <w:pStyle w:val="Compact"/>
              <w:jc w:val="left"/>
            </w:pPr>
            <w:r>
              <w:t xml:space="preserve">—</w:t>
            </w:r>
          </w:p>
        </w:tc>
      </w:tr>
      <w:tr>
        <w:tc>
          <w:tcPr/>
          <w:p>
            <w:pPr>
              <w:pStyle w:val="Compact"/>
              <w:jc w:val="left"/>
            </w:pPr>
            <w:r>
              <w:t xml:space="preserve">4. Comptes et authentification</w:t>
            </w:r>
          </w:p>
        </w:tc>
        <w:tc>
          <w:tcPr/>
          <w:p>
            <w:pPr>
              <w:pStyle w:val="Compact"/>
              <w:jc w:val="left"/>
            </w:pPr>
            <w:r>
              <w:t xml:space="preserve">3.2 à 3.4</w:t>
            </w:r>
          </w:p>
        </w:tc>
        <w:tc>
          <w:tcPr/>
          <w:p>
            <w:pPr>
              <w:pStyle w:val="Compact"/>
              <w:jc w:val="left"/>
            </w:pPr>
            <w:r>
              <w:t xml:space="preserve">6.4</w:t>
            </w:r>
          </w:p>
        </w:tc>
      </w:tr>
      <w:tr>
        <w:tc>
          <w:tcPr/>
          <w:p>
            <w:pPr>
              <w:pStyle w:val="Compact"/>
              <w:jc w:val="left"/>
            </w:pPr>
            <w:r>
              <w:t xml:space="preserve">5. Habilitation à deux axes (modèle)</w:t>
            </w:r>
          </w:p>
        </w:tc>
        <w:tc>
          <w:tcPr/>
          <w:p>
            <w:pPr>
              <w:pStyle w:val="Compact"/>
              <w:jc w:val="left"/>
            </w:pPr>
            <w:r>
              <w:t xml:space="preserve">3.1</w:t>
            </w:r>
          </w:p>
        </w:tc>
        <w:tc>
          <w:tcPr/>
          <w:p>
            <w:pPr>
              <w:pStyle w:val="Compact"/>
              <w:jc w:val="left"/>
            </w:pPr>
            <w:r>
              <w:t xml:space="preserve">6.1</w:t>
            </w:r>
          </w:p>
        </w:tc>
      </w:tr>
      <w:tr>
        <w:tc>
          <w:tcPr/>
          <w:p>
            <w:pPr>
              <w:pStyle w:val="Compact"/>
              <w:jc w:val="left"/>
            </w:pPr>
            <w:r>
              <w:t xml:space="preserve">6. Modèle de données (objets)</w:t>
            </w:r>
          </w:p>
        </w:tc>
        <w:tc>
          <w:tcPr/>
          <w:p>
            <w:pPr>
              <w:pStyle w:val="Compact"/>
              <w:jc w:val="left"/>
            </w:pPr>
            <w:r>
              <w:t xml:space="preserve">Annexe E, partie champs</w:t>
            </w:r>
          </w:p>
        </w:tc>
        <w:tc>
          <w:tcPr/>
          <w:p>
            <w:pPr>
              <w:pStyle w:val="Compact"/>
              <w:jc w:val="left"/>
            </w:pPr>
            <w:r>
              <w:t xml:space="preserve">15</w:t>
            </w:r>
          </w:p>
        </w:tc>
      </w:tr>
      <w:tr>
        <w:tc>
          <w:tcPr/>
          <w:p>
            <w:pPr>
              <w:pStyle w:val="Compact"/>
              <w:jc w:val="left"/>
            </w:pPr>
            <w:r>
              <w:t xml:space="preserve">7. États et statuts</w:t>
            </w:r>
          </w:p>
        </w:tc>
        <w:tc>
          <w:tcPr/>
          <w:p>
            <w:pPr>
              <w:pStyle w:val="Compact"/>
              <w:jc w:val="left"/>
            </w:pPr>
            <w:r>
              <w:t xml:space="preserve">4.13, annexe E</w:t>
            </w:r>
          </w:p>
        </w:tc>
        <w:tc>
          <w:tcPr/>
          <w:p>
            <w:pPr>
              <w:pStyle w:val="Compact"/>
              <w:jc w:val="left"/>
            </w:pPr>
            <w:r>
              <w:t xml:space="preserve">6.2, 6.3, 16</w:t>
            </w:r>
          </w:p>
        </w:tc>
      </w:tr>
      <w:tr>
        <w:tc>
          <w:tcPr/>
          <w:p>
            <w:pPr>
              <w:pStyle w:val="Compact"/>
              <w:jc w:val="left"/>
            </w:pPr>
            <w:r>
              <w:t xml:space="preserve">8. GED</w:t>
            </w:r>
          </w:p>
        </w:tc>
        <w:tc>
          <w:tcPr/>
          <w:p>
            <w:pPr>
              <w:pStyle w:val="Compact"/>
              <w:jc w:val="left"/>
            </w:pPr>
            <w:r>
              <w:t xml:space="preserve">4.9, RNF-INT-02</w:t>
            </w:r>
          </w:p>
        </w:tc>
        <w:tc>
          <w:tcPr/>
          <w:p>
            <w:pPr>
              <w:pStyle w:val="Compact"/>
              <w:jc w:val="left"/>
            </w:pPr>
            <w:r>
              <w:t xml:space="preserve">8.10 pour la partie dépôt</w:t>
            </w:r>
          </w:p>
        </w:tc>
      </w:tr>
      <w:tr>
        <w:tc>
          <w:tcPr/>
          <w:p>
            <w:pPr>
              <w:pStyle w:val="Compact"/>
              <w:jc w:val="left"/>
            </w:pPr>
            <w:r>
              <w:t xml:space="preserve">9. Notifications</w:t>
            </w:r>
          </w:p>
        </w:tc>
        <w:tc>
          <w:tcPr/>
          <w:p>
            <w:pPr>
              <w:pStyle w:val="Compact"/>
              <w:jc w:val="left"/>
            </w:pPr>
            <w:r>
              <w:t xml:space="preserve">Annexe G</w:t>
            </w:r>
          </w:p>
        </w:tc>
        <w:tc>
          <w:tcPr/>
          <w:p>
            <w:pPr>
              <w:pStyle w:val="Compact"/>
              <w:jc w:val="left"/>
            </w:pPr>
            <w:r>
              <w:t xml:space="preserve">Événements d’exécution de 8.3 et 8.11</w:t>
            </w:r>
          </w:p>
        </w:tc>
      </w:tr>
      <w:tr>
        <w:tc>
          <w:tcPr/>
          <w:p>
            <w:pPr>
              <w:pStyle w:val="Compact"/>
              <w:jc w:val="left"/>
            </w:pPr>
            <w:r>
              <w:t xml:space="preserve">10. Exigences non fonctionnelles</w:t>
            </w:r>
          </w:p>
        </w:tc>
        <w:tc>
          <w:tcPr/>
          <w:p>
            <w:pPr>
              <w:pStyle w:val="Compact"/>
              <w:jc w:val="left"/>
            </w:pPr>
            <w:r>
              <w:t xml:space="preserve">7.1 à 7.11</w:t>
            </w:r>
          </w:p>
        </w:tc>
        <w:tc>
          <w:tcPr/>
          <w:p>
            <w:pPr>
              <w:pStyle w:val="Compact"/>
              <w:jc w:val="left"/>
            </w:pPr>
            <w:r>
              <w:t xml:space="preserve">9.1 à 9.9</w:t>
            </w:r>
          </w:p>
        </w:tc>
      </w:tr>
      <w:tr>
        <w:tc>
          <w:tcPr/>
          <w:p>
            <w:pPr>
              <w:pStyle w:val="Compact"/>
              <w:jc w:val="left"/>
            </w:pPr>
            <w:r>
              <w:t xml:space="preserve">11. Architecture</w:t>
            </w:r>
          </w:p>
        </w:tc>
        <w:tc>
          <w:tcPr/>
          <w:p>
            <w:pPr>
              <w:pStyle w:val="Compact"/>
              <w:jc w:val="left"/>
            </w:pPr>
            <w:r>
              <w:t xml:space="preserve">7.9</w:t>
            </w:r>
          </w:p>
        </w:tc>
        <w:tc>
          <w:tcPr/>
          <w:p>
            <w:pPr>
              <w:pStyle w:val="Compact"/>
              <w:jc w:val="left"/>
            </w:pPr>
            <w:r>
              <w:t xml:space="preserve">10.1 à 10.4, 18</w:t>
            </w:r>
          </w:p>
        </w:tc>
      </w:tr>
      <w:tr>
        <w:tc>
          <w:tcPr/>
          <w:p>
            <w:pPr>
              <w:pStyle w:val="Compact"/>
              <w:jc w:val="left"/>
            </w:pPr>
            <w:r>
              <w:t xml:space="preserve">12. Lotissement</w:t>
            </w:r>
          </w:p>
        </w:tc>
        <w:tc>
          <w:tcPr/>
          <w:p>
            <w:pPr>
              <w:pStyle w:val="Compact"/>
              <w:jc w:val="left"/>
            </w:pPr>
            <w:r>
              <w:t xml:space="preserve">11</w:t>
            </w:r>
          </w:p>
        </w:tc>
        <w:tc>
          <w:tcPr/>
          <w:p>
            <w:pPr>
              <w:pStyle w:val="Compact"/>
              <w:jc w:val="left"/>
            </w:pPr>
            <w:r>
              <w:t xml:space="preserve">12</w:t>
            </w:r>
          </w:p>
        </w:tc>
      </w:tr>
      <w:tr>
        <w:tc>
          <w:tcPr/>
          <w:p>
            <w:pPr>
              <w:pStyle w:val="Compact"/>
              <w:jc w:val="left"/>
            </w:pPr>
            <w:r>
              <w:t xml:space="preserve">13. Gouvernance</w:t>
            </w:r>
          </w:p>
        </w:tc>
        <w:tc>
          <w:tcPr/>
          <w:p>
            <w:pPr>
              <w:pStyle w:val="Compact"/>
              <w:jc w:val="left"/>
            </w:pPr>
            <w:r>
              <w:t xml:space="preserve">10</w:t>
            </w:r>
          </w:p>
        </w:tc>
        <w:tc>
          <w:tcPr/>
          <w:p>
            <w:pPr>
              <w:pStyle w:val="Compact"/>
              <w:jc w:val="left"/>
            </w:pPr>
            <w:r>
              <w:t xml:space="preserve">6.3 pour la validation économique</w:t>
            </w:r>
          </w:p>
        </w:tc>
      </w:tr>
      <w:tr>
        <w:tc>
          <w:tcPr/>
          <w:p>
            <w:pPr>
              <w:pStyle w:val="Compact"/>
              <w:jc w:val="left"/>
            </w:pPr>
            <w:r>
              <w:t xml:space="preserve">14. Décisions</w:t>
            </w:r>
          </w:p>
        </w:tc>
        <w:tc>
          <w:tcPr/>
          <w:p>
            <w:pPr>
              <w:pStyle w:val="Compact"/>
              <w:jc w:val="left"/>
            </w:pPr>
            <w:r>
              <w:t xml:space="preserve">13</w:t>
            </w:r>
          </w:p>
        </w:tc>
        <w:tc>
          <w:tcPr/>
          <w:p>
            <w:pPr>
              <w:pStyle w:val="Compact"/>
              <w:jc w:val="left"/>
            </w:pPr>
            <w:r>
              <w:t xml:space="preserve">14.2, 14.3, annexe D</w:t>
            </w:r>
          </w:p>
        </w:tc>
      </w:tr>
      <w:tr>
        <w:tc>
          <w:tcPr/>
          <w:p>
            <w:pPr>
              <w:pStyle w:val="Compact"/>
              <w:jc w:val="left"/>
            </w:pPr>
            <w:r>
              <w:t xml:space="preserve">Annexe 1 — Habilitations</w:t>
            </w:r>
          </w:p>
        </w:tc>
        <w:tc>
          <w:tcPr/>
          <w:p>
            <w:pPr>
              <w:pStyle w:val="Compact"/>
              <w:jc w:val="left"/>
            </w:pPr>
            <w:r>
              <w:t xml:space="preserve">Annexe D, reprise intégralement</w:t>
            </w:r>
          </w:p>
        </w:tc>
        <w:tc>
          <w:tcPr/>
          <w:p>
            <w:pPr>
              <w:pStyle w:val="Compact"/>
              <w:jc w:val="left"/>
            </w:pPr>
            <w:r>
              <w:t xml:space="preserve">Section 17</w:t>
            </w:r>
          </w:p>
        </w:tc>
      </w:tr>
      <w:tr>
        <w:tc>
          <w:tcPr/>
          <w:p>
            <w:pPr>
              <w:pStyle w:val="Compact"/>
              <w:jc w:val="left"/>
            </w:pPr>
            <w:r>
              <w:t xml:space="preserve">Annexe 2 — Objets et états</w:t>
            </w:r>
          </w:p>
        </w:tc>
        <w:tc>
          <w:tcPr/>
          <w:p>
            <w:pPr>
              <w:pStyle w:val="Compact"/>
              <w:jc w:val="left"/>
            </w:pPr>
            <w:r>
              <w:t xml:space="preserve">Annexe E, reprise intégralement</w:t>
            </w:r>
          </w:p>
        </w:tc>
        <w:tc>
          <w:tcPr/>
          <w:p>
            <w:pPr>
              <w:pStyle w:val="Compact"/>
              <w:jc w:val="left"/>
            </w:pPr>
            <w:r>
              <w:t xml:space="preserve">Sections 15 et 16</w:t>
            </w:r>
          </w:p>
        </w:tc>
      </w:tr>
      <w:tr>
        <w:tc>
          <w:tcPr/>
          <w:p>
            <w:pPr>
              <w:pStyle w:val="Compact"/>
              <w:jc w:val="left"/>
            </w:pPr>
            <w:r>
              <w:t xml:space="preserve">Annexe 3 — Règles de gestion</w:t>
            </w:r>
          </w:p>
        </w:tc>
        <w:tc>
          <w:tcPr/>
          <w:p>
            <w:pPr>
              <w:pStyle w:val="Compact"/>
              <w:jc w:val="left"/>
            </w:pPr>
            <w:r>
              <w:t xml:space="preserve">Annexe F, reprise intégralement</w:t>
            </w:r>
          </w:p>
        </w:tc>
        <w:tc>
          <w:tcPr/>
          <w:p>
            <w:pPr>
              <w:pStyle w:val="Compact"/>
              <w:jc w:val="left"/>
            </w:pPr>
            <w:r>
              <w:t xml:space="preserve">—</w:t>
            </w:r>
          </w:p>
        </w:tc>
      </w:tr>
      <w:tr>
        <w:tc>
          <w:tcPr/>
          <w:p>
            <w:pPr>
              <w:pStyle w:val="Compact"/>
              <w:jc w:val="left"/>
            </w:pPr>
            <w:r>
              <w:t xml:space="preserve">Annexe 4 — Durées de conservation</w:t>
            </w:r>
          </w:p>
        </w:tc>
        <w:tc>
          <w:tcPr/>
          <w:p>
            <w:pPr>
              <w:pStyle w:val="Compact"/>
              <w:jc w:val="left"/>
            </w:pPr>
            <w:r>
              <w:t xml:space="preserve">Annexe B, reprise intégralement</w:t>
            </w:r>
          </w:p>
        </w:tc>
        <w:tc>
          <w:tcPr/>
          <w:p>
            <w:pPr>
              <w:pStyle w:val="Compact"/>
              <w:jc w:val="left"/>
            </w:pPr>
            <w:r>
              <w:t xml:space="preserve">—</w:t>
            </w:r>
          </w:p>
        </w:tc>
      </w:tr>
      <w:tr>
        <w:tc>
          <w:tcPr/>
          <w:p>
            <w:pPr>
              <w:pStyle w:val="Compact"/>
              <w:jc w:val="left"/>
            </w:pPr>
            <w:r>
              <w:t xml:space="preserve">Annexe 5 — Valeurs par défaut</w:t>
            </w:r>
          </w:p>
        </w:tc>
        <w:tc>
          <w:tcPr/>
          <w:p>
            <w:pPr>
              <w:pStyle w:val="Compact"/>
              <w:jc w:val="left"/>
            </w:pPr>
            <w:r>
              <w:t xml:space="preserve">—</w:t>
            </w:r>
          </w:p>
        </w:tc>
        <w:tc>
          <w:tcPr/>
          <w:p>
            <w:pPr>
              <w:pStyle w:val="Compact"/>
              <w:jc w:val="left"/>
            </w:pPr>
            <w:r>
              <w:t xml:space="preserve">Annexe F</w:t>
            </w:r>
          </w:p>
        </w:tc>
      </w:tr>
    </w:tbl>
    <w:bookmarkEnd w:id="94"/>
    <w:bookmarkStart w:id="95" w:name="X7393bb86494c1809041a789f9b40083f0c5a258"/>
    <w:p>
      <w:pPr>
        <w:pStyle w:val="Heading3"/>
      </w:pPr>
      <w:r>
        <w:t xml:space="preserve">15.3 Exigences des cahiers sources supprimées par la fusion</w:t>
      </w:r>
    </w:p>
    <w:tbl>
      <w:tblPr>
        <w:tblStyle w:val="Table"/>
        <w:tblW w:type="dxa" w:w="9354"/>
        <w:tblLayout w:type="fixed"/>
        <w:tblLook w:firstRow="1" w:lastRow="0" w:firstColumn="0" w:lastColumn="0" w:noHBand="0" w:noVBand="0" w:val="0020"/>
        <w:jc w:val="start"/>
      </w:tblPr>
      <w:tblGrid>
        <w:gridCol w:w="4827"/>
        <w:gridCol w:w="4527"/>
      </w:tblGrid>
      <w:tr>
        <w:trPr>
          <w:tblHeader w:val="true"/>
        </w:trPr>
        <w:tc>
          <w:tcPr/>
          <w:p>
            <w:pPr>
              <w:pStyle w:val="Compact"/>
              <w:jc w:val="left"/>
            </w:pPr>
            <w:r>
              <w:t xml:space="preserve">Exigence supprimée</w:t>
            </w:r>
          </w:p>
        </w:tc>
        <w:tc>
          <w:tcPr/>
          <w:p>
            <w:pPr>
              <w:pStyle w:val="Compact"/>
              <w:jc w:val="left"/>
            </w:pPr>
            <w:r>
              <w:t xml:space="preserve">Motif</w:t>
            </w:r>
          </w:p>
        </w:tc>
      </w:tr>
      <w:tr>
        <w:tc>
          <w:tcPr/>
          <w:p>
            <w:pPr>
              <w:pStyle w:val="Compact"/>
              <w:jc w:val="left"/>
            </w:pPr>
            <w:r>
              <w:t xml:space="preserve">RNF-INT-02 — interface de dépôt documentaire pour une application tierce</w:t>
            </w:r>
          </w:p>
        </w:tc>
        <w:tc>
          <w:tcPr/>
          <w:p>
            <w:pPr>
              <w:pStyle w:val="Compact"/>
              <w:jc w:val="left"/>
            </w:pPr>
            <w:r>
              <w:t xml:space="preserve">La GED est commune ; il n’y a plus d’application tierce à laquelle ouvrir une interface</w:t>
            </w:r>
          </w:p>
        </w:tc>
      </w:tr>
      <w:tr>
        <w:tc>
          <w:tcPr/>
          <w:p>
            <w:pPr>
              <w:pStyle w:val="Compact"/>
              <w:jc w:val="left"/>
            </w:pPr>
            <w:r>
              <w:t xml:space="preserve">RNF-MNT-05 — arbitrage de la cohérence des piles entre projets de la Direction</w:t>
            </w:r>
          </w:p>
        </w:tc>
        <w:tc>
          <w:tcPr/>
          <w:p>
            <w:pPr>
              <w:pStyle w:val="Compact"/>
              <w:jc w:val="left"/>
            </w:pPr>
            <w:r>
              <w:t xml:space="preserve">Devient la règle de langage de la section 11.1, hors PICE (D-02)</w:t>
            </w:r>
          </w:p>
        </w:tc>
      </w:tr>
      <w:tr>
        <w:tc>
          <w:tcPr/>
          <w:p>
            <w:pPr>
              <w:pStyle w:val="Compact"/>
              <w:jc w:val="left"/>
            </w:pPr>
            <w:r>
              <w:t xml:space="preserve">Cahier Simulation 6.4, solution de repli « comptes propres avec double facteur »</w:t>
            </w:r>
          </w:p>
        </w:tc>
        <w:tc>
          <w:tcPr/>
          <w:p>
            <w:pPr>
              <w:pStyle w:val="Compact"/>
              <w:jc w:val="left"/>
            </w:pPr>
            <w:r>
              <w:t xml:space="preserve">Sans objet : l’authentification du socle est la seule</w:t>
            </w:r>
          </w:p>
        </w:tc>
      </w:tr>
      <w:tr>
        <w:tc>
          <w:tcPr/>
          <w:p>
            <w:pPr>
              <w:pStyle w:val="Compact"/>
              <w:jc w:val="left"/>
            </w:pPr>
            <w:r>
              <w:t xml:space="preserve">Cahier Simulation, rôle « lecteur externe » comme rôle fonctionnel</w:t>
            </w:r>
          </w:p>
        </w:tc>
        <w:tc>
          <w:tcPr/>
          <w:p>
            <w:pPr>
              <w:pStyle w:val="Compact"/>
              <w:jc w:val="left"/>
            </w:pPr>
            <w:r>
              <w:t xml:space="preserve">Devient une classe de comptes du socle, section 4.3</w:t>
            </w:r>
          </w:p>
        </w:tc>
      </w:tr>
    </w:tbl>
    <w:bookmarkEnd w:id="95"/>
    <w:bookmarkStart w:id="96" w:name="correspondance-des-points-ouverts"/>
    <w:p>
      <w:pPr>
        <w:pStyle w:val="Heading3"/>
      </w:pPr>
      <w:r>
        <w:t xml:space="preserve">15.4 Correspondance des points ouverts</w:t>
      </w:r>
    </w:p>
    <w:p>
      <w:pPr>
        <w:pStyle w:val="FirstParagraph"/>
      </w:pPr>
      <w:r>
        <w:t xml:space="preserve">Les 24 points ouverts du cahier SI et les 15 décisions du cahier simulation ont été fusionnés en 29 décisions. La correspondance est la suivante ; un point marqué « intégré » a été tranché dans le corps du dossier et ne subsiste pas comme décision.</w:t>
      </w:r>
    </w:p>
    <w:tbl>
      <w:tblPr>
        <w:tblStyle w:val="Table"/>
        <w:tblW w:type="dxa" w:w="9354"/>
        <w:tblLayout w:type="fixed"/>
        <w:tblLook w:firstRow="1" w:lastRow="0" w:firstColumn="0" w:lastColumn="0" w:noHBand="0" w:noVBand="0" w:val="0020"/>
        <w:jc w:val="start"/>
      </w:tblPr>
      <w:tblGrid>
        <w:gridCol w:w="2374"/>
        <w:gridCol w:w="3966"/>
        <w:gridCol w:w="3014"/>
      </w:tblGrid>
      <w:tr>
        <w:trPr>
          <w:tblHeader w:val="true"/>
        </w:trPr>
        <w:tc>
          <w:tcPr/>
          <w:p>
            <w:pPr>
              <w:pStyle w:val="Compact"/>
              <w:jc w:val="left"/>
            </w:pPr>
            <w:r>
              <w:t xml:space="preserve">Origine</w:t>
            </w:r>
          </w:p>
        </w:tc>
        <w:tc>
          <w:tcPr/>
          <w:p>
            <w:pPr>
              <w:pStyle w:val="Compact"/>
              <w:jc w:val="left"/>
            </w:pPr>
            <w:r>
              <w:t xml:space="preserve">Points ouverts</w:t>
            </w:r>
          </w:p>
        </w:tc>
        <w:tc>
          <w:tcPr/>
          <w:p>
            <w:pPr>
              <w:pStyle w:val="Compact"/>
              <w:jc w:val="left"/>
            </w:pPr>
            <w:r>
              <w:t xml:space="preserve">Devient</w:t>
            </w:r>
          </w:p>
        </w:tc>
      </w:tr>
      <w:tr>
        <w:tc>
          <w:tcPr/>
          <w:p>
            <w:pPr>
              <w:pStyle w:val="Compact"/>
              <w:jc w:val="left"/>
            </w:pPr>
            <w:r>
              <w:t xml:space="preserve">SI 13.1 — décisions de la Direction (11 points)</w:t>
            </w:r>
          </w:p>
        </w:tc>
        <w:tc>
          <w:tcPr/>
          <w:p>
            <w:pPr>
              <w:pStyle w:val="Compact"/>
              <w:jc w:val="left"/>
            </w:pPr>
            <w:r>
              <w:t xml:space="preserve">Périmètre et lotissement ; maîtrise d’œuvre et rôles CSID ; circuit de congé ; seuil d’instruction financière ; validation des campagnes de paie ; mode de signature ; signataire de l’attestation ; canal WhatsApp ; droits des assistants ; budget ; délai de mise en service et division pilote</w:t>
            </w:r>
          </w:p>
        </w:tc>
        <w:tc>
          <w:tcPr/>
          <w:p>
            <w:pPr>
              <w:pStyle w:val="Compact"/>
              <w:jc w:val="left"/>
            </w:pPr>
            <w:r>
              <w:t xml:space="preserve">D-04, D-05, D-12, D-21, D-20, D-22, D-22, D-15, D-06, D-10 ; le délai de mise en service et la division pilote sont intégrés à la section 19.7</w:t>
            </w:r>
          </w:p>
        </w:tc>
      </w:tr>
      <w:tr>
        <w:tc>
          <w:tcPr/>
          <w:p>
            <w:pPr>
              <w:pStyle w:val="Compact"/>
              <w:jc w:val="left"/>
            </w:pPr>
            <w:r>
              <w:t xml:space="preserve">SI 13.2 — informations RH et SAF (7 points)</w:t>
            </w:r>
          </w:p>
        </w:tc>
        <w:tc>
          <w:tcPr/>
          <w:p>
            <w:pPr>
              <w:pStyle w:val="Compact"/>
              <w:jc w:val="left"/>
            </w:pPr>
            <w:r>
              <w:t xml:space="preserve">Effectif par statut ; fichiers de paie amont ; règles de congés ; règles de paie ; durées de conservation ; durées de rotation de stage ; gel des soldes</w:t>
            </w:r>
          </w:p>
        </w:tc>
        <w:tc>
          <w:tcPr/>
          <w:p>
            <w:pPr>
              <w:pStyle w:val="Compact"/>
              <w:jc w:val="left"/>
            </w:pPr>
            <w:r>
              <w:t xml:space="preserve">D-19, D-13, D-14, D-23 ; les autres deviennent des informations à fournir (section 14.3)</w:t>
            </w:r>
          </w:p>
        </w:tc>
      </w:tr>
      <w:tr>
        <w:tc>
          <w:tcPr/>
          <w:p>
            <w:pPr>
              <w:pStyle w:val="Compact"/>
              <w:jc w:val="left"/>
            </w:pPr>
            <w:r>
              <w:t xml:space="preserve">SI 13.3 — arbitrages techniques (6 points)</w:t>
            </w:r>
          </w:p>
        </w:tc>
        <w:tc>
          <w:tcPr/>
          <w:p>
            <w:pPr>
              <w:pStyle w:val="Compact"/>
              <w:jc w:val="left"/>
            </w:pPr>
            <w:r>
              <w:t xml:space="preserve">Hébergement ; cohérence des piles ; courrier ; référentiel des agents de l’État ; structure CTSCM et CNC ; fournisseur de SMS</w:t>
            </w:r>
          </w:p>
        </w:tc>
        <w:tc>
          <w:tcPr/>
          <w:p>
            <w:pPr>
              <w:pStyle w:val="Compact"/>
              <w:jc w:val="left"/>
            </w:pPr>
            <w:r>
              <w:t xml:space="preserve">D-07, D-24 ; la cohérence des piles est intégrée à la section 11.1 ; les trois autres deviennent des informations à fournir</w:t>
            </w:r>
          </w:p>
        </w:tc>
      </w:tr>
      <w:tr>
        <w:tc>
          <w:tcPr/>
          <w:p>
            <w:pPr>
              <w:pStyle w:val="Compact"/>
              <w:jc w:val="left"/>
            </w:pPr>
            <w:r>
              <w:t xml:space="preserve">Simulation 14.2 — décisions avant démarrage (10 points)</w:t>
            </w:r>
          </w:p>
        </w:tc>
        <w:tc>
          <w:tcPr/>
          <w:p>
            <w:pPr>
              <w:pStyle w:val="Compact"/>
              <w:jc w:val="left"/>
            </w:pPr>
            <w:r>
              <w:t xml:space="preserve">Périmètre ; référentiel faisant foi ; responsables de modèles ; principe du recours à l’IA ; authentification ; hébergement ; licence GAMS ; modalité de développement ; valeurs par défaut ; enveloppe budgétaire</w:t>
            </w:r>
          </w:p>
        </w:tc>
        <w:tc>
          <w:tcPr/>
          <w:p>
            <w:pPr>
              <w:pStyle w:val="Compact"/>
              <w:jc w:val="left"/>
            </w:pPr>
            <w:r>
              <w:t xml:space="preserve">D-04, D-11, D-09, D-08, D-07, D-16, D-05, D-10 ; l’authentification est tranchée en section 4.4 ; les valeurs par défaut figurent en annexe 5</w:t>
            </w:r>
          </w:p>
        </w:tc>
      </w:tr>
      <w:tr>
        <w:tc>
          <w:tcPr/>
          <w:p>
            <w:pPr>
              <w:pStyle w:val="Compact"/>
              <w:jc w:val="left"/>
            </w:pPr>
            <w:r>
              <w:t xml:space="preserve">Simulation 14.3 — points en cours de projet (5 points)</w:t>
            </w:r>
          </w:p>
        </w:tc>
        <w:tc>
          <w:tcPr/>
          <w:p>
            <w:pPr>
              <w:pStyle w:val="Compact"/>
              <w:jc w:val="left"/>
            </w:pPr>
            <w:r>
              <w:t xml:space="preserve">Voie Excel ; modèle infra-annuel ; enchaînements ; seuils de tolérance ; plafonds de consommation d’IA</w:t>
            </w:r>
          </w:p>
        </w:tc>
        <w:tc>
          <w:tcPr/>
          <w:p>
            <w:pPr>
              <w:pStyle w:val="Compact"/>
              <w:jc w:val="left"/>
            </w:pPr>
            <w:r>
              <w:t xml:space="preserve">D-25, D-26, D-27, D-17, D-18</w:t>
            </w:r>
          </w:p>
        </w:tc>
      </w:tr>
      <w:tr>
        <w:tc>
          <w:tcPr/>
          <w:p>
            <w:pPr>
              <w:pStyle w:val="Compact"/>
              <w:jc w:val="left"/>
            </w:pPr>
            <w:r>
              <w:t xml:space="preserve">Nouveaux, issus de la fusion</w:t>
            </w:r>
          </w:p>
        </w:tc>
        <w:tc>
          <w:tcPr/>
          <w:p>
            <w:pPr>
              <w:pStyle w:val="Compact"/>
              <w:jc w:val="left"/>
            </w:pPr>
            <w:r>
              <w:t xml:space="preserve">Nom du produit ; PICE ; langage applicatif ; textes juridiques ; notification mobile</w:t>
            </w:r>
          </w:p>
        </w:tc>
        <w:tc>
          <w:tcPr/>
          <w:p>
            <w:pPr>
              <w:pStyle w:val="Compact"/>
              <w:jc w:val="left"/>
            </w:pPr>
            <w:r>
              <w:t xml:space="preserve">D-01, D-02, D-03, D-28, D-29</w:t>
            </w:r>
          </w:p>
        </w:tc>
      </w:tr>
    </w:tbl>
    <w:bookmarkEnd w:id="96"/>
    <w:bookmarkStart w:id="97" w:name="matrice-de-traçabilité"/>
    <w:p>
      <w:pPr>
        <w:pStyle w:val="Heading3"/>
      </w:pPr>
      <w:r>
        <w:t xml:space="preserve">15.5 Matrice de traçabilité</w:t>
      </w:r>
    </w:p>
    <w:p>
      <w:pPr>
        <w:pStyle w:val="FirstParagraph"/>
      </w:pPr>
      <w:r>
        <w:t xml:space="preserve">La matrice complète — exigence, lot, critère d’acceptation, test — est tenue comme document vivant par la maîtrise d’œuvre et revue à chaque comité technique. Elle doit couvrir l’intégralité des exigences</w:t>
      </w:r>
      <w:r>
        <w:t xml:space="preserve"> </w:t>
      </w:r>
      <w:r>
        <w:rPr>
          <w:rStyle w:val="VerbatimChar"/>
        </w:rPr>
        <w:t xml:space="preserve">SOC</w:t>
      </w:r>
      <w:r>
        <w:t xml:space="preserve">,</w:t>
      </w:r>
      <w:r>
        <w:t xml:space="preserve"> </w:t>
      </w:r>
      <w:r>
        <w:rPr>
          <w:rStyle w:val="VerbatimChar"/>
        </w:rPr>
        <w:t xml:space="preserve">SIG-RF</w:t>
      </w:r>
      <w:r>
        <w:t xml:space="preserve"> </w:t>
      </w:r>
      <w:r>
        <w:t xml:space="preserve">et</w:t>
      </w:r>
      <w:r>
        <w:t xml:space="preserve"> </w:t>
      </w:r>
      <w:r>
        <w:rPr>
          <w:rStyle w:val="VerbatimChar"/>
        </w:rPr>
        <w:t xml:space="preserve">MOD-EF</w:t>
      </w:r>
      <w:r>
        <w:t xml:space="preserve">, y compris les groupes</w:t>
      </w:r>
      <w:r>
        <w:t xml:space="preserve"> </w:t>
      </w:r>
      <w:r>
        <w:rPr>
          <w:rStyle w:val="VerbatimChar"/>
        </w:rPr>
        <w:t xml:space="preserve">SIG-RF-FIN</w:t>
      </w:r>
      <w:r>
        <w:t xml:space="preserve">,</w:t>
      </w:r>
      <w:r>
        <w:t xml:space="preserve"> </w:t>
      </w:r>
      <w:r>
        <w:rPr>
          <w:rStyle w:val="VerbatimChar"/>
        </w:rPr>
        <w:t xml:space="preserve">SIG-RF-CAR</w:t>
      </w:r>
      <w:r>
        <w:t xml:space="preserve">,</w:t>
      </w:r>
      <w:r>
        <w:t xml:space="preserve"> </w:t>
      </w:r>
      <w:r>
        <w:rPr>
          <w:rStyle w:val="VerbatimChar"/>
        </w:rPr>
        <w:t xml:space="preserve">SIG-RF-MSG</w:t>
      </w:r>
      <w:r>
        <w:t xml:space="preserve">,</w:t>
      </w:r>
      <w:r>
        <w:t xml:space="preserve"> </w:t>
      </w:r>
      <w:r>
        <w:rPr>
          <w:rStyle w:val="VerbatimChar"/>
        </w:rPr>
        <w:t xml:space="preserve">SIG-RF-DOC</w:t>
      </w:r>
      <w:r>
        <w:t xml:space="preserve"> </w:t>
      </w:r>
      <w:r>
        <w:t xml:space="preserve">et</w:t>
      </w:r>
      <w:r>
        <w:t xml:space="preserve"> </w:t>
      </w:r>
      <w:r>
        <w:rPr>
          <w:rStyle w:val="VerbatimChar"/>
        </w:rPr>
        <w:t xml:space="preserve">MOD-EF-80</w:t>
      </w:r>
      <w:r>
        <w:t xml:space="preserve"> </w:t>
      </w:r>
      <w:r>
        <w:t xml:space="preserve">à</w:t>
      </w:r>
      <w:r>
        <w:t xml:space="preserve"> </w:t>
      </w:r>
      <w:r>
        <w:rPr>
          <w:rStyle w:val="VerbatimChar"/>
        </w:rPr>
        <w:t xml:space="preserve">EF-99</w:t>
      </w:r>
      <w:r>
        <w:t xml:space="preserve"> </w:t>
      </w:r>
      <w:r>
        <w:t xml:space="preserve">ajoutés en version 2.1. Une exigence sans critère d’acceptation associé est traitée comme une anomalie de rédaction et remonte au comité technique.</w:t>
      </w:r>
    </w:p>
    <w:bookmarkEnd w:id="97"/>
    <w:bookmarkEnd w:id="98"/>
    <w:bookmarkStart w:id="104" w:name="risques-et-facteurs-de-succès"/>
    <w:p>
      <w:pPr>
        <w:pStyle w:val="Heading2"/>
      </w:pPr>
      <w:r>
        <w:t xml:space="preserve">16. Risques et facteurs de succès</w:t>
      </w:r>
    </w:p>
    <w:bookmarkStart w:id="99" w:name="risques-propres-à-la-fusion"/>
    <w:p>
      <w:pPr>
        <w:pStyle w:val="Heading3"/>
      </w:pPr>
      <w:r>
        <w:t xml:space="preserve">16.1 Risques propres à la fusion</w:t>
      </w:r>
    </w:p>
    <w:p>
      <w:pPr>
        <w:pStyle w:val="FirstParagraph"/>
      </w:pPr>
      <w:r>
        <w:t xml:space="preserve">Quatre risques n’existaient dans aucun des deux cahiers sources : ils naissent de la décision de faire un produit unique.</w:t>
      </w:r>
    </w:p>
    <w:tbl>
      <w:tblPr>
        <w:tblStyle w:val="Table"/>
        <w:tblW w:type="dxa" w:w="9354"/>
        <w:tblLayout w:type="fixed"/>
        <w:tblLook w:firstRow="1" w:lastRow="0" w:firstColumn="0" w:lastColumn="0" w:noHBand="0" w:noVBand="0" w:val="0020"/>
        <w:jc w:val="start"/>
      </w:tblPr>
      <w:tblGrid>
        <w:gridCol w:w="3086"/>
        <w:gridCol w:w="2643"/>
        <w:gridCol w:w="3625"/>
      </w:tblGrid>
      <w:tr>
        <w:trPr>
          <w:tblHeader w:val="true"/>
        </w:trPr>
        <w:tc>
          <w:tcPr/>
          <w:p>
            <w:pPr>
              <w:pStyle w:val="Compact"/>
              <w:jc w:val="left"/>
            </w:pPr>
            <w:r>
              <w:t xml:space="preserve">Risque</w:t>
            </w:r>
          </w:p>
        </w:tc>
        <w:tc>
          <w:tcPr/>
          <w:p>
            <w:pPr>
              <w:pStyle w:val="Compact"/>
              <w:jc w:val="left"/>
            </w:pPr>
            <w:r>
              <w:t xml:space="preserve">Impact</w:t>
            </w:r>
          </w:p>
        </w:tc>
        <w:tc>
          <w:tcPr/>
          <w:p>
            <w:pPr>
              <w:pStyle w:val="Compact"/>
              <w:jc w:val="left"/>
            </w:pPr>
            <w:r>
              <w:t xml:space="preserve">Mesure</w:t>
            </w:r>
          </w:p>
        </w:tc>
      </w:tr>
      <w:tr>
        <w:tc>
          <w:tcPr/>
          <w:p>
            <w:pPr>
              <w:pStyle w:val="Compact"/>
              <w:jc w:val="left"/>
            </w:pPr>
            <w:r>
              <w:t xml:space="preserve">Titulaire unique incompétent sur l’un des deux domaines</w:t>
            </w:r>
          </w:p>
        </w:tc>
        <w:tc>
          <w:tcPr/>
          <w:p>
            <w:pPr>
              <w:pStyle w:val="Compact"/>
              <w:jc w:val="left"/>
            </w:pPr>
            <w:r>
              <w:t xml:space="preserve">Un domaine bâclé, ou un projet arrêté</w:t>
            </w:r>
          </w:p>
        </w:tc>
        <w:tc>
          <w:tcPr/>
          <w:p>
            <w:pPr>
              <w:pStyle w:val="Compact"/>
              <w:jc w:val="left"/>
            </w:pPr>
            <w:r>
              <w:t xml:space="preserve">Allotissement ou co-traitance imposée, responsable nommé pour le moteur de calcul (section 13.4)</w:t>
            </w:r>
          </w:p>
        </w:tc>
      </w:tr>
      <w:tr>
        <w:tc>
          <w:tcPr/>
          <w:p>
            <w:pPr>
              <w:pStyle w:val="Compact"/>
              <w:jc w:val="left"/>
            </w:pPr>
            <w:r>
              <w:t xml:space="preserve">Le domaine B ne peut plus être mis en service avant le socle</w:t>
            </w:r>
          </w:p>
        </w:tc>
        <w:tc>
          <w:tcPr/>
          <w:p>
            <w:pPr>
              <w:pStyle w:val="Compact"/>
              <w:jc w:val="left"/>
            </w:pPr>
            <w:r>
              <w:t xml:space="preserve">Retard de plusieurs mois sur la modélisation par rapport au scénario à deux projets</w:t>
            </w:r>
          </w:p>
        </w:tc>
        <w:tc>
          <w:tcPr/>
          <w:p>
            <w:pPr>
              <w:pStyle w:val="Compact"/>
              <w:jc w:val="left"/>
            </w:pPr>
            <w:r>
              <w:t xml:space="preserve">Alternance des lots ; lancement immédiat des travaux internes du lot 0 et du registre des modèles (section 12.1)</w:t>
            </w:r>
          </w:p>
        </w:tc>
      </w:tr>
      <w:tr>
        <w:tc>
          <w:tcPr/>
          <w:p>
            <w:pPr>
              <w:pStyle w:val="Compact"/>
              <w:jc w:val="left"/>
            </w:pPr>
            <w:r>
              <w:t xml:space="preserve">Les arbitrages de la paie bloquent la modélisation, et réciproquement</w:t>
            </w:r>
          </w:p>
        </w:tc>
        <w:tc>
          <w:tcPr/>
          <w:p>
            <w:pPr>
              <w:pStyle w:val="Compact"/>
              <w:jc w:val="left"/>
            </w:pPr>
            <w:r>
              <w:t xml:space="preserve">Effet tunnel sur l’ensemble</w:t>
            </w:r>
          </w:p>
        </w:tc>
        <w:tc>
          <w:tcPr/>
          <w:p>
            <w:pPr>
              <w:pStyle w:val="Compact"/>
              <w:jc w:val="left"/>
            </w:pPr>
            <w:r>
              <w:t xml:space="preserve">Réception par lot et indépendante (section 13.3) ; décisions du registre rattachées à un lot précis</w:t>
            </w:r>
          </w:p>
        </w:tc>
      </w:tr>
      <w:tr>
        <w:tc>
          <w:tcPr/>
          <w:p>
            <w:pPr>
              <w:pStyle w:val="Compact"/>
              <w:jc w:val="left"/>
            </w:pPr>
            <w:r>
              <w:t xml:space="preserve">Exposition croisée : données du domaine A atteignant les fonctions assistées ou un compte externe</w:t>
            </w:r>
          </w:p>
        </w:tc>
        <w:tc>
          <w:tcPr/>
          <w:p>
            <w:pPr>
              <w:pStyle w:val="Compact"/>
              <w:jc w:val="left"/>
            </w:pPr>
            <w:r>
              <w:t xml:space="preserve">Incident grave</w:t>
            </w:r>
          </w:p>
        </w:tc>
        <w:tc>
          <w:tcPr/>
          <w:p>
            <w:pPr>
              <w:pStyle w:val="Compact"/>
              <w:jc w:val="left"/>
            </w:pPr>
            <w:r>
              <w:t xml:space="preserve">SOC-IA-05, classe de comptes externes (section 4.3), ordre d’évaluation des accès (section 5.4), tests dédiés en recette</w:t>
            </w:r>
          </w:p>
        </w:tc>
      </w:tr>
    </w:tbl>
    <w:bookmarkEnd w:id="99"/>
    <w:bookmarkStart w:id="100" w:name="risques-du-domaine-a"/>
    <w:p>
      <w:pPr>
        <w:pStyle w:val="Heading3"/>
      </w:pPr>
      <w:r>
        <w:t xml:space="preserve">16.2 Risques du domaine A</w:t>
      </w:r>
    </w:p>
    <w:tbl>
      <w:tblPr>
        <w:tblStyle w:val="Table"/>
        <w:tblW w:type="dxa" w:w="9354"/>
        <w:tblLayout w:type="fixed"/>
        <w:tblLook w:firstRow="1" w:lastRow="0" w:firstColumn="0" w:lastColumn="0" w:noHBand="0" w:noVBand="0" w:val="0020"/>
        <w:jc w:val="start"/>
      </w:tblPr>
      <w:tblGrid>
        <w:gridCol w:w="2900"/>
        <w:gridCol w:w="2719"/>
        <w:gridCol w:w="3735"/>
      </w:tblGrid>
      <w:tr>
        <w:trPr>
          <w:tblHeader w:val="true"/>
        </w:trPr>
        <w:tc>
          <w:tcPr/>
          <w:p>
            <w:pPr>
              <w:pStyle w:val="Compact"/>
              <w:jc w:val="left"/>
            </w:pPr>
            <w:r>
              <w:t xml:space="preserve">Risque</w:t>
            </w:r>
          </w:p>
        </w:tc>
        <w:tc>
          <w:tcPr/>
          <w:p>
            <w:pPr>
              <w:pStyle w:val="Compact"/>
              <w:jc w:val="left"/>
            </w:pPr>
            <w:r>
              <w:t xml:space="preserve">Impact</w:t>
            </w:r>
          </w:p>
        </w:tc>
        <w:tc>
          <w:tcPr/>
          <w:p>
            <w:pPr>
              <w:pStyle w:val="Compact"/>
              <w:jc w:val="left"/>
            </w:pPr>
            <w:r>
              <w:t xml:space="preserve">Mesure</w:t>
            </w:r>
          </w:p>
        </w:tc>
      </w:tr>
      <w:tr>
        <w:tc>
          <w:tcPr/>
          <w:p>
            <w:pPr>
              <w:pStyle w:val="Compact"/>
              <w:jc w:val="left"/>
            </w:pPr>
            <w:r>
              <w:t xml:space="preserve">Exposition de données de paie ou de santé</w:t>
            </w:r>
          </w:p>
        </w:tc>
        <w:tc>
          <w:tcPr/>
          <w:p>
            <w:pPr>
              <w:pStyle w:val="Compact"/>
              <w:jc w:val="left"/>
            </w:pPr>
            <w:r>
              <w:t xml:space="preserve">Incident grave, mise en cause de la Direction</w:t>
            </w:r>
          </w:p>
        </w:tc>
        <w:tc>
          <w:tcPr/>
          <w:p>
            <w:pPr>
              <w:pStyle w:val="Compact"/>
              <w:jc w:val="left"/>
            </w:pPr>
            <w:r>
              <w:t xml:space="preserve">Objets protégés, cloisonnement côté serveur, chiffrement des champs, test d’intrusion avant le lot 5, données fictives hors production</w:t>
            </w:r>
          </w:p>
        </w:tc>
      </w:tr>
      <w:tr>
        <w:tc>
          <w:tcPr/>
          <w:p>
            <w:pPr>
              <w:pStyle w:val="Compact"/>
              <w:jc w:val="left"/>
            </w:pPr>
            <w:r>
              <w:t xml:space="preserve">Perception du produit comme un outil de surveillance</w:t>
            </w:r>
          </w:p>
        </w:tc>
        <w:tc>
          <w:tcPr/>
          <w:p>
            <w:pPr>
              <w:pStyle w:val="Compact"/>
              <w:jc w:val="left"/>
            </w:pPr>
            <w:r>
              <w:t xml:space="preserve">Rejet par les agents, contournement</w:t>
            </w:r>
          </w:p>
        </w:tc>
        <w:tc>
          <w:tcPr/>
          <w:p>
            <w:pPr>
              <w:pStyle w:val="Compact"/>
              <w:jc w:val="left"/>
            </w:pPr>
            <w:r>
              <w:t xml:space="preserve">Charte d’utilisation, information préalable, limitation des accusés de lecture, pas d’usage individuel des journaux sans cadre écrit</w:t>
            </w:r>
          </w:p>
        </w:tc>
      </w:tr>
      <w:tr>
        <w:tc>
          <w:tcPr/>
          <w:p>
            <w:pPr>
              <w:pStyle w:val="Compact"/>
              <w:jc w:val="left"/>
            </w:pPr>
            <w:r>
              <w:t xml:space="preserve">Règles de gestion des congés et de la paie non écrites</w:t>
            </w:r>
          </w:p>
        </w:tc>
        <w:tc>
          <w:tcPr/>
          <w:p>
            <w:pPr>
              <w:pStyle w:val="Compact"/>
              <w:jc w:val="left"/>
            </w:pPr>
            <w:r>
              <w:t xml:space="preserve">Module non implémentable ou erroné</w:t>
            </w:r>
          </w:p>
        </w:tc>
        <w:tc>
          <w:tcPr/>
          <w:p>
            <w:pPr>
              <w:pStyle w:val="Compact"/>
              <w:jc w:val="left"/>
            </w:pPr>
            <w:r>
              <w:t xml:space="preserve">Prérequis écrit des lots 3 et 5, validé par les RH et le SAF (D-13, D-19)</w:t>
            </w:r>
          </w:p>
        </w:tc>
      </w:tr>
      <w:tr>
        <w:tc>
          <w:tcPr/>
          <w:p>
            <w:pPr>
              <w:pStyle w:val="Compact"/>
              <w:jc w:val="left"/>
            </w:pPr>
            <w:r>
              <w:t xml:space="preserve">Données de référence du personnel incomplètes</w:t>
            </w:r>
          </w:p>
        </w:tc>
        <w:tc>
          <w:tcPr/>
          <w:p>
            <w:pPr>
              <w:pStyle w:val="Compact"/>
              <w:jc w:val="left"/>
            </w:pPr>
            <w:r>
              <w:t xml:space="preserve">Bulletins et dossiers faux</w:t>
            </w:r>
          </w:p>
        </w:tc>
        <w:tc>
          <w:tcPr/>
          <w:p>
            <w:pPr>
              <w:pStyle w:val="Compact"/>
              <w:jc w:val="left"/>
            </w:pPr>
            <w:r>
              <w:t xml:space="preserve">Campagne de fiabilisation des dossiers agents pendant le lot 0</w:t>
            </w:r>
          </w:p>
        </w:tc>
      </w:tr>
      <w:tr>
        <w:tc>
          <w:tcPr/>
          <w:p>
            <w:pPr>
              <w:pStyle w:val="Compact"/>
              <w:jc w:val="left"/>
            </w:pPr>
            <w:r>
              <w:t xml:space="preserve">Complexité de la synchronisation hors ligne</w:t>
            </w:r>
          </w:p>
        </w:tc>
        <w:tc>
          <w:tcPr/>
          <w:p>
            <w:pPr>
              <w:pStyle w:val="Compact"/>
              <w:jc w:val="left"/>
            </w:pPr>
            <w:r>
              <w:t xml:space="preserve">Pertes de données, dérive du calendrier</w:t>
            </w:r>
          </w:p>
        </w:tc>
        <w:tc>
          <w:tcPr/>
          <w:p>
            <w:pPr>
              <w:pStyle w:val="Compact"/>
              <w:jc w:val="left"/>
            </w:pPr>
            <w:r>
              <w:t xml:space="preserve">Bornage strict : consultation hors ligne et file d’actions en ajout seul, serveur faisant foi</w:t>
            </w:r>
          </w:p>
        </w:tc>
      </w:tr>
    </w:tbl>
    <w:bookmarkEnd w:id="100"/>
    <w:bookmarkStart w:id="101" w:name="risques-du-domaine-b"/>
    <w:p>
      <w:pPr>
        <w:pStyle w:val="Heading3"/>
      </w:pPr>
      <w:r>
        <w:t xml:space="preserve">16.3 Risques du domaine B</w:t>
      </w:r>
    </w:p>
    <w:tbl>
      <w:tblPr>
        <w:tblStyle w:val="Table"/>
        <w:tblW w:type="dxa" w:w="9354"/>
        <w:tblLayout w:type="fixed"/>
        <w:tblLook w:firstRow="1" w:lastRow="0" w:firstColumn="0" w:lastColumn="0" w:noHBand="0" w:noVBand="0" w:val="0020"/>
        <w:jc w:val="start"/>
      </w:tblPr>
      <w:tblGrid>
        <w:gridCol w:w="3089"/>
        <w:gridCol w:w="2441"/>
        <w:gridCol w:w="3824"/>
      </w:tblGrid>
      <w:tr>
        <w:trPr>
          <w:tblHeader w:val="true"/>
        </w:trPr>
        <w:tc>
          <w:tcPr/>
          <w:p>
            <w:pPr>
              <w:pStyle w:val="Compact"/>
              <w:jc w:val="left"/>
            </w:pPr>
            <w:r>
              <w:t xml:space="preserve">Risque</w:t>
            </w:r>
          </w:p>
        </w:tc>
        <w:tc>
          <w:tcPr/>
          <w:p>
            <w:pPr>
              <w:pStyle w:val="Compact"/>
              <w:jc w:val="left"/>
            </w:pPr>
            <w:r>
              <w:t xml:space="preserve">Impact</w:t>
            </w:r>
          </w:p>
        </w:tc>
        <w:tc>
          <w:tcPr/>
          <w:p>
            <w:pPr>
              <w:pStyle w:val="Compact"/>
              <w:jc w:val="left"/>
            </w:pPr>
            <w:r>
              <w:t xml:space="preserve">Mesure</w:t>
            </w:r>
          </w:p>
        </w:tc>
      </w:tr>
      <w:tr>
        <w:tc>
          <w:tcPr/>
          <w:p>
            <w:pPr>
              <w:pStyle w:val="Compact"/>
              <w:jc w:val="left"/>
            </w:pPr>
            <w:r>
              <w:t xml:space="preserve">Licence GAMS pour exécution serveur</w:t>
            </w:r>
          </w:p>
        </w:tc>
        <w:tc>
          <w:tcPr/>
          <w:p>
            <w:pPr>
              <w:pStyle w:val="Compact"/>
              <w:jc w:val="left"/>
            </w:pPr>
            <w:r>
              <w:t xml:space="preserve">Bloquant pour toute mise en production</w:t>
            </w:r>
          </w:p>
        </w:tc>
        <w:tc>
          <w:tcPr/>
          <w:p>
            <w:pPr>
              <w:pStyle w:val="Compact"/>
              <w:jc w:val="left"/>
            </w:pPr>
            <w:r>
              <w:t xml:space="preserve">Instruction immédiate avec l’éditeur (D-16) ; lots 0 à 2 conçus pour ne pas en dépendre</w:t>
            </w:r>
          </w:p>
        </w:tc>
      </w:tr>
      <w:tr>
        <w:tc>
          <w:tcPr/>
          <w:p>
            <w:pPr>
              <w:pStyle w:val="Compact"/>
              <w:jc w:val="left"/>
            </w:pPr>
            <w:r>
              <w:t xml:space="preserve">Perte de l’expertise sur les modèles</w:t>
            </w:r>
          </w:p>
        </w:tc>
        <w:tc>
          <w:tcPr/>
          <w:p>
            <w:pPr>
              <w:pStyle w:val="Compact"/>
              <w:jc w:val="left"/>
            </w:pPr>
            <w:r>
              <w:t xml:space="preserve">Critique</w:t>
            </w:r>
          </w:p>
        </w:tc>
        <w:tc>
          <w:tcPr/>
          <w:p>
            <w:pPr>
              <w:pStyle w:val="Compact"/>
              <w:jc w:val="left"/>
            </w:pPr>
            <w:r>
              <w:t xml:space="preserve">État des lieux et documentation rétrospective (Partie B, section B2) ; deux agents formés par famille ; copilote assisté en complément, jamais en substitut</w:t>
            </w:r>
          </w:p>
        </w:tc>
      </w:tr>
      <w:tr>
        <w:tc>
          <w:tcPr/>
          <w:p>
            <w:pPr>
              <w:pStyle w:val="Compact"/>
              <w:jc w:val="left"/>
            </w:pPr>
            <w:r>
              <w:t xml:space="preserve">Confiance excessive dans les contrôles automatiques</w:t>
            </w:r>
          </w:p>
        </w:tc>
        <w:tc>
          <w:tcPr/>
          <w:p>
            <w:pPr>
              <w:pStyle w:val="Compact"/>
              <w:jc w:val="left"/>
            </w:pPr>
            <w:r>
              <w:t xml:space="preserve">Élevé</w:t>
            </w:r>
          </w:p>
        </w:tc>
        <w:tc>
          <w:tcPr/>
          <w:p>
            <w:pPr>
              <w:pStyle w:val="Compact"/>
              <w:jc w:val="left"/>
            </w:pPr>
            <w:r>
              <w:t xml:space="preserve">Batterie élargie, bornes de plausibilité, statut de simulation et validation humaine</w:t>
            </w:r>
          </w:p>
        </w:tc>
      </w:tr>
      <w:tr>
        <w:tc>
          <w:tcPr/>
          <w:p>
            <w:pPr>
              <w:pStyle w:val="Compact"/>
              <w:jc w:val="left"/>
            </w:pPr>
            <w:r>
              <w:t xml:space="preserve">Résultats non validés circulant comme officiels</w:t>
            </w:r>
          </w:p>
        </w:tc>
        <w:tc>
          <w:tcPr/>
          <w:p>
            <w:pPr>
              <w:pStyle w:val="Compact"/>
              <w:jc w:val="left"/>
            </w:pPr>
            <w:r>
              <w:t xml:space="preserve">Élevé</w:t>
            </w:r>
          </w:p>
        </w:tc>
        <w:tc>
          <w:tcPr/>
          <w:p>
            <w:pPr>
              <w:pStyle w:val="Compact"/>
              <w:jc w:val="left"/>
            </w:pPr>
            <w:r>
              <w:t xml:space="preserve">Statuts et mentions obligatoires sur tous les exports (section 7.1)</w:t>
            </w:r>
          </w:p>
        </w:tc>
      </w:tr>
      <w:tr>
        <w:tc>
          <w:tcPr/>
          <w:p>
            <w:pPr>
              <w:pStyle w:val="Compact"/>
              <w:jc w:val="left"/>
            </w:pPr>
            <w:r>
              <w:t xml:space="preserve">Persistance de fichiers Excel parallèles</w:t>
            </w:r>
          </w:p>
        </w:tc>
        <w:tc>
          <w:tcPr/>
          <w:p>
            <w:pPr>
              <w:pStyle w:val="Compact"/>
              <w:jc w:val="left"/>
            </w:pPr>
            <w:r>
              <w:t xml:space="preserve">Moyen</w:t>
            </w:r>
          </w:p>
        </w:tc>
        <w:tc>
          <w:tcPr/>
          <w:p>
            <w:pPr>
              <w:pStyle w:val="Compact"/>
              <w:jc w:val="left"/>
            </w:pPr>
            <w:r>
              <w:t xml:space="preserve">Règle du référentiel faisant foi, portée par la hiérarchie et non par l’outil (D-11)</w:t>
            </w:r>
          </w:p>
        </w:tc>
      </w:tr>
      <w:tr>
        <w:tc>
          <w:tcPr/>
          <w:p>
            <w:pPr>
              <w:pStyle w:val="Compact"/>
              <w:jc w:val="left"/>
            </w:pPr>
            <w:r>
              <w:t xml:space="preserve">Fragilité de l’exécution d’un classeur Excel côté serveur</w:t>
            </w:r>
          </w:p>
        </w:tc>
        <w:tc>
          <w:tcPr/>
          <w:p>
            <w:pPr>
              <w:pStyle w:val="Compact"/>
              <w:jc w:val="left"/>
            </w:pPr>
            <w:r>
              <w:t xml:space="preserve">Moyen</w:t>
            </w:r>
          </w:p>
        </w:tc>
        <w:tc>
          <w:tcPr/>
          <w:p>
            <w:pPr>
              <w:pStyle w:val="Compact"/>
              <w:jc w:val="left"/>
            </w:pPr>
            <w:r>
              <w:t xml:space="preserve">Arbitrage de la voie retenue avant le lot 6 (D-25)</w:t>
            </w:r>
          </w:p>
        </w:tc>
      </w:tr>
      <w:tr>
        <w:tc>
          <w:tcPr/>
          <w:p>
            <w:pPr>
              <w:pStyle w:val="Compact"/>
              <w:jc w:val="left"/>
            </w:pPr>
            <w:r>
              <w:t xml:space="preserve">Sur-généralisation de l’architecture à des modèles inconnus</w:t>
            </w:r>
          </w:p>
        </w:tc>
        <w:tc>
          <w:tcPr/>
          <w:p>
            <w:pPr>
              <w:pStyle w:val="Compact"/>
              <w:jc w:val="left"/>
            </w:pPr>
            <w:r>
              <w:t xml:space="preserve">Moyen</w:t>
            </w:r>
          </w:p>
        </w:tc>
        <w:tc>
          <w:tcPr/>
          <w:p>
            <w:pPr>
              <w:pStyle w:val="Compact"/>
              <w:jc w:val="left"/>
            </w:pPr>
            <w:r>
              <w:t xml:space="preserve">Contrat d’exécution unique et adaptateurs par famille ; pas de développement anticipé</w:t>
            </w:r>
          </w:p>
        </w:tc>
      </w:tr>
    </w:tbl>
    <w:bookmarkEnd w:id="101"/>
    <w:bookmarkStart w:id="102" w:name="risques-communs"/>
    <w:p>
      <w:pPr>
        <w:pStyle w:val="Heading3"/>
      </w:pPr>
      <w:r>
        <w:t xml:space="preserve">16.4 Risques communs</w:t>
      </w:r>
    </w:p>
    <w:tbl>
      <w:tblPr>
        <w:tblStyle w:val="Table"/>
        <w:tblW w:type="dxa" w:w="9354"/>
        <w:tblLayout w:type="fixed"/>
        <w:tblLook w:firstRow="1" w:lastRow="0" w:firstColumn="0" w:lastColumn="0" w:noHBand="0" w:noVBand="0" w:val="0020"/>
        <w:jc w:val="start"/>
      </w:tblPr>
      <w:tblGrid>
        <w:gridCol w:w="2874"/>
        <w:gridCol w:w="2643"/>
        <w:gridCol w:w="3837"/>
      </w:tblGrid>
      <w:tr>
        <w:trPr>
          <w:tblHeader w:val="true"/>
        </w:trPr>
        <w:tc>
          <w:tcPr/>
          <w:p>
            <w:pPr>
              <w:pStyle w:val="Compact"/>
              <w:jc w:val="left"/>
            </w:pPr>
            <w:r>
              <w:t xml:space="preserve">Risque</w:t>
            </w:r>
          </w:p>
        </w:tc>
        <w:tc>
          <w:tcPr/>
          <w:p>
            <w:pPr>
              <w:pStyle w:val="Compact"/>
              <w:jc w:val="left"/>
            </w:pPr>
            <w:r>
              <w:t xml:space="preserve">Impact</w:t>
            </w:r>
          </w:p>
        </w:tc>
        <w:tc>
          <w:tcPr/>
          <w:p>
            <w:pPr>
              <w:pStyle w:val="Compact"/>
              <w:jc w:val="left"/>
            </w:pPr>
            <w:r>
              <w:t xml:space="preserve">Mesure</w:t>
            </w:r>
          </w:p>
        </w:tc>
      </w:tr>
      <w:tr>
        <w:tc>
          <w:tcPr/>
          <w:p>
            <w:pPr>
              <w:pStyle w:val="Compact"/>
              <w:jc w:val="left"/>
            </w:pPr>
            <w:r>
              <w:t xml:space="preserve">Dépendance à une ressource de développement unique</w:t>
            </w:r>
          </w:p>
        </w:tc>
        <w:tc>
          <w:tcPr/>
          <w:p>
            <w:pPr>
              <w:pStyle w:val="Compact"/>
              <w:jc w:val="left"/>
            </w:pPr>
            <w:r>
              <w:t xml:space="preserve">Arrêt du projet en cas de départ</w:t>
            </w:r>
          </w:p>
        </w:tc>
        <w:tc>
          <w:tcPr/>
          <w:p>
            <w:pPr>
              <w:pStyle w:val="Compact"/>
              <w:jc w:val="left"/>
            </w:pPr>
            <w:r>
              <w:t xml:space="preserve">Dépôt de code appartenant à la Direction dès le premier jour, documentation continue, deux agents CSID formés</w:t>
            </w:r>
          </w:p>
        </w:tc>
      </w:tr>
      <w:tr>
        <w:tc>
          <w:tcPr/>
          <w:p>
            <w:pPr>
              <w:pStyle w:val="Compact"/>
              <w:jc w:val="left"/>
            </w:pPr>
            <w:r>
              <w:t xml:space="preserve">Décision tardive sur l’hébergement définitif</w:t>
            </w:r>
          </w:p>
        </w:tc>
        <w:tc>
          <w:tcPr/>
          <w:p>
            <w:pPr>
              <w:pStyle w:val="Compact"/>
              <w:jc w:val="left"/>
            </w:pPr>
            <w:r>
              <w:t xml:space="preserve">Blocage du lot 5</w:t>
            </w:r>
          </w:p>
        </w:tc>
        <w:tc>
          <w:tcPr/>
          <w:p>
            <w:pPr>
              <w:pStyle w:val="Compact"/>
              <w:jc w:val="left"/>
            </w:pPr>
            <w:r>
              <w:t xml:space="preserve">Conteneurisation dès le départ ; instruction du dossier en parallèle du lot 0 (D-07)</w:t>
            </w:r>
          </w:p>
        </w:tc>
      </w:tr>
      <w:tr>
        <w:tc>
          <w:tcPr/>
          <w:p>
            <w:pPr>
              <w:pStyle w:val="Compact"/>
              <w:jc w:val="left"/>
            </w:pPr>
            <w:r>
              <w:t xml:space="preserve">Coûts récurrents sous-estimés</w:t>
            </w:r>
          </w:p>
        </w:tc>
        <w:tc>
          <w:tcPr/>
          <w:p>
            <w:pPr>
              <w:pStyle w:val="Compact"/>
              <w:jc w:val="left"/>
            </w:pPr>
            <w:r>
              <w:t xml:space="preserve">Interruption de service faute de crédits</w:t>
            </w:r>
          </w:p>
        </w:tc>
        <w:tc>
          <w:tcPr/>
          <w:p>
            <w:pPr>
              <w:pStyle w:val="Compact"/>
              <w:jc w:val="left"/>
            </w:pPr>
            <w:r>
              <w:t xml:space="preserve">Chiffrage consolidé du coût annuel de fonctionnement avant la mise en production (section 17.5)</w:t>
            </w:r>
          </w:p>
        </w:tc>
      </w:tr>
      <w:tr>
        <w:tc>
          <w:tcPr/>
          <w:p>
            <w:pPr>
              <w:pStyle w:val="Compact"/>
              <w:jc w:val="left"/>
            </w:pPr>
            <w:r>
              <w:t xml:space="preserve">Instabilité de la connexion et de l’électricité</w:t>
            </w:r>
          </w:p>
        </w:tc>
        <w:tc>
          <w:tcPr/>
          <w:p>
            <w:pPr>
              <w:pStyle w:val="Compact"/>
              <w:jc w:val="left"/>
            </w:pPr>
            <w:r>
              <w:t xml:space="preserve">Interruptions d’usage</w:t>
            </w:r>
          </w:p>
        </w:tc>
        <w:tc>
          <w:tcPr/>
          <w:p>
            <w:pPr>
              <w:pStyle w:val="Compact"/>
              <w:jc w:val="left"/>
            </w:pPr>
            <w:r>
              <w:t xml:space="preserve">Mode hors ligne, hébergement à faible latence, sauvegardes locales</w:t>
            </w:r>
          </w:p>
        </w:tc>
      </w:tr>
      <w:tr>
        <w:tc>
          <w:tcPr/>
          <w:p>
            <w:pPr>
              <w:pStyle w:val="Compact"/>
              <w:jc w:val="left"/>
            </w:pPr>
            <w:r>
              <w:t xml:space="preserve">Résistance au changement</w:t>
            </w:r>
          </w:p>
        </w:tc>
        <w:tc>
          <w:tcPr/>
          <w:p>
            <w:pPr>
              <w:pStyle w:val="Compact"/>
              <w:jc w:val="left"/>
            </w:pPr>
            <w:r>
              <w:t xml:space="preserve">Sous-utilisation</w:t>
            </w:r>
          </w:p>
        </w:tc>
        <w:tc>
          <w:tcPr/>
          <w:p>
            <w:pPr>
              <w:pStyle w:val="Compact"/>
              <w:jc w:val="left"/>
            </w:pPr>
            <w:r>
              <w:t xml:space="preserve">Référents par division, phase pilote avant généralisation de chaque lot, indicateurs d’adoption suivis par le comité de pilotage</w:t>
            </w:r>
          </w:p>
        </w:tc>
      </w:tr>
    </w:tbl>
    <w:bookmarkEnd w:id="102"/>
    <w:bookmarkStart w:id="103" w:name="facteurs-de-succès"/>
    <w:p>
      <w:pPr>
        <w:pStyle w:val="Heading3"/>
      </w:pPr>
      <w:r>
        <w:t xml:space="preserve">16.5 Facteurs de succès</w:t>
      </w:r>
    </w:p>
    <w:p>
      <w:pPr>
        <w:pStyle w:val="FirstParagraph"/>
      </w:pPr>
      <w:r>
        <w:t xml:space="preserve">Trois conditions, tirées de l’expérience des deux projets : l’implication continue des métiers — modélisateurs et gestionnaires RH, pas seulement développeurs ; le démarrage par le périmètre maîtrisé avant le plus complexe ; et la documentation systématique des hypothèses, des règles de gestion et des correspondances de variables, qui est ce qui survit au départ des personnes.</w:t>
      </w:r>
    </w:p>
    <w:bookmarkEnd w:id="103"/>
    <w:bookmarkEnd w:id="104"/>
    <w:bookmarkStart w:id="111" w:name="cadre-juridique-licences-et-coûts"/>
    <w:p>
      <w:pPr>
        <w:pStyle w:val="Heading2"/>
      </w:pPr>
      <w:r>
        <w:t xml:space="preserve">17. Cadre juridique, licences et coûts</w:t>
      </w:r>
    </w:p>
    <w:bookmarkStart w:id="105" w:name="licences-gams"/>
    <w:p>
      <w:pPr>
        <w:pStyle w:val="Heading3"/>
      </w:pPr>
      <w:r>
        <w:t xml:space="preserve">17.1 Licences GAMS</w:t>
      </w:r>
    </w:p>
    <w:p>
      <w:pPr>
        <w:pStyle w:val="FirstParagraph"/>
      </w:pPr>
      <w:r>
        <w:t xml:space="preserve">Les licences actuelles sont individuelles et installées en local ;</w:t>
      </w:r>
      <w:r>
        <w:t xml:space="preserve"> </w:t>
      </w:r>
      <w:r>
        <w:rPr>
          <w:bCs/>
          <w:b/>
        </w:rPr>
        <w:t xml:space="preserve">elles n’autorisent pas l’exécution côté serveur</w:t>
      </w:r>
      <w:r>
        <w:t xml:space="preserve">. Une licence adaptée — GAMS Engine ou licence réseau — doit être obtenue auprès de l’éditeur. C’est le point bloquant du volet modélisation pour tout usage en production : il est instruit dès le lancement, conjointement par la Direction et les services informatiques (D-16).</w:t>
      </w:r>
    </w:p>
    <w:p>
      <w:pPr>
        <w:pStyle w:val="BodyText"/>
      </w:pPr>
      <w:r>
        <w:t xml:space="preserve">Une licence d’évaluation temporaire peut être sollicitée pour la phase de prototype, en précisant explicitement qu’elle doit couvrir l’exécution serveur et pas seulement le poste de travail. Les lots 0 à 2 sont conçus pour ne pas en dépendre.</w:t>
      </w:r>
    </w:p>
    <w:bookmarkEnd w:id="105"/>
    <w:bookmarkStart w:id="106" w:name="textes-applicables"/>
    <w:p>
      <w:pPr>
        <w:pStyle w:val="Heading3"/>
      </w:pPr>
      <w:r>
        <w:t xml:space="preserve">17.2 Textes applicables</w:t>
      </w:r>
    </w:p>
    <w:tbl>
      <w:tblPr>
        <w:tblStyle w:val="Table"/>
        <w:tblW w:type="dxa" w:w="9354"/>
        <w:tblLayout w:type="fixed"/>
        <w:tblLook w:firstRow="1" w:lastRow="0" w:firstColumn="0" w:lastColumn="0" w:noHBand="0" w:noVBand="0" w:val="0020"/>
        <w:jc w:val="start"/>
      </w:tblPr>
      <w:tblGrid>
        <w:gridCol w:w="3958"/>
        <w:gridCol w:w="5396"/>
      </w:tblGrid>
      <w:tr>
        <w:trPr>
          <w:tblHeader w:val="true"/>
        </w:trPr>
        <w:tc>
          <w:tcPr/>
          <w:p>
            <w:pPr>
              <w:pStyle w:val="Compact"/>
              <w:jc w:val="left"/>
            </w:pPr>
            <w:r>
              <w:t xml:space="preserve">Objet</w:t>
            </w:r>
          </w:p>
        </w:tc>
        <w:tc>
          <w:tcPr/>
          <w:p>
            <w:pPr>
              <w:pStyle w:val="Compact"/>
              <w:jc w:val="left"/>
            </w:pPr>
            <w:r>
              <w:t xml:space="preserve">Texte de référence</w:t>
            </w:r>
          </w:p>
        </w:tc>
      </w:tr>
      <w:tr>
        <w:tc>
          <w:tcPr/>
          <w:p>
            <w:pPr>
              <w:pStyle w:val="Compact"/>
              <w:jc w:val="left"/>
            </w:pPr>
            <w:r>
              <w:t xml:space="preserve">Protection des données à caractère personnel, cybersécurité</w:t>
            </w:r>
          </w:p>
        </w:tc>
        <w:tc>
          <w:tcPr/>
          <w:p>
            <w:pPr>
              <w:pStyle w:val="Compact"/>
              <w:jc w:val="left"/>
            </w:pPr>
            <w:r>
              <w:t xml:space="preserve">Loi L/2016/037/AN relative à la cybersécurité et à la protection des données à caractère personnel en République de Guinée (juillet 2016)</w:t>
            </w:r>
          </w:p>
        </w:tc>
      </w:tr>
      <w:tr>
        <w:tc>
          <w:tcPr/>
          <w:p>
            <w:pPr>
              <w:pStyle w:val="Compact"/>
              <w:jc w:val="left"/>
            </w:pPr>
            <w:r>
              <w:t xml:space="preserve">Valeur des actes et signatures électroniques</w:t>
            </w:r>
          </w:p>
        </w:tc>
        <w:tc>
          <w:tcPr/>
          <w:p>
            <w:pPr>
              <w:pStyle w:val="Compact"/>
              <w:jc w:val="left"/>
            </w:pPr>
            <w:r>
              <w:t xml:space="preserve">Loi L/2016/035/AN relative aux transactions électroniques en République de Guinée (juillet 2016)</w:t>
            </w:r>
          </w:p>
        </w:tc>
      </w:tr>
      <w:tr>
        <w:tc>
          <w:tcPr/>
          <w:p>
            <w:pPr>
              <w:pStyle w:val="Compact"/>
              <w:jc w:val="left"/>
            </w:pPr>
            <w:r>
              <w:t xml:space="preserve">Conservation et versement des archives publiques</w:t>
            </w:r>
          </w:p>
        </w:tc>
        <w:tc>
          <w:tcPr/>
          <w:p>
            <w:pPr>
              <w:pStyle w:val="Compact"/>
              <w:jc w:val="left"/>
            </w:pPr>
            <w:r>
              <w:t xml:space="preserve">Référentiel de l’annexe 4, à confirmer avec les Archives nationales (décision D-23)</w:t>
            </w:r>
          </w:p>
        </w:tc>
      </w:tr>
      <w:tr>
        <w:tc>
          <w:tcPr/>
          <w:p>
            <w:pPr>
              <w:pStyle w:val="Compact"/>
              <w:jc w:val="left"/>
            </w:pPr>
            <w:r>
              <w:t xml:space="preserve">Passation du marché</w:t>
            </w:r>
          </w:p>
        </w:tc>
        <w:tc>
          <w:tcPr/>
          <w:p>
            <w:pPr>
              <w:pStyle w:val="Compact"/>
              <w:jc w:val="left"/>
            </w:pPr>
            <w:r>
              <w:t xml:space="preserve">Code des marchés publics en vigueur et règlement de consultation établi par le service compétent du MEFB</w:t>
            </w:r>
          </w:p>
        </w:tc>
      </w:tr>
    </w:tbl>
    <w:p>
      <w:pPr>
        <w:pStyle w:val="BodyText"/>
      </w:pPr>
      <w:r>
        <w:t xml:space="preserve">Les références exactes, leurs textes d’application et les formalités préalables éventuelles sont confirmés par le service juridique du MEFB avant diffusion (décision D-28). Le visa électronique interne de la section 7.3 n’emporte pas les effets attachés à la signature électronique au sens du second texte ci-dessus ; c’est la raison du dispositif de numérisation de la version signée.</w:t>
      </w:r>
    </w:p>
    <w:bookmarkEnd w:id="106"/>
    <w:bookmarkStart w:id="107" w:name="X43bca8bdc8cdb3d83e4aaaa260cfcc347f8913b"/>
    <w:p>
      <w:pPr>
        <w:pStyle w:val="Heading3"/>
      </w:pPr>
      <w:r>
        <w:t xml:space="preserve">17.3 Propriété intellectuelle et réversibilité</w:t>
      </w:r>
    </w:p>
    <w:p>
      <w:pPr>
        <w:numPr>
          <w:ilvl w:val="0"/>
          <w:numId w:val="1018"/>
        </w:numPr>
        <w:pStyle w:val="Compact"/>
      </w:pPr>
      <w:r>
        <w:t xml:space="preserve">Les modèles économiques, leurs équations, leurs matrices et leurs calibrages sont et demeurent la propriété de la Direction.</w:t>
      </w:r>
    </w:p>
    <w:p>
      <w:pPr>
        <w:numPr>
          <w:ilvl w:val="0"/>
          <w:numId w:val="1018"/>
        </w:numPr>
        <w:pStyle w:val="Compact"/>
      </w:pPr>
      <w:r>
        <w:t xml:space="preserve">Le code source, les données, les scripts de déploiement et la documentation sont remis à la Direction et lui appartiennent, quelle que soit la modalité de développement.</w:t>
      </w:r>
    </w:p>
    <w:p>
      <w:pPr>
        <w:numPr>
          <w:ilvl w:val="0"/>
          <w:numId w:val="1018"/>
        </w:numPr>
        <w:pStyle w:val="Compact"/>
      </w:pPr>
      <w:r>
        <w:t xml:space="preserve">Le dépôt de code est hébergé sur un compte appartenant à la Direction, la maîtrise d’œuvre y disposant d’un accès révocable.</w:t>
      </w:r>
    </w:p>
    <w:p>
      <w:pPr>
        <w:numPr>
          <w:ilvl w:val="0"/>
          <w:numId w:val="1018"/>
        </w:numPr>
        <w:pStyle w:val="Compact"/>
      </w:pPr>
      <w:r>
        <w:t xml:space="preserve">Les briques logicielles tierces sont listées avec leur licence, qui doit être compatible avec un usage administratif sans redevance.</w:t>
      </w:r>
    </w:p>
    <w:p>
      <w:pPr>
        <w:numPr>
          <w:ilvl w:val="0"/>
          <w:numId w:val="1018"/>
        </w:numPr>
        <w:pStyle w:val="Compact"/>
      </w:pPr>
      <w:r>
        <w:t xml:space="preserve">La réversibilité est assurée par la conteneurisation, la documentation d’exploitation et un export complet des données dans un format ouvert.</w:t>
      </w:r>
    </w:p>
    <w:p>
      <w:pPr>
        <w:numPr>
          <w:ilvl w:val="0"/>
          <w:numId w:val="1018"/>
        </w:numPr>
        <w:pStyle w:val="Compact"/>
      </w:pPr>
      <w:r>
        <w:t xml:space="preserve">En cas de prestation externe, le contrat prévoit la remise des sources et la cession des droits.</w:t>
      </w:r>
    </w:p>
    <w:bookmarkEnd w:id="107"/>
    <w:bookmarkStart w:id="108" w:name="fournisseur-dintelligence-artificielle"/>
    <w:p>
      <w:pPr>
        <w:pStyle w:val="Heading3"/>
      </w:pPr>
      <w:r>
        <w:t xml:space="preserve">17.4 Fournisseur d’intelligence artificielle</w:t>
      </w:r>
    </w:p>
    <w:p>
      <w:pPr>
        <w:pStyle w:val="FirstParagraph"/>
      </w:pPr>
      <w:r>
        <w:t xml:space="preserve">Contrat professionnel encadrant la non-réutilisation des données, le chiffrement, la durée de rétention et la localisation du traitement. L’architecture garantit l’interchangeabilité du fournisseur. La Direction se prononce formellement, avant toute mise en service, sur le principe de transmission de données économiques nationales à un service externe et sur le périmètre exact des données concernées (D-08).</w:t>
      </w:r>
      <w:r>
        <w:t xml:space="preserve"> </w:t>
      </w:r>
      <w:r>
        <w:rPr>
          <w:bCs/>
          <w:b/>
        </w:rPr>
        <w:t xml:space="preserve">Aucune donnée du domaine A n’entre dans ce périmètre</w:t>
      </w:r>
      <w:r>
        <w:t xml:space="preserve">, en aucune circonstance.</w:t>
      </w:r>
    </w:p>
    <w:bookmarkEnd w:id="108"/>
    <w:bookmarkStart w:id="109" w:name="X4bf090aac52362a2989f007b95ad6e90dabd214"/>
    <w:p>
      <w:pPr>
        <w:pStyle w:val="Heading3"/>
      </w:pPr>
      <w:r>
        <w:t xml:space="preserve">17.5 Investissement — à chiffrer par la maîtrise d’œuvre</w:t>
      </w:r>
    </w:p>
    <w:p>
      <w:pPr>
        <w:pStyle w:val="FirstParagraph"/>
      </w:pPr>
      <w:r>
        <w:t xml:space="preserve">Les montants ne sont pas arrêtés. La grille est renseignée par la maîtrise d’œuvre dans sa réponse, complétée par le SAF pour les postes qui lui reviennent, et soumise à la décision de la Direction. Le chiffrage est attendu</w:t>
      </w:r>
      <w:r>
        <w:t xml:space="preserve"> </w:t>
      </w:r>
      <w:r>
        <w:rPr>
          <w:bCs/>
          <w:b/>
        </w:rPr>
        <w:t xml:space="preserve">par lot, en charge (jours-homme) et en montant</w:t>
      </w:r>
      <w:r>
        <w:t xml:space="preserve">.</w:t>
      </w:r>
    </w:p>
    <w:tbl>
      <w:tblPr>
        <w:tblStyle w:val="Table"/>
        <w:tblW w:type="dxa" w:w="9354"/>
        <w:tblLayout w:type="fixed"/>
        <w:tblLook w:firstRow="1" w:lastRow="0" w:firstColumn="0" w:lastColumn="0" w:noHBand="0" w:noVBand="0" w:val="0020"/>
        <w:jc w:val="start"/>
      </w:tblPr>
      <w:tblGrid>
        <w:gridCol w:w="8654"/>
        <w:gridCol w:w="700"/>
      </w:tblGrid>
      <w:tr>
        <w:trPr>
          <w:tblHeader w:val="true"/>
        </w:trPr>
        <w:tc>
          <w:tcPr/>
          <w:p>
            <w:pPr>
              <w:pStyle w:val="Compact"/>
              <w:jc w:val="left"/>
            </w:pPr>
            <w:r>
              <w:t xml:space="preserve">Poste</w:t>
            </w:r>
          </w:p>
        </w:tc>
        <w:tc>
          <w:tcPr/>
          <w:p>
            <w:pPr>
              <w:pStyle w:val="Compact"/>
              <w:jc w:val="left"/>
            </w:pPr>
            <w:r>
              <w:t xml:space="preserve">Montant</w:t>
            </w:r>
          </w:p>
        </w:tc>
      </w:tr>
      <w:tr>
        <w:tc>
          <w:tcPr/>
          <w:p>
            <w:pPr>
              <w:pStyle w:val="Compact"/>
              <w:jc w:val="left"/>
            </w:pPr>
            <w:r>
              <w:t xml:space="preserve">Développement, lot 0</w:t>
            </w:r>
          </w:p>
        </w:tc>
        <w:tc>
          <w:tcPr/>
          <w:p>
            <w:pPr>
              <w:pStyle w:val="Compact"/>
            </w:pPr>
          </w:p>
        </w:tc>
      </w:tr>
      <w:tr>
        <w:tc>
          <w:tcPr/>
          <w:p>
            <w:pPr>
              <w:pStyle w:val="Compact"/>
              <w:jc w:val="left"/>
            </w:pPr>
            <w:r>
              <w:t xml:space="preserve">Développement, lots 1 à 4</w:t>
            </w:r>
          </w:p>
        </w:tc>
        <w:tc>
          <w:tcPr/>
          <w:p>
            <w:pPr>
              <w:pStyle w:val="Compact"/>
            </w:pPr>
          </w:p>
        </w:tc>
      </w:tr>
      <w:tr>
        <w:tc>
          <w:tcPr/>
          <w:p>
            <w:pPr>
              <w:pStyle w:val="Compact"/>
              <w:jc w:val="left"/>
            </w:pPr>
            <w:r>
              <w:t xml:space="preserve">Développement, lots 5 à 7</w:t>
            </w:r>
          </w:p>
        </w:tc>
        <w:tc>
          <w:tcPr/>
          <w:p>
            <w:pPr>
              <w:pStyle w:val="Compact"/>
            </w:pPr>
          </w:p>
        </w:tc>
      </w:tr>
      <w:tr>
        <w:tc>
          <w:tcPr/>
          <w:p>
            <w:pPr>
              <w:pStyle w:val="Compact"/>
              <w:jc w:val="left"/>
            </w:pPr>
            <w:r>
              <w:t xml:space="preserve">Reprise de l’existant et fiabilisation des dossiers agents</w:t>
            </w:r>
          </w:p>
        </w:tc>
        <w:tc>
          <w:tcPr/>
          <w:p>
            <w:pPr>
              <w:pStyle w:val="Compact"/>
            </w:pPr>
          </w:p>
        </w:tc>
      </w:tr>
      <w:tr>
        <w:tc>
          <w:tcPr/>
          <w:p>
            <w:pPr>
              <w:pStyle w:val="Compact"/>
              <w:jc w:val="left"/>
            </w:pPr>
            <w:r>
              <w:t xml:space="preserve">Intégration des modèles au référentiel — charge d’économiste, par modèle</w:t>
            </w:r>
          </w:p>
        </w:tc>
        <w:tc>
          <w:tcPr/>
          <w:p>
            <w:pPr>
              <w:pStyle w:val="Compact"/>
            </w:pPr>
          </w:p>
        </w:tc>
      </w:tr>
      <w:tr>
        <w:tc>
          <w:tcPr/>
          <w:p>
            <w:pPr>
              <w:pStyle w:val="Compact"/>
              <w:jc w:val="left"/>
            </w:pPr>
            <w:r>
              <w:t xml:space="preserve">Matériel et serveur, selon l’option d’hébergement retenue</w:t>
            </w:r>
          </w:p>
        </w:tc>
        <w:tc>
          <w:tcPr/>
          <w:p>
            <w:pPr>
              <w:pStyle w:val="Compact"/>
            </w:pPr>
          </w:p>
        </w:tc>
      </w:tr>
      <w:tr>
        <w:tc>
          <w:tcPr/>
          <w:p>
            <w:pPr>
              <w:pStyle w:val="Compact"/>
              <w:jc w:val="left"/>
            </w:pPr>
            <w:r>
              <w:t xml:space="preserve">Nœud de calcul et dimensionnement du moteur</w:t>
            </w:r>
          </w:p>
        </w:tc>
        <w:tc>
          <w:tcPr/>
          <w:p>
            <w:pPr>
              <w:pStyle w:val="Compact"/>
            </w:pPr>
          </w:p>
        </w:tc>
      </w:tr>
      <w:tr>
        <w:tc>
          <w:tcPr/>
          <w:p>
            <w:pPr>
              <w:pStyle w:val="Compact"/>
              <w:jc w:val="left"/>
            </w:pPr>
            <w:r>
              <w:t xml:space="preserve">Test d’intrusion et audit de sécurité</w:t>
            </w:r>
          </w:p>
        </w:tc>
        <w:tc>
          <w:tcPr/>
          <w:p>
            <w:pPr>
              <w:pStyle w:val="Compact"/>
            </w:pPr>
          </w:p>
        </w:tc>
      </w:tr>
      <w:tr>
        <w:tc>
          <w:tcPr/>
          <w:p>
            <w:pPr>
              <w:pStyle w:val="Compact"/>
              <w:jc w:val="left"/>
            </w:pPr>
            <w:r>
              <w:t xml:space="preserve">Formation des référents et transfert de compétences à la CSID</w:t>
            </w:r>
          </w:p>
        </w:tc>
        <w:tc>
          <w:tcPr/>
          <w:p>
            <w:pPr>
              <w:pStyle w:val="Compact"/>
            </w:pPr>
          </w:p>
        </w:tc>
      </w:tr>
      <w:tr>
        <w:tc>
          <w:tcPr/>
          <w:p>
            <w:pPr>
              <w:pStyle w:val="Compact"/>
              <w:jc w:val="left"/>
            </w:pPr>
            <w:r>
              <w:rPr>
                <w:bCs/>
                <w:b/>
              </w:rPr>
              <w:t xml:space="preserve">Total investissement</w:t>
            </w:r>
          </w:p>
        </w:tc>
        <w:tc>
          <w:tcPr/>
          <w:p>
            <w:pPr>
              <w:pStyle w:val="Compact"/>
            </w:pPr>
          </w:p>
        </w:tc>
      </w:tr>
    </w:tbl>
    <w:bookmarkEnd w:id="109"/>
    <w:bookmarkStart w:id="110" w:name="fonctionnement-annuel"/>
    <w:p>
      <w:pPr>
        <w:pStyle w:val="Heading3"/>
      </w:pPr>
      <w:r>
        <w:t xml:space="preserve">17.6 Fonctionnement annuel</w:t>
      </w:r>
    </w:p>
    <w:tbl>
      <w:tblPr>
        <w:tblStyle w:val="Table"/>
        <w:tblW w:type="dxa" w:w="9354"/>
        <w:tblLayout w:type="fixed"/>
        <w:tblLook w:firstRow="1" w:lastRow="0" w:firstColumn="0" w:lastColumn="0" w:noHBand="0" w:noVBand="0" w:val="0020"/>
        <w:jc w:val="start"/>
      </w:tblPr>
      <w:tblGrid>
        <w:gridCol w:w="8654"/>
        <w:gridCol w:w="700"/>
      </w:tblGrid>
      <w:tr>
        <w:trPr>
          <w:tblHeader w:val="true"/>
        </w:trPr>
        <w:tc>
          <w:tcPr/>
          <w:p>
            <w:pPr>
              <w:pStyle w:val="Compact"/>
              <w:jc w:val="left"/>
            </w:pPr>
            <w:r>
              <w:t xml:space="preserve">Poste</w:t>
            </w:r>
          </w:p>
        </w:tc>
        <w:tc>
          <w:tcPr/>
          <w:p>
            <w:pPr>
              <w:pStyle w:val="Compact"/>
              <w:jc w:val="left"/>
            </w:pPr>
            <w:r>
              <w:t xml:space="preserve">Montant</w:t>
            </w:r>
          </w:p>
        </w:tc>
      </w:tr>
      <w:tr>
        <w:tc>
          <w:tcPr/>
          <w:p>
            <w:pPr>
              <w:pStyle w:val="Compact"/>
              <w:jc w:val="left"/>
            </w:pPr>
            <w:r>
              <w:t xml:space="preserve">Hébergement et sauvegarde</w:t>
            </w:r>
          </w:p>
        </w:tc>
        <w:tc>
          <w:tcPr/>
          <w:p>
            <w:pPr>
              <w:pStyle w:val="Compact"/>
            </w:pPr>
          </w:p>
        </w:tc>
      </w:tr>
      <w:tr>
        <w:tc>
          <w:tcPr/>
          <w:p>
            <w:pPr>
              <w:pStyle w:val="Compact"/>
              <w:jc w:val="left"/>
            </w:pPr>
            <w:r>
              <w:t xml:space="preserve">Licence GAMS serveur, dimensionnée sur les exécutions concurrentes observées au lot 2</w:t>
            </w:r>
          </w:p>
        </w:tc>
        <w:tc>
          <w:tcPr/>
          <w:p>
            <w:pPr>
              <w:pStyle w:val="Compact"/>
            </w:pPr>
          </w:p>
        </w:tc>
      </w:tr>
      <w:tr>
        <w:tc>
          <w:tcPr/>
          <w:p>
            <w:pPr>
              <w:pStyle w:val="Compact"/>
              <w:jc w:val="left"/>
            </w:pPr>
            <w:r>
              <w:t xml:space="preserve">Service d’IA, coût par simulation et par analyse de modèle, mesuré au lot 2</w:t>
            </w:r>
          </w:p>
        </w:tc>
        <w:tc>
          <w:tcPr/>
          <w:p>
            <w:pPr>
              <w:pStyle w:val="Compact"/>
            </w:pPr>
          </w:p>
        </w:tc>
      </w:tr>
      <w:tr>
        <w:tc>
          <w:tcPr/>
          <w:p>
            <w:pPr>
              <w:pStyle w:val="Compact"/>
              <w:jc w:val="left"/>
            </w:pPr>
            <w:r>
              <w:t xml:space="preserve">Nom de domaine et certificats</w:t>
            </w:r>
          </w:p>
        </w:tc>
        <w:tc>
          <w:tcPr/>
          <w:p>
            <w:pPr>
              <w:pStyle w:val="Compact"/>
            </w:pPr>
          </w:p>
        </w:tc>
      </w:tr>
      <w:tr>
        <w:tc>
          <w:tcPr/>
          <w:p>
            <w:pPr>
              <w:pStyle w:val="Compact"/>
              <w:jc w:val="left"/>
            </w:pPr>
            <w:r>
              <w:t xml:space="preserve">Courriel transactionnel</w:t>
            </w:r>
          </w:p>
        </w:tc>
        <w:tc>
          <w:tcPr/>
          <w:p>
            <w:pPr>
              <w:pStyle w:val="Compact"/>
            </w:pPr>
          </w:p>
        </w:tc>
      </w:tr>
      <w:tr>
        <w:tc>
          <w:tcPr/>
          <w:p>
            <w:pPr>
              <w:pStyle w:val="Compact"/>
              <w:jc w:val="left"/>
            </w:pPr>
            <w:r>
              <w:t xml:space="preserve">SMS — volume estimé × coût unitaire (D-24)</w:t>
            </w:r>
          </w:p>
        </w:tc>
        <w:tc>
          <w:tcPr/>
          <w:p>
            <w:pPr>
              <w:pStyle w:val="Compact"/>
            </w:pPr>
          </w:p>
        </w:tc>
      </w:tr>
      <w:tr>
        <w:tc>
          <w:tcPr/>
          <w:p>
            <w:pPr>
              <w:pStyle w:val="Compact"/>
              <w:jc w:val="left"/>
            </w:pPr>
            <w:r>
              <w:t xml:space="preserve">Notifications mobiles et canal WhatsApp</w:t>
            </w:r>
          </w:p>
        </w:tc>
        <w:tc>
          <w:tcPr/>
          <w:p>
            <w:pPr>
              <w:pStyle w:val="Compact"/>
            </w:pPr>
          </w:p>
        </w:tc>
      </w:tr>
      <w:tr>
        <w:tc>
          <w:tcPr/>
          <w:p>
            <w:pPr>
              <w:pStyle w:val="Compact"/>
              <w:jc w:val="left"/>
            </w:pPr>
            <w:r>
              <w:t xml:space="preserve">Maintenance corrective et évolutive au-delà de la garantie</w:t>
            </w:r>
          </w:p>
        </w:tc>
        <w:tc>
          <w:tcPr/>
          <w:p>
            <w:pPr>
              <w:pStyle w:val="Compact"/>
            </w:pPr>
          </w:p>
        </w:tc>
      </w:tr>
      <w:tr>
        <w:tc>
          <w:tcPr/>
          <w:p>
            <w:pPr>
              <w:pStyle w:val="Compact"/>
              <w:jc w:val="left"/>
            </w:pPr>
            <w:r>
              <w:t xml:space="preserve">Audit de sécurité périodique</w:t>
            </w:r>
          </w:p>
        </w:tc>
        <w:tc>
          <w:tcPr/>
          <w:p>
            <w:pPr>
              <w:pStyle w:val="Compact"/>
            </w:pPr>
          </w:p>
        </w:tc>
      </w:tr>
      <w:tr>
        <w:tc>
          <w:tcPr/>
          <w:p>
            <w:pPr>
              <w:pStyle w:val="Compact"/>
              <w:jc w:val="left"/>
            </w:pPr>
            <w:r>
              <w:rPr>
                <w:bCs/>
                <w:b/>
              </w:rPr>
              <w:t xml:space="preserve">Total fonctionnement annuel</w:t>
            </w:r>
          </w:p>
        </w:tc>
        <w:tc>
          <w:tcPr/>
          <w:p>
            <w:pPr>
              <w:pStyle w:val="Compact"/>
            </w:pPr>
          </w:p>
        </w:tc>
      </w:tr>
    </w:tbl>
    <w:p>
      <w:pPr>
        <w:pStyle w:val="BodyText"/>
      </w:pPr>
      <w:r>
        <w:t xml:space="preserve">Aucun engagement au-delà du lot 2 n’est arbitré sans ces éléments. Le coût annuel de fonctionnement est consolidé avant la mise en production : un produit livré sans crédits de fonctionnement s’arrête au premier renouvellement.</w:t>
      </w:r>
    </w:p>
    <w:bookmarkEnd w:id="110"/>
    <w:bookmarkEnd w:id="111"/>
    <w:bookmarkStart w:id="118" w:name="note-de-lecture-à-la-maîtrise-dœuvre"/>
    <w:p>
      <w:pPr>
        <w:pStyle w:val="Heading2"/>
      </w:pPr>
      <w:r>
        <w:t xml:space="preserve">18. Note de lecture à la maîtrise d’œuvre</w:t>
      </w:r>
    </w:p>
    <w:p>
      <w:pPr>
        <w:pStyle w:val="FirstParagraph"/>
      </w:pPr>
      <w:r>
        <w:t xml:space="preserve">Le dossier est long parce que le produit est transversal. Cette note dit ce qui engage, ce qui oriente et ce qui reste ouvert.</w:t>
      </w:r>
    </w:p>
    <w:bookmarkStart w:id="112" w:name="ce-qui-est-contractuel"/>
    <w:p>
      <w:pPr>
        <w:pStyle w:val="Heading3"/>
      </w:pPr>
      <w:r>
        <w:t xml:space="preserve">18.1 Ce qui est contractuel</w:t>
      </w:r>
    </w:p>
    <w:p>
      <w:pPr>
        <w:numPr>
          <w:ilvl w:val="0"/>
          <w:numId w:val="1019"/>
        </w:numPr>
        <w:pStyle w:val="Compact"/>
      </w:pPr>
      <w:r>
        <w:t xml:space="preserve">Les</w:t>
      </w:r>
      <w:r>
        <w:t xml:space="preserve"> </w:t>
      </w:r>
      <w:r>
        <w:rPr>
          <w:bCs/>
          <w:b/>
        </w:rPr>
        <w:t xml:space="preserve">exigences numérotées</w:t>
      </w:r>
      <w:r>
        <w:t xml:space="preserve"> </w:t>
      </w:r>
      <w:r>
        <w:t xml:space="preserve">:</w:t>
      </w:r>
      <w:r>
        <w:t xml:space="preserve"> </w:t>
      </w:r>
      <w:r>
        <w:rPr>
          <w:rStyle w:val="VerbatimChar"/>
        </w:rPr>
        <w:t xml:space="preserve">SOC</w:t>
      </w:r>
      <w:r>
        <w:t xml:space="preserve"> </w:t>
      </w:r>
      <w:r>
        <w:t xml:space="preserve">en Partie 0,</w:t>
      </w:r>
      <w:r>
        <w:t xml:space="preserve"> </w:t>
      </w:r>
      <w:r>
        <w:rPr>
          <w:rStyle w:val="VerbatimChar"/>
        </w:rPr>
        <w:t xml:space="preserve">SIG-RF</w:t>
      </w:r>
      <w:r>
        <w:t xml:space="preserve"> </w:t>
      </w:r>
      <w:r>
        <w:t xml:space="preserve">en Partie A,</w:t>
      </w:r>
      <w:r>
        <w:t xml:space="preserve"> </w:t>
      </w:r>
      <w:r>
        <w:rPr>
          <w:rStyle w:val="VerbatimChar"/>
        </w:rPr>
        <w:t xml:space="preserve">MOD-EF</w:t>
      </w:r>
      <w:r>
        <w:t xml:space="preserve"> </w:t>
      </w:r>
      <w:r>
        <w:t xml:space="preserve">en Partie B, avec leur priorité et leur lot.</w:t>
      </w:r>
    </w:p>
    <w:p>
      <w:pPr>
        <w:numPr>
          <w:ilvl w:val="0"/>
          <w:numId w:val="1019"/>
        </w:numPr>
        <w:pStyle w:val="Compact"/>
      </w:pPr>
      <w:r>
        <w:t xml:space="preserve">Le</w:t>
      </w:r>
      <w:r>
        <w:t xml:space="preserve"> </w:t>
      </w:r>
      <w:r>
        <w:rPr>
          <w:bCs/>
          <w:b/>
        </w:rPr>
        <w:t xml:space="preserve">modèle d’habilitation à deux axes</w:t>
      </w:r>
      <w:r>
        <w:t xml:space="preserve"> </w:t>
      </w:r>
      <w:r>
        <w:t xml:space="preserve">et son ordre d’évaluation (Partie 0, section 5). Une conception qui teste le périmètre avant la protection de l’objet est rejetée en recette.</w:t>
      </w:r>
    </w:p>
    <w:p>
      <w:pPr>
        <w:numPr>
          <w:ilvl w:val="0"/>
          <w:numId w:val="1019"/>
        </w:numPr>
        <w:pStyle w:val="Compact"/>
      </w:pPr>
      <w:r>
        <w:rPr>
          <w:bCs/>
          <w:b/>
        </w:rPr>
        <w:t xml:space="preserve">L’exception au principe de cascade</w:t>
      </w:r>
      <w:r>
        <w:t xml:space="preserve"> </w:t>
      </w:r>
      <w:r>
        <w:t xml:space="preserve">(Partie 0, section 3.2). C’est la règle de sécurité centrale : bulletins de paie, motifs médicaux, dossiers individuels et suggestions anonymes échappent à la visibilité hiérarchique, et aucun compte externe n’atteint le domaine A. Une conception qui la contourne, même partiellement, est rejetée.</w:t>
      </w:r>
    </w:p>
    <w:p>
      <w:pPr>
        <w:numPr>
          <w:ilvl w:val="0"/>
          <w:numId w:val="1019"/>
        </w:numPr>
        <w:pStyle w:val="Compact"/>
      </w:pPr>
      <w:r>
        <w:t xml:space="preserve">Le</w:t>
      </w:r>
      <w:r>
        <w:t xml:space="preserve"> </w:t>
      </w:r>
      <w:r>
        <w:rPr>
          <w:bCs/>
          <w:b/>
        </w:rPr>
        <w:t xml:space="preserve">modèle de données consolidé</w:t>
      </w:r>
      <w:r>
        <w:t xml:space="preserve"> </w:t>
      </w:r>
      <w:r>
        <w:t xml:space="preserve">et ses contraintes d’intégrité (Partie 0, section 6).</w:t>
      </w:r>
    </w:p>
    <w:p>
      <w:pPr>
        <w:numPr>
          <w:ilvl w:val="0"/>
          <w:numId w:val="1019"/>
        </w:numPr>
        <w:pStyle w:val="Compact"/>
      </w:pPr>
      <w:r>
        <w:t xml:space="preserve">Les</w:t>
      </w:r>
      <w:r>
        <w:t xml:space="preserve"> </w:t>
      </w:r>
      <w:r>
        <w:rPr>
          <w:bCs/>
          <w:b/>
        </w:rPr>
        <w:t xml:space="preserve">circuits de référence</w:t>
      </w:r>
      <w:r>
        <w:t xml:space="preserve"> </w:t>
      </w:r>
      <w:r>
        <w:t xml:space="preserve">de la Partie A, section A6 : ce sont les processus métier de la Direction, ils ne se réinventent pas au développement.</w:t>
      </w:r>
    </w:p>
    <w:p>
      <w:pPr>
        <w:numPr>
          <w:ilvl w:val="0"/>
          <w:numId w:val="1019"/>
        </w:numPr>
        <w:pStyle w:val="Compact"/>
      </w:pPr>
      <w:r>
        <w:t xml:space="preserve">Le</w:t>
      </w:r>
      <w:r>
        <w:t xml:space="preserve"> </w:t>
      </w:r>
      <w:r>
        <w:rPr>
          <w:bCs/>
          <w:b/>
        </w:rPr>
        <w:t xml:space="preserve">contrat d’exécution unique et ses adaptateurs</w:t>
      </w:r>
      <w:r>
        <w:t xml:space="preserve"> </w:t>
      </w:r>
      <w:r>
        <w:t xml:space="preserve">(Partie 0, section 11.3) : un moteur ne dialogue jamais directement avec l’interface.</w:t>
      </w:r>
    </w:p>
    <w:p>
      <w:pPr>
        <w:numPr>
          <w:ilvl w:val="0"/>
          <w:numId w:val="1019"/>
        </w:numPr>
        <w:pStyle w:val="Compact"/>
      </w:pPr>
      <w:r>
        <w:t xml:space="preserve">Les</w:t>
      </w:r>
      <w:r>
        <w:t xml:space="preserve"> </w:t>
      </w:r>
      <w:r>
        <w:rPr>
          <w:bCs/>
          <w:b/>
        </w:rPr>
        <w:t xml:space="preserve">critères d’acceptation</w:t>
      </w:r>
      <w:r>
        <w:t xml:space="preserve"> </w:t>
      </w:r>
      <w:r>
        <w:rPr>
          <w:rStyle w:val="VerbatimChar"/>
        </w:rPr>
        <w:t xml:space="preserve">CA-A-nn</w:t>
      </w:r>
      <w:r>
        <w:t xml:space="preserve"> </w:t>
      </w:r>
      <w:r>
        <w:t xml:space="preserve">de la Partie A et les</w:t>
      </w:r>
      <w:r>
        <w:t xml:space="preserve"> </w:t>
      </w:r>
      <w:r>
        <w:rPr>
          <w:bCs/>
          <w:b/>
        </w:rPr>
        <w:t xml:space="preserve">critères de réception</w:t>
      </w:r>
      <w:r>
        <w:t xml:space="preserve"> </w:t>
      </w:r>
      <w:r>
        <w:rPr>
          <w:rStyle w:val="VerbatimChar"/>
        </w:rPr>
        <w:t xml:space="preserve">CR-nn</w:t>
      </w:r>
      <w:r>
        <w:t xml:space="preserve"> </w:t>
      </w:r>
      <w:r>
        <w:t xml:space="preserve">de la Partie B. Un lot est réputé livré lorsqu’ils sont satisfaits, pas avant.</w:t>
      </w:r>
    </w:p>
    <w:p>
      <w:pPr>
        <w:numPr>
          <w:ilvl w:val="0"/>
          <w:numId w:val="1019"/>
        </w:numPr>
        <w:pStyle w:val="Compact"/>
      </w:pPr>
      <w:r>
        <w:t xml:space="preserve">Les</w:t>
      </w:r>
      <w:r>
        <w:t xml:space="preserve"> </w:t>
      </w:r>
      <w:r>
        <w:rPr>
          <w:bCs/>
          <w:b/>
        </w:rPr>
        <w:t xml:space="preserve">annexes 1 à 4</w:t>
      </w:r>
      <w:r>
        <w:t xml:space="preserve"> </w:t>
      </w:r>
      <w:r>
        <w:t xml:space="preserve">: matrice des habilitations, dictionnaire des objets et machines à états, règles de gestion à écrire, référentiel des durées de conservation. L’annexe 5 est indicative.</w:t>
      </w:r>
    </w:p>
    <w:p>
      <w:pPr>
        <w:numPr>
          <w:ilvl w:val="0"/>
          <w:numId w:val="1019"/>
        </w:numPr>
        <w:pStyle w:val="Compact"/>
      </w:pPr>
      <w:r>
        <w:t xml:space="preserve">Les</w:t>
      </w:r>
      <w:r>
        <w:t xml:space="preserve"> </w:t>
      </w:r>
      <w:r>
        <w:rPr>
          <w:bCs/>
          <w:b/>
        </w:rPr>
        <w:t xml:space="preserve">fonctions d’administration</w:t>
      </w:r>
      <w:r>
        <w:t xml:space="preserve"> </w:t>
      </w:r>
      <w:r>
        <w:t xml:space="preserve">de la section 13.5 et les</w:t>
      </w:r>
      <w:r>
        <w:t xml:space="preserve"> </w:t>
      </w:r>
      <w:r>
        <w:rPr>
          <w:bCs/>
          <w:b/>
        </w:rPr>
        <w:t xml:space="preserve">réglages</w:t>
      </w:r>
      <w:r>
        <w:t xml:space="preserve"> </w:t>
      </w:r>
      <w:r>
        <w:t xml:space="preserve">de la section 13.6 : l’administrateur doit pouvoir créer, suspendre, désactiver un compte, attribuer un rôle, prononcer une mutation et paramétrer, sans intervention sur le code.</w:t>
      </w:r>
    </w:p>
    <w:p>
      <w:pPr>
        <w:numPr>
          <w:ilvl w:val="0"/>
          <w:numId w:val="1019"/>
        </w:numPr>
        <w:pStyle w:val="Compact"/>
      </w:pPr>
      <w:r>
        <w:t xml:space="preserve">L’</w:t>
      </w:r>
      <w:r>
        <w:rPr>
          <w:bCs/>
          <w:b/>
        </w:rPr>
        <w:t xml:space="preserve">intégration d’un modèle</w:t>
      </w:r>
      <w:r>
        <w:t xml:space="preserve"> </w:t>
      </w:r>
      <w:r>
        <w:t xml:space="preserve">de la section B3B : c’est par là que le modèle d’équilibre général, la programmation financière et les autres entrent dans la plateforme. Un produit livré sans cet écran n’est pas exploitable par la Direction.</w:t>
      </w:r>
    </w:p>
    <w:bookmarkEnd w:id="112"/>
    <w:bookmarkStart w:id="113" w:name="ce-qui-est-indicatif"/>
    <w:p>
      <w:pPr>
        <w:pStyle w:val="Heading3"/>
      </w:pPr>
      <w:r>
        <w:t xml:space="preserve">18.2 Ce qui est indicatif</w:t>
      </w:r>
    </w:p>
    <w:p>
      <w:pPr>
        <w:numPr>
          <w:ilvl w:val="0"/>
          <w:numId w:val="1020"/>
        </w:numPr>
        <w:pStyle w:val="Compact"/>
      </w:pPr>
      <w:r>
        <w:t xml:space="preserve">Les</w:t>
      </w:r>
      <w:r>
        <w:t xml:space="preserve"> </w:t>
      </w:r>
      <w:r>
        <w:rPr>
          <w:bCs/>
          <w:b/>
        </w:rPr>
        <w:t xml:space="preserve">briques techniques</w:t>
      </w:r>
      <w:r>
        <w:t xml:space="preserve"> </w:t>
      </w:r>
      <w:r>
        <w:t xml:space="preserve">de la Partie 0, section 11.2. Une alternative est recevable si elle respecte la règle de langage (11.1), la conteneurisation dès le départ (SOC-HEB-01) et l’objectif de reprise par la CSID. Toute alternative est justifiée dans la réponse.</w:t>
      </w:r>
    </w:p>
    <w:p>
      <w:pPr>
        <w:numPr>
          <w:ilvl w:val="0"/>
          <w:numId w:val="1020"/>
        </w:numPr>
        <w:pStyle w:val="Compact"/>
      </w:pPr>
      <w:r>
        <w:t xml:space="preserve">Le</w:t>
      </w:r>
      <w:r>
        <w:t xml:space="preserve"> </w:t>
      </w:r>
      <w:r>
        <w:rPr>
          <w:bCs/>
          <w:b/>
        </w:rPr>
        <w:t xml:space="preserve">style graphique</w:t>
      </w:r>
      <w:r>
        <w:t xml:space="preserve"> </w:t>
      </w:r>
      <w:r>
        <w:t xml:space="preserve">des écrans et des tableaux de bord. Le contenu affiché et son cloisonnement ne le sont pas.</w:t>
      </w:r>
    </w:p>
    <w:p>
      <w:pPr>
        <w:numPr>
          <w:ilvl w:val="0"/>
          <w:numId w:val="1020"/>
        </w:numPr>
        <w:pStyle w:val="Compact"/>
      </w:pPr>
      <w:r>
        <w:t xml:space="preserve">Les</w:t>
      </w:r>
      <w:r>
        <w:t xml:space="preserve"> </w:t>
      </w:r>
      <w:r>
        <w:rPr>
          <w:bCs/>
          <w:b/>
        </w:rPr>
        <w:t xml:space="preserve">durées</w:t>
      </w:r>
      <w:r>
        <w:t xml:space="preserve"> </w:t>
      </w:r>
      <w:r>
        <w:t xml:space="preserve">des lots : aucune n’est fixée, elles sont à chiffrer.</w:t>
      </w:r>
    </w:p>
    <w:p>
      <w:pPr>
        <w:numPr>
          <w:ilvl w:val="0"/>
          <w:numId w:val="1020"/>
        </w:numPr>
        <w:pStyle w:val="Compact"/>
      </w:pPr>
      <w:r>
        <w:t xml:space="preserve">Les</w:t>
      </w:r>
      <w:r>
        <w:t xml:space="preserve"> </w:t>
      </w:r>
      <w:r>
        <w:rPr>
          <w:bCs/>
          <w:b/>
        </w:rPr>
        <w:t xml:space="preserve">seuils et valeurs par défaut</w:t>
      </w:r>
      <w:r>
        <w:t xml:space="preserve"> </w:t>
      </w:r>
      <w:r>
        <w:t xml:space="preserve">des contrôles de cohérence, confirmés par les responsables de modèles lors de l’état des lieux.</w:t>
      </w:r>
    </w:p>
    <w:bookmarkEnd w:id="113"/>
    <w:bookmarkStart w:id="114" w:name="ce-qui-nest-pas-encore-décidé"/>
    <w:p>
      <w:pPr>
        <w:pStyle w:val="Heading3"/>
      </w:pPr>
      <w:r>
        <w:t xml:space="preserve">18.3 Ce qui n’est pas encore décidé</w:t>
      </w:r>
    </w:p>
    <w:p>
      <w:pPr>
        <w:pStyle w:val="FirstParagraph"/>
      </w:pPr>
      <w:r>
        <w:t xml:space="preserve">Le registre de la section 14 recense 32 décisions, dont 11 conditionnent le démarrage et dont une, le nom du produit, est déjà rendue, et la section 14.3 les informations encore à fournir par les RH, le SAF et la CSID. S’y ajoutent les règles de gestion de l’annexe 3, qui restent à écrire par les RH, le SAF et le secrétariat de direction et qui conditionnent les lots 3 et 5.</w:t>
      </w:r>
    </w:p>
    <w:p>
      <w:pPr>
        <w:pStyle w:val="BodyText"/>
      </w:pPr>
      <w:r>
        <w:t xml:space="preserve">La maîtrise d’œuvre en tient compte de deux manières : elle signale dans sa réponse celles dont l’absence l’empêche de chiffrer, et</w:t>
      </w:r>
      <w:r>
        <w:t xml:space="preserve"> </w:t>
      </w:r>
      <w:r>
        <w:rPr>
          <w:bCs/>
          <w:b/>
        </w:rPr>
        <w:t xml:space="preserve">elle ne présume d’aucune réponse dans sa conception</w:t>
      </w:r>
      <w:r>
        <w:t xml:space="preserve">.</w:t>
      </w:r>
    </w:p>
    <w:bookmarkEnd w:id="114"/>
    <w:bookmarkStart w:id="115" w:name="ordre-de-lecture-conseillé"/>
    <w:p>
      <w:pPr>
        <w:pStyle w:val="Heading3"/>
      </w:pPr>
      <w:r>
        <w:t xml:space="preserve">18.4 Ordre de lecture conseillé</w:t>
      </w:r>
    </w:p>
    <w:p>
      <w:pPr>
        <w:numPr>
          <w:ilvl w:val="0"/>
          <w:numId w:val="1021"/>
        </w:numPr>
        <w:pStyle w:val="Compact"/>
      </w:pPr>
      <w:r>
        <w:t xml:space="preserve">Partie 0, sections 1 à 5 : le périmètre, l’organisation et le modèle d’habilitation. La section 5 commande tout le reste.</w:t>
      </w:r>
    </w:p>
    <w:p>
      <w:pPr>
        <w:numPr>
          <w:ilvl w:val="0"/>
          <w:numId w:val="1021"/>
        </w:numPr>
        <w:pStyle w:val="Compact"/>
      </w:pPr>
      <w:r>
        <w:t xml:space="preserve">Partie 0, sections 6 et 7 : les objets, leurs états et leur sortie.</w:t>
      </w:r>
    </w:p>
    <w:p>
      <w:pPr>
        <w:numPr>
          <w:ilvl w:val="0"/>
          <w:numId w:val="1021"/>
        </w:numPr>
        <w:pStyle w:val="Compact"/>
      </w:pPr>
      <w:r>
        <w:t xml:space="preserve">Les annexes 1 et 2 : qui a le droit de faire quoi, et quels objets portent quels états.</w:t>
      </w:r>
    </w:p>
    <w:p>
      <w:pPr>
        <w:numPr>
          <w:ilvl w:val="0"/>
          <w:numId w:val="1021"/>
        </w:numPr>
        <w:pStyle w:val="Compact"/>
      </w:pPr>
      <w:r>
        <w:t xml:space="preserve">La partie de domaine qui vous concerne, ou les deux.</w:t>
      </w:r>
    </w:p>
    <w:p>
      <w:pPr>
        <w:numPr>
          <w:ilvl w:val="0"/>
          <w:numId w:val="1021"/>
        </w:numPr>
        <w:pStyle w:val="Compact"/>
      </w:pPr>
      <w:r>
        <w:t xml:space="preserve">Partie 0, sections 10 et 11 : contraintes non fonctionnelles et architecture.</w:t>
      </w:r>
    </w:p>
    <w:p>
      <w:pPr>
        <w:numPr>
          <w:ilvl w:val="0"/>
          <w:numId w:val="1021"/>
        </w:numPr>
        <w:pStyle w:val="Compact"/>
      </w:pPr>
      <w:r>
        <w:t xml:space="preserve">Partie 0, sections 12 à 14 : lotissement, gouvernance, décisions en attente.</w:t>
      </w:r>
    </w:p>
    <w:bookmarkEnd w:id="115"/>
    <w:bookmarkStart w:id="116" w:name="ce-qui-est-attendu-en-retour"/>
    <w:p>
      <w:pPr>
        <w:pStyle w:val="Heading3"/>
      </w:pPr>
      <w:r>
        <w:t xml:space="preserve">18.5 Ce qui est attendu en retour</w:t>
      </w:r>
    </w:p>
    <w:tbl>
      <w:tblPr>
        <w:tblStyle w:val="Table"/>
        <w:tblW w:type="dxa" w:w="9354"/>
        <w:tblLayout w:type="fixed"/>
        <w:tblLook w:firstRow="1" w:lastRow="0" w:firstColumn="0" w:lastColumn="0" w:noHBand="0" w:noVBand="0" w:val="0020"/>
        <w:jc w:val="start"/>
      </w:tblPr>
      <w:tblGrid>
        <w:gridCol w:w="3395"/>
        <w:gridCol w:w="5959"/>
      </w:tblGrid>
      <w:tr>
        <w:trPr>
          <w:tblHeader w:val="true"/>
        </w:trPr>
        <w:tc>
          <w:tcPr/>
          <w:p>
            <w:pPr>
              <w:pStyle w:val="Compact"/>
              <w:jc w:val="left"/>
            </w:pPr>
            <w:r>
              <w:t xml:space="preserve">Élément</w:t>
            </w:r>
          </w:p>
        </w:tc>
        <w:tc>
          <w:tcPr/>
          <w:p>
            <w:pPr>
              <w:pStyle w:val="Compact"/>
              <w:jc w:val="left"/>
            </w:pPr>
            <w:r>
              <w:t xml:space="preserve">Précision</w:t>
            </w:r>
          </w:p>
        </w:tc>
      </w:tr>
      <w:tr>
        <w:tc>
          <w:tcPr/>
          <w:p>
            <w:pPr>
              <w:pStyle w:val="Compact"/>
              <w:jc w:val="left"/>
            </w:pPr>
            <w:r>
              <w:t xml:space="preserve">Chiffrage par lot</w:t>
            </w:r>
          </w:p>
        </w:tc>
        <w:tc>
          <w:tcPr/>
          <w:p>
            <w:pPr>
              <w:pStyle w:val="Compact"/>
              <w:jc w:val="left"/>
            </w:pPr>
            <w:r>
              <w:t xml:space="preserve">En charge (jours-homme) et en montant, sur la grille de la section 17.5</w:t>
            </w:r>
          </w:p>
        </w:tc>
      </w:tr>
      <w:tr>
        <w:tc>
          <w:tcPr/>
          <w:p>
            <w:pPr>
              <w:pStyle w:val="Compact"/>
              <w:jc w:val="left"/>
            </w:pPr>
            <w:r>
              <w:t xml:space="preserve">Planning par lot</w:t>
            </w:r>
          </w:p>
        </w:tc>
        <w:tc>
          <w:tcPr/>
          <w:p>
            <w:pPr>
              <w:pStyle w:val="Compact"/>
              <w:jc w:val="left"/>
            </w:pPr>
            <w:r>
              <w:t xml:space="preserve">Avec les jalons de recette et les dépendances vis-à-vis des décisions de la section 14</w:t>
            </w:r>
          </w:p>
        </w:tc>
      </w:tr>
      <w:tr>
        <w:tc>
          <w:tcPr/>
          <w:p>
            <w:pPr>
              <w:pStyle w:val="Compact"/>
              <w:jc w:val="left"/>
            </w:pPr>
            <w:r>
              <w:t xml:space="preserve">Équipe</w:t>
            </w:r>
          </w:p>
        </w:tc>
        <w:tc>
          <w:tcPr/>
          <w:p>
            <w:pPr>
              <w:pStyle w:val="Compact"/>
              <w:jc w:val="left"/>
            </w:pPr>
            <w:r>
              <w:t xml:space="preserve">Composition, profils, disponibilité ; personne responsable de la relation avec la CSID ;</w:t>
            </w:r>
            <w:r>
              <w:t xml:space="preserve"> </w:t>
            </w:r>
            <w:r>
              <w:rPr>
                <w:bCs/>
                <w:b/>
              </w:rPr>
              <w:t xml:space="preserve">responsable nommé pour le moteur de calcul</w:t>
            </w:r>
            <w:r>
              <w:t xml:space="preserve">, distinct du responsable applicatif</w:t>
            </w:r>
          </w:p>
        </w:tc>
      </w:tr>
      <w:tr>
        <w:tc>
          <w:tcPr/>
          <w:p>
            <w:pPr>
              <w:pStyle w:val="Compact"/>
              <w:jc w:val="left"/>
            </w:pPr>
            <w:r>
              <w:t xml:space="preserve">Couverture des deux domaines</w:t>
            </w:r>
          </w:p>
        </w:tc>
        <w:tc>
          <w:tcPr/>
          <w:p>
            <w:pPr>
              <w:pStyle w:val="Compact"/>
              <w:jc w:val="left"/>
            </w:pPr>
            <w:r>
              <w:t xml:space="preserve">Références sur les circuits RH et paie d’une part, sur l’orchestration de modèles économiques d’autre part ; co-traitance le cas échéant</w:t>
            </w:r>
          </w:p>
        </w:tc>
      </w:tr>
      <w:tr>
        <w:tc>
          <w:tcPr/>
          <w:p>
            <w:pPr>
              <w:pStyle w:val="Compact"/>
              <w:jc w:val="left"/>
            </w:pPr>
            <w:r>
              <w:t xml:space="preserve">Alternative technique</w:t>
            </w:r>
          </w:p>
        </w:tc>
        <w:tc>
          <w:tcPr/>
          <w:p>
            <w:pPr>
              <w:pStyle w:val="Compact"/>
              <w:jc w:val="left"/>
            </w:pPr>
            <w:r>
              <w:t xml:space="preserve">Le cas échéant, justifiée au regard des contraintes rappelées en 18.2</w:t>
            </w:r>
          </w:p>
        </w:tc>
      </w:tr>
      <w:tr>
        <w:tc>
          <w:tcPr/>
          <w:p>
            <w:pPr>
              <w:pStyle w:val="Compact"/>
              <w:jc w:val="left"/>
            </w:pPr>
            <w:r>
              <w:t xml:space="preserve">Points bloquants</w:t>
            </w:r>
          </w:p>
        </w:tc>
        <w:tc>
          <w:tcPr/>
          <w:p>
            <w:pPr>
              <w:pStyle w:val="Compact"/>
              <w:jc w:val="left"/>
            </w:pPr>
            <w:r>
              <w:t xml:space="preserve">Liste des exigences jugées imprécises, contradictoires ou non chiffrables en l’état</w:t>
            </w:r>
          </w:p>
        </w:tc>
      </w:tr>
      <w:tr>
        <w:tc>
          <w:tcPr/>
          <w:p>
            <w:pPr>
              <w:pStyle w:val="Compact"/>
              <w:jc w:val="left"/>
            </w:pPr>
            <w:r>
              <w:t xml:space="preserve">Engagements écrits</w:t>
            </w:r>
          </w:p>
        </w:tc>
        <w:tc>
          <w:tcPr/>
          <w:p>
            <w:pPr>
              <w:pStyle w:val="Compact"/>
              <w:jc w:val="left"/>
            </w:pPr>
            <w:r>
              <w:t xml:space="preserve">Dépôt du code sur un compte appartenant à la DNPEC dès le premier jour, documentation, transfert de compétences à la CSID, réversibilité, propriété intellectuelle, absence de données personnelles réelles et de données sensibles avant publication hors production</w:t>
            </w:r>
          </w:p>
        </w:tc>
      </w:tr>
      <w:tr>
        <w:tc>
          <w:tcPr/>
          <w:p>
            <w:pPr>
              <w:pStyle w:val="Compact"/>
              <w:jc w:val="left"/>
            </w:pPr>
            <w:r>
              <w:t xml:space="preserve">Questions</w:t>
            </w:r>
          </w:p>
        </w:tc>
        <w:tc>
          <w:tcPr/>
          <w:p>
            <w:pPr>
              <w:pStyle w:val="Compact"/>
              <w:jc w:val="left"/>
            </w:pPr>
            <w:r>
              <w:t xml:space="preserve">Adressées par écrit à la CSID ; les réponses sont communiquées à l’ensemble des candidats le cas échéant</w:t>
            </w:r>
          </w:p>
        </w:tc>
      </w:tr>
    </w:tbl>
    <w:bookmarkEnd w:id="116"/>
    <w:bookmarkStart w:id="117" w:name="confidentialité"/>
    <w:p>
      <w:pPr>
        <w:pStyle w:val="Heading3"/>
      </w:pPr>
      <w:r>
        <w:t xml:space="preserve">18.6 Confidentialité</w:t>
      </w:r>
    </w:p>
    <w:p>
      <w:pPr>
        <w:pStyle w:val="FirstParagraph"/>
      </w:pPr>
      <w:r>
        <w:t xml:space="preserve">Le dossier décrit l’organisation interne d’une direction nationale et l’état de son parc de modèles. Il ne peut être communiqué à des tiers, ni utilisé à d’autres fins que la réponse à la présente consultation.</w:t>
      </w:r>
    </w:p>
    <w:bookmarkEnd w:id="117"/>
    <w:bookmarkEnd w:id="118"/>
    <w:bookmarkStart w:id="129" w:name="tests-livrables-et-garantie"/>
    <w:p>
      <w:pPr>
        <w:pStyle w:val="Heading2"/>
      </w:pPr>
      <w:r>
        <w:t xml:space="preserve">19. Tests, livrables et garantie</w:t>
      </w:r>
    </w:p>
    <w:bookmarkStart w:id="119" w:name="niveaux-de-tests"/>
    <w:p>
      <w:pPr>
        <w:pStyle w:val="Heading3"/>
      </w:pPr>
      <w:r>
        <w:t xml:space="preserve">19.1 Niveaux de tests</w:t>
      </w:r>
    </w:p>
    <w:tbl>
      <w:tblPr>
        <w:tblStyle w:val="Table"/>
        <w:tblW w:type="dxa" w:w="9354"/>
        <w:tblLayout w:type="fixed"/>
        <w:tblLook w:firstRow="1" w:lastRow="0" w:firstColumn="0" w:lastColumn="0" w:noHBand="0" w:noVBand="0" w:val="0020"/>
        <w:jc w:val="start"/>
      </w:tblPr>
      <w:tblGrid>
        <w:gridCol w:w="2611"/>
        <w:gridCol w:w="4110"/>
        <w:gridCol w:w="2633"/>
      </w:tblGrid>
      <w:tr>
        <w:trPr>
          <w:tblHeader w:val="true"/>
        </w:trPr>
        <w:tc>
          <w:tcPr/>
          <w:p>
            <w:pPr>
              <w:pStyle w:val="Compact"/>
              <w:jc w:val="left"/>
            </w:pPr>
            <w:r>
              <w:t xml:space="preserve">Niveau</w:t>
            </w:r>
          </w:p>
        </w:tc>
        <w:tc>
          <w:tcPr/>
          <w:p>
            <w:pPr>
              <w:pStyle w:val="Compact"/>
              <w:jc w:val="left"/>
            </w:pPr>
            <w:r>
              <w:t xml:space="preserve">Contenu</w:t>
            </w:r>
          </w:p>
        </w:tc>
        <w:tc>
          <w:tcPr/>
          <w:p>
            <w:pPr>
              <w:pStyle w:val="Compact"/>
              <w:jc w:val="left"/>
            </w:pPr>
            <w:r>
              <w:t xml:space="preserve">Responsable</w:t>
            </w:r>
          </w:p>
        </w:tc>
      </w:tr>
      <w:tr>
        <w:tc>
          <w:tcPr/>
          <w:p>
            <w:pPr>
              <w:pStyle w:val="Compact"/>
              <w:jc w:val="left"/>
            </w:pPr>
            <w:r>
              <w:t xml:space="preserve">Unitaire</w:t>
            </w:r>
          </w:p>
        </w:tc>
        <w:tc>
          <w:tcPr/>
          <w:p>
            <w:pPr>
              <w:pStyle w:val="Compact"/>
              <w:jc w:val="left"/>
            </w:pPr>
            <w:r>
              <w:t xml:space="preserve">Règles de gestion, validations d’entrée, calculs d’écart, machines à états</w:t>
            </w:r>
          </w:p>
        </w:tc>
        <w:tc>
          <w:tcPr/>
          <w:p>
            <w:pPr>
              <w:pStyle w:val="Compact"/>
              <w:jc w:val="left"/>
            </w:pPr>
            <w:r>
              <w:t xml:space="preserve">Développeur</w:t>
            </w:r>
          </w:p>
        </w:tc>
      </w:tr>
      <w:tr>
        <w:tc>
          <w:tcPr/>
          <w:p>
            <w:pPr>
              <w:pStyle w:val="Compact"/>
              <w:jc w:val="left"/>
            </w:pPr>
            <w:r>
              <w:t xml:space="preserve">Intégration</w:t>
            </w:r>
          </w:p>
        </w:tc>
        <w:tc>
          <w:tcPr/>
          <w:p>
            <w:pPr>
              <w:pStyle w:val="Compact"/>
              <w:jc w:val="left"/>
            </w:pPr>
            <w:r>
              <w:t xml:space="preserve">Cycle complet scénario → moteur → collecte → contrôles → fiche, sur le modèle témoin ; et circuit complet congé, paie, stage côté domaine A</w:t>
            </w:r>
          </w:p>
        </w:tc>
        <w:tc>
          <w:tcPr/>
          <w:p>
            <w:pPr>
              <w:pStyle w:val="Compact"/>
              <w:jc w:val="left"/>
            </w:pPr>
            <w:r>
              <w:t xml:space="preserve">Développeur</w:t>
            </w:r>
          </w:p>
        </w:tc>
      </w:tr>
      <w:tr>
        <w:tc>
          <w:tcPr/>
          <w:p>
            <w:pPr>
              <w:pStyle w:val="Compact"/>
              <w:jc w:val="left"/>
            </w:pPr>
            <w:r>
              <w:rPr>
                <w:bCs/>
                <w:b/>
              </w:rPr>
              <w:t xml:space="preserve">Habilitations</w:t>
            </w:r>
          </w:p>
        </w:tc>
        <w:tc>
          <w:tcPr/>
          <w:p>
            <w:pPr>
              <w:pStyle w:val="Compact"/>
              <w:jc w:val="left"/>
            </w:pPr>
            <w:r>
              <w:t xml:space="preserve">Vérification côté serveur de chaque ligne de la matrice des droits, tentatives d’accès hors périmètre, tentative d’accès administrateur à un objet protégé</w:t>
            </w:r>
          </w:p>
        </w:tc>
        <w:tc>
          <w:tcPr/>
          <w:p>
            <w:pPr>
              <w:pStyle w:val="Compact"/>
              <w:jc w:val="left"/>
            </w:pPr>
            <w:r>
              <w:t xml:space="preserve">Développeur</w:t>
            </w:r>
          </w:p>
        </w:tc>
      </w:tr>
      <w:tr>
        <w:tc>
          <w:tcPr/>
          <w:p>
            <w:pPr>
              <w:pStyle w:val="Compact"/>
              <w:jc w:val="left"/>
            </w:pPr>
            <w:r>
              <w:rPr>
                <w:bCs/>
                <w:b/>
              </w:rPr>
              <w:t xml:space="preserve">Cloisonnement des domaines</w:t>
            </w:r>
          </w:p>
        </w:tc>
        <w:tc>
          <w:tcPr/>
          <w:p>
            <w:pPr>
              <w:pStyle w:val="Compact"/>
              <w:jc w:val="left"/>
            </w:pPr>
            <w:r>
              <w:t xml:space="preserve">Tentative d’accès d’un compte externe au domaine A ; vérification qu’aucune donnée du domaine A n’atteint le service d’IA</w:t>
            </w:r>
          </w:p>
        </w:tc>
        <w:tc>
          <w:tcPr/>
          <w:p>
            <w:pPr>
              <w:pStyle w:val="Compact"/>
              <w:jc w:val="left"/>
            </w:pPr>
            <w:r>
              <w:t xml:space="preserve">Développeur, vérifié en recette</w:t>
            </w:r>
          </w:p>
        </w:tc>
      </w:tr>
      <w:tr>
        <w:tc>
          <w:tcPr/>
          <w:p>
            <w:pPr>
              <w:pStyle w:val="Compact"/>
              <w:jc w:val="left"/>
            </w:pPr>
            <w:r>
              <w:t xml:space="preserve">Non-régression modèle</w:t>
            </w:r>
          </w:p>
        </w:tc>
        <w:tc>
          <w:tcPr/>
          <w:p>
            <w:pPr>
              <w:pStyle w:val="Compact"/>
              <w:jc w:val="left"/>
            </w:pPr>
            <w:r>
              <w:t xml:space="preserve">Comparaison des résultats du produit avec le jeu témoin, valeur par valeur, à la tolérance déclarée</w:t>
            </w:r>
          </w:p>
        </w:tc>
        <w:tc>
          <w:tcPr/>
          <w:p>
            <w:pPr>
              <w:pStyle w:val="Compact"/>
              <w:jc w:val="left"/>
            </w:pPr>
            <w:r>
              <w:t xml:space="preserve">Développeur, vérifié par le responsable de modèle</w:t>
            </w:r>
          </w:p>
        </w:tc>
      </w:tr>
      <w:tr>
        <w:tc>
          <w:tcPr/>
          <w:p>
            <w:pPr>
              <w:pStyle w:val="Compact"/>
              <w:jc w:val="left"/>
            </w:pPr>
            <w:r>
              <w:t xml:space="preserve">Rejeu</w:t>
            </w:r>
          </w:p>
        </w:tc>
        <w:tc>
          <w:tcPr/>
          <w:p>
            <w:pPr>
              <w:pStyle w:val="Compact"/>
              <w:jc w:val="left"/>
            </w:pPr>
            <w:r>
              <w:t xml:space="preserve">Réexécution d’une simulation archivée : entrées strictement identiques, valeurs égales à la tolérance de rejeu près</w:t>
            </w:r>
          </w:p>
        </w:tc>
        <w:tc>
          <w:tcPr/>
          <w:p>
            <w:pPr>
              <w:pStyle w:val="Compact"/>
              <w:jc w:val="left"/>
            </w:pPr>
            <w:r>
              <w:t xml:space="preserve">Développeur</w:t>
            </w:r>
          </w:p>
        </w:tc>
      </w:tr>
      <w:tr>
        <w:tc>
          <w:tcPr/>
          <w:p>
            <w:pPr>
              <w:pStyle w:val="Compact"/>
              <w:jc w:val="left"/>
            </w:pPr>
            <w:r>
              <w:t xml:space="preserve">Charge</w:t>
            </w:r>
          </w:p>
        </w:tc>
        <w:tc>
          <w:tcPr/>
          <w:p>
            <w:pPr>
              <w:pStyle w:val="Compact"/>
              <w:jc w:val="left"/>
            </w:pPr>
            <w:r>
              <w:t xml:space="preserve">Cinq exécutions concurrentes pendant que vingt utilisateurs travaillent sur le domaine A</w:t>
            </w:r>
          </w:p>
        </w:tc>
        <w:tc>
          <w:tcPr/>
          <w:p>
            <w:pPr>
              <w:pStyle w:val="Compact"/>
              <w:jc w:val="left"/>
            </w:pPr>
            <w:r>
              <w:t xml:space="preserve">Développeur</w:t>
            </w:r>
          </w:p>
        </w:tc>
      </w:tr>
      <w:tr>
        <w:tc>
          <w:tcPr/>
          <w:p>
            <w:pPr>
              <w:pStyle w:val="Compact"/>
              <w:jc w:val="left"/>
            </w:pPr>
            <w:r>
              <w:t xml:space="preserve">Régression assistée</w:t>
            </w:r>
          </w:p>
        </w:tc>
        <w:tc>
          <w:tcPr/>
          <w:p>
            <w:pPr>
              <w:pStyle w:val="Compact"/>
              <w:jc w:val="left"/>
            </w:pPr>
            <w:r>
              <w:t xml:space="preserve">Jeu de questions types, résultats attendus stables</w:t>
            </w:r>
          </w:p>
        </w:tc>
        <w:tc>
          <w:tcPr/>
          <w:p>
            <w:pPr>
              <w:pStyle w:val="Compact"/>
              <w:jc w:val="left"/>
            </w:pPr>
            <w:r>
              <w:t xml:space="preserve">Développeur, validé par les économistes</w:t>
            </w:r>
          </w:p>
        </w:tc>
      </w:tr>
      <w:tr>
        <w:tc>
          <w:tcPr/>
          <w:p>
            <w:pPr>
              <w:pStyle w:val="Compact"/>
              <w:jc w:val="left"/>
            </w:pPr>
            <w:r>
              <w:t xml:space="preserve">Recette</w:t>
            </w:r>
          </w:p>
        </w:tc>
        <w:tc>
          <w:tcPr/>
          <w:p>
            <w:pPr>
              <w:pStyle w:val="Compact"/>
              <w:jc w:val="left"/>
            </w:pPr>
            <w:r>
              <w:t xml:space="preserve">Les critères de réception des Parties A et B applicables au lot, en séance</w:t>
            </w:r>
          </w:p>
        </w:tc>
        <w:tc>
          <w:tcPr/>
          <w:p>
            <w:pPr>
              <w:pStyle w:val="Compact"/>
              <w:jc w:val="left"/>
            </w:pPr>
            <w:r>
              <w:t xml:space="preserve">Direction</w:t>
            </w:r>
          </w:p>
        </w:tc>
      </w:tr>
    </w:tbl>
    <w:p>
      <w:pPr>
        <w:pStyle w:val="BodyText"/>
      </w:pPr>
      <w:r>
        <w:t xml:space="preserve">Le test de charge mixte est propre à la fusion : il vérifie qu’une file de calcul saturée ne dégrade pas l’usage transactionnel.</w:t>
      </w:r>
    </w:p>
    <w:bookmarkEnd w:id="119"/>
    <w:bookmarkStart w:id="120" w:name="exigences-de-test"/>
    <w:p>
      <w:pPr>
        <w:pStyle w:val="Heading3"/>
      </w:pPr>
      <w:r>
        <w:t xml:space="preserve">19.2 Exigences de test</w:t>
      </w:r>
    </w:p>
    <w:p>
      <w:pPr>
        <w:numPr>
          <w:ilvl w:val="0"/>
          <w:numId w:val="1022"/>
        </w:numPr>
        <w:pStyle w:val="Compact"/>
      </w:pPr>
      <w:r>
        <w:t xml:space="preserve">Les tests automatisés s’exécutent à chaque intégration de code et</w:t>
      </w:r>
      <w:r>
        <w:t xml:space="preserve"> </w:t>
      </w:r>
      <w:r>
        <w:rPr>
          <w:bCs/>
          <w:b/>
        </w:rPr>
        <w:t xml:space="preserve">bloquent la livraison en cas d’échec</w:t>
      </w:r>
      <w:r>
        <w:t xml:space="preserve">.</w:t>
      </w:r>
    </w:p>
    <w:p>
      <w:pPr>
        <w:numPr>
          <w:ilvl w:val="0"/>
          <w:numId w:val="1022"/>
        </w:numPr>
        <w:pStyle w:val="Compact"/>
      </w:pPr>
      <w:r>
        <w:t xml:space="preserve">Chaque exigence</w:t>
      </w:r>
      <w:r>
        <w:t xml:space="preserve"> </w:t>
      </w:r>
      <w:r>
        <w:rPr>
          <w:rStyle w:val="VerbatimChar"/>
        </w:rPr>
        <w:t xml:space="preserve">SOC</w:t>
      </w:r>
      <w:r>
        <w:t xml:space="preserve">,</w:t>
      </w:r>
      <w:r>
        <w:t xml:space="preserve"> </w:t>
      </w:r>
      <w:r>
        <w:rPr>
          <w:rStyle w:val="VerbatimChar"/>
        </w:rPr>
        <w:t xml:space="preserve">SIG-RF</w:t>
      </w:r>
      <w:r>
        <w:t xml:space="preserve"> </w:t>
      </w:r>
      <w:r>
        <w:t xml:space="preserve">et</w:t>
      </w:r>
      <w:r>
        <w:t xml:space="preserve"> </w:t>
      </w:r>
      <w:r>
        <w:rPr>
          <w:rStyle w:val="VerbatimChar"/>
        </w:rPr>
        <w:t xml:space="preserve">MOD-EF</w:t>
      </w:r>
      <w:r>
        <w:t xml:space="preserve"> </w:t>
      </w:r>
      <w:r>
        <w:t xml:space="preserve">est rattachée à au moins un test automatisé ou à un critère de réception ; le tableau de couverture est un livrable.</w:t>
      </w:r>
    </w:p>
    <w:p>
      <w:pPr>
        <w:numPr>
          <w:ilvl w:val="0"/>
          <w:numId w:val="1022"/>
        </w:numPr>
        <w:pStyle w:val="Compact"/>
      </w:pPr>
      <w:r>
        <w:t xml:space="preserve">Les tests de non-régression modèle sont rejoués après tout changement de version de GAMS, de solveur, d’interpréteur Python ou de bibliothèque de calcul.</w:t>
      </w:r>
    </w:p>
    <w:p>
      <w:pPr>
        <w:numPr>
          <w:ilvl w:val="0"/>
          <w:numId w:val="1022"/>
        </w:numPr>
        <w:pStyle w:val="Compact"/>
      </w:pPr>
      <w:r>
        <w:rPr>
          <w:bCs/>
          <w:b/>
        </w:rPr>
        <w:t xml:space="preserve">Aucun test ne s’exécute sur des données personnelles réelles ni sur des données classées sensibles.</w:t>
      </w:r>
    </w:p>
    <w:bookmarkEnd w:id="120"/>
    <w:bookmarkStart w:id="121" w:name="livrables-dus-à-chaque-lot"/>
    <w:p>
      <w:pPr>
        <w:pStyle w:val="Heading3"/>
      </w:pPr>
      <w:r>
        <w:t xml:space="preserve">19.3 Livrables dus à chaque lot</w:t>
      </w:r>
    </w:p>
    <w:p>
      <w:pPr>
        <w:pStyle w:val="FirstParagraph"/>
      </w:pPr>
      <w:r>
        <w:t xml:space="preserve">Un lot n’est pas réceptionné tant qu’ils ne sont pas fournis, même si le logiciel fonctionne.</w:t>
      </w:r>
    </w:p>
    <w:tbl>
      <w:tblPr>
        <w:tblStyle w:val="Table"/>
        <w:tblW w:type="dxa" w:w="9354"/>
        <w:tblLayout w:type="fixed"/>
        <w:tblLook w:firstRow="1" w:lastRow="0" w:firstColumn="0" w:lastColumn="0" w:noHBand="0" w:noVBand="0" w:val="0020"/>
        <w:jc w:val="start"/>
      </w:tblPr>
      <w:tblGrid>
        <w:gridCol w:w="3660"/>
        <w:gridCol w:w="5694"/>
      </w:tblGrid>
      <w:tr>
        <w:trPr>
          <w:tblHeader w:val="true"/>
        </w:trPr>
        <w:tc>
          <w:tcPr/>
          <w:p>
            <w:pPr>
              <w:pStyle w:val="Compact"/>
              <w:jc w:val="left"/>
            </w:pPr>
            <w:r>
              <w:t xml:space="preserve">Livrable</w:t>
            </w:r>
          </w:p>
        </w:tc>
        <w:tc>
          <w:tcPr/>
          <w:p>
            <w:pPr>
              <w:pStyle w:val="Compact"/>
              <w:jc w:val="left"/>
            </w:pPr>
            <w:r>
              <w:t xml:space="preserve">Contenu attendu</w:t>
            </w:r>
          </w:p>
        </w:tc>
      </w:tr>
      <w:tr>
        <w:tc>
          <w:tcPr/>
          <w:p>
            <w:pPr>
              <w:pStyle w:val="Compact"/>
              <w:jc w:val="left"/>
            </w:pPr>
            <w:r>
              <w:t xml:space="preserve">Code source</w:t>
            </w:r>
          </w:p>
        </w:tc>
        <w:tc>
          <w:tcPr/>
          <w:p>
            <w:pPr>
              <w:pStyle w:val="Compact"/>
              <w:jc w:val="left"/>
            </w:pPr>
            <w:r>
              <w:t xml:space="preserve">Déposé au fil de l’eau sur le dépôt appartenant à la DNPEC, avec son historique ; aucun dépôt privé de la maîtrise d’œuvre comme source de vérité</w:t>
            </w:r>
          </w:p>
        </w:tc>
      </w:tr>
      <w:tr>
        <w:tc>
          <w:tcPr/>
          <w:p>
            <w:pPr>
              <w:pStyle w:val="Compact"/>
              <w:jc w:val="left"/>
            </w:pPr>
            <w:r>
              <w:t xml:space="preserve">Scripts de déploiement</w:t>
            </w:r>
          </w:p>
        </w:tc>
        <w:tc>
          <w:tcPr/>
          <w:p>
            <w:pPr>
              <w:pStyle w:val="Compact"/>
              <w:jc w:val="left"/>
            </w:pPr>
            <w:r>
              <w:t xml:space="preserve">Conteneurisés, permettant de reconstruire l’environnement complet sur une machine vierge ; migration, sauvegarde et restauration inclus</w:t>
            </w:r>
          </w:p>
        </w:tc>
      </w:tr>
      <w:tr>
        <w:tc>
          <w:tcPr/>
          <w:p>
            <w:pPr>
              <w:pStyle w:val="Compact"/>
              <w:jc w:val="left"/>
            </w:pPr>
            <w:r>
              <w:t xml:space="preserve">Documentation d’architecture</w:t>
            </w:r>
          </w:p>
        </w:tc>
        <w:tc>
          <w:tcPr/>
          <w:p>
            <w:pPr>
              <w:pStyle w:val="Compact"/>
              <w:jc w:val="left"/>
            </w:pPr>
            <w:r>
              <w:t xml:space="preserve">Schéma des composants, modèle de données, décisions techniques et leurs motifs</w:t>
            </w:r>
          </w:p>
        </w:tc>
      </w:tr>
      <w:tr>
        <w:tc>
          <w:tcPr/>
          <w:p>
            <w:pPr>
              <w:pStyle w:val="Compact"/>
              <w:jc w:val="left"/>
            </w:pPr>
            <w:r>
              <w:t xml:space="preserve">Documentation d’exploitation</w:t>
            </w:r>
          </w:p>
        </w:tc>
        <w:tc>
          <w:tcPr/>
          <w:p>
            <w:pPr>
              <w:pStyle w:val="Compact"/>
              <w:jc w:val="left"/>
            </w:pPr>
            <w:r>
              <w:t xml:space="preserve">Installation, configuration, sauvegarde, restauration, supervision, procédure de mise à jour</w:t>
            </w:r>
          </w:p>
        </w:tc>
      </w:tr>
      <w:tr>
        <w:tc>
          <w:tcPr/>
          <w:p>
            <w:pPr>
              <w:pStyle w:val="Compact"/>
              <w:jc w:val="left"/>
            </w:pPr>
            <w:r>
              <w:t xml:space="preserve">Jeu de données de test</w:t>
            </w:r>
          </w:p>
        </w:tc>
        <w:tc>
          <w:tcPr/>
          <w:p>
            <w:pPr>
              <w:pStyle w:val="Compact"/>
              <w:jc w:val="left"/>
            </w:pPr>
            <w:r>
              <w:t xml:space="preserve">Fictif, couvrant l’organigramme complet, une trentaine d’agents, un cycle de congés, une campagne de paie, un parcours de stage, et un modèle témoin avec sa base</w:t>
            </w:r>
          </w:p>
        </w:tc>
      </w:tr>
      <w:tr>
        <w:tc>
          <w:tcPr/>
          <w:p>
            <w:pPr>
              <w:pStyle w:val="Compact"/>
              <w:jc w:val="left"/>
            </w:pPr>
            <w:r>
              <w:t xml:space="preserve">Tests automatisés</w:t>
            </w:r>
          </w:p>
        </w:tc>
        <w:tc>
          <w:tcPr/>
          <w:p>
            <w:pPr>
              <w:pStyle w:val="Compact"/>
              <w:jc w:val="left"/>
            </w:pPr>
            <w:r>
              <w:t xml:space="preserve">Couvrant la matrice des habilitations, le cloisonnement des domaines et les circuits de validation</w:t>
            </w:r>
          </w:p>
        </w:tc>
      </w:tr>
      <w:tr>
        <w:tc>
          <w:tcPr/>
          <w:p>
            <w:pPr>
              <w:pStyle w:val="Compact"/>
              <w:jc w:val="left"/>
            </w:pPr>
            <w:r>
              <w:t xml:space="preserve">Matrice de traçabilité</w:t>
            </w:r>
          </w:p>
        </w:tc>
        <w:tc>
          <w:tcPr/>
          <w:p>
            <w:pPr>
              <w:pStyle w:val="Compact"/>
              <w:jc w:val="left"/>
            </w:pPr>
            <w:r>
              <w:t xml:space="preserve">Exigence → composant → test, mise à jour à chaque lot</w:t>
            </w:r>
          </w:p>
        </w:tc>
      </w:tr>
      <w:tr>
        <w:tc>
          <w:tcPr/>
          <w:p>
            <w:pPr>
              <w:pStyle w:val="Compact"/>
              <w:jc w:val="left"/>
            </w:pPr>
            <w:r>
              <w:t xml:space="preserve">Documentation des invites d’IA</w:t>
            </w:r>
          </w:p>
        </w:tc>
        <w:tc>
          <w:tcPr/>
          <w:p>
            <w:pPr>
              <w:pStyle w:val="Compact"/>
              <w:jc w:val="left"/>
            </w:pPr>
            <w:r>
              <w:t xml:space="preserve">Contenu et versionnement, pour les lots concernés</w:t>
            </w:r>
          </w:p>
        </w:tc>
      </w:tr>
      <w:tr>
        <w:tc>
          <w:tcPr/>
          <w:p>
            <w:pPr>
              <w:pStyle w:val="Compact"/>
              <w:jc w:val="left"/>
            </w:pPr>
            <w:r>
              <w:t xml:space="preserve">Manuel utilisateur</w:t>
            </w:r>
          </w:p>
        </w:tc>
        <w:tc>
          <w:tcPr/>
          <w:p>
            <w:pPr>
              <w:pStyle w:val="Compact"/>
              <w:jc w:val="left"/>
            </w:pPr>
            <w:r>
              <w:t xml:space="preserve">Aide contextuelle intégrée à l’interface, à jour du périmètre livré, en français</w:t>
            </w:r>
          </w:p>
        </w:tc>
      </w:tr>
      <w:tr>
        <w:tc>
          <w:tcPr/>
          <w:p>
            <w:pPr>
              <w:pStyle w:val="Compact"/>
              <w:jc w:val="left"/>
            </w:pPr>
            <w:r>
              <w:t xml:space="preserve">Note de version</w:t>
            </w:r>
          </w:p>
        </w:tc>
        <w:tc>
          <w:tcPr/>
          <w:p>
            <w:pPr>
              <w:pStyle w:val="Compact"/>
              <w:jc w:val="left"/>
            </w:pPr>
            <w:r>
              <w:t xml:space="preserve">Numéro, date, contenu fonctionnel, points d’attention pour l’exploitation</w:t>
            </w:r>
          </w:p>
        </w:tc>
      </w:tr>
      <w:tr>
        <w:tc>
          <w:tcPr/>
          <w:p>
            <w:pPr>
              <w:pStyle w:val="Compact"/>
              <w:jc w:val="left"/>
            </w:pPr>
            <w:r>
              <w:t xml:space="preserve">Procès-verbal de recette</w:t>
            </w:r>
          </w:p>
        </w:tc>
        <w:tc>
          <w:tcPr/>
          <w:p>
            <w:pPr>
              <w:pStyle w:val="Compact"/>
              <w:jc w:val="left"/>
            </w:pPr>
            <w:r>
              <w:t xml:space="preserve">Signé, listant les écarts constatés et leur qualification</w:t>
            </w:r>
          </w:p>
        </w:tc>
      </w:tr>
      <w:tr>
        <w:tc>
          <w:tcPr/>
          <w:p>
            <w:pPr>
              <w:pStyle w:val="Compact"/>
              <w:jc w:val="left"/>
            </w:pPr>
            <w:r>
              <w:t xml:space="preserve">Transfert de compétences</w:t>
            </w:r>
          </w:p>
        </w:tc>
        <w:tc>
          <w:tcPr/>
          <w:p>
            <w:pPr>
              <w:pStyle w:val="Compact"/>
              <w:jc w:val="left"/>
            </w:pPr>
            <w:r>
              <w:t xml:space="preserve">Session d’au moins cinq jours, deux agents CSID au minimum, sur l’architecture, le code, le déploiement et l’exploitation. Livrable de la réception définitive, non une intention</w:t>
            </w:r>
          </w:p>
        </w:tc>
      </w:tr>
    </w:tbl>
    <w:bookmarkEnd w:id="121"/>
    <w:bookmarkStart w:id="122" w:name="sévérité-des-défauts"/>
    <w:p>
      <w:pPr>
        <w:pStyle w:val="Heading3"/>
      </w:pPr>
      <w:r>
        <w:t xml:space="preserve">19.4 Sévérité des défauts</w:t>
      </w:r>
    </w:p>
    <w:tbl>
      <w:tblPr>
        <w:tblStyle w:val="Table"/>
        <w:tblW w:type="dxa" w:w="9354"/>
        <w:tblLayout w:type="fixed"/>
        <w:tblLook w:firstRow="1" w:lastRow="0" w:firstColumn="0" w:lastColumn="0" w:noHBand="0" w:noVBand="0" w:val="0020"/>
        <w:jc w:val="start"/>
      </w:tblPr>
      <w:tblGrid>
        <w:gridCol w:w="2579"/>
        <w:gridCol w:w="3968"/>
        <w:gridCol w:w="2807"/>
      </w:tblGrid>
      <w:tr>
        <w:trPr>
          <w:tblHeader w:val="true"/>
        </w:trPr>
        <w:tc>
          <w:tcPr/>
          <w:p>
            <w:pPr>
              <w:pStyle w:val="Compact"/>
              <w:jc w:val="left"/>
            </w:pPr>
            <w:r>
              <w:t xml:space="preserve">Niveau</w:t>
            </w:r>
          </w:p>
        </w:tc>
        <w:tc>
          <w:tcPr/>
          <w:p>
            <w:pPr>
              <w:pStyle w:val="Compact"/>
              <w:jc w:val="left"/>
            </w:pPr>
            <w:r>
              <w:t xml:space="preserve">Définition</w:t>
            </w:r>
          </w:p>
        </w:tc>
        <w:tc>
          <w:tcPr/>
          <w:p>
            <w:pPr>
              <w:pStyle w:val="Compact"/>
              <w:jc w:val="left"/>
            </w:pPr>
            <w:r>
              <w:t xml:space="preserve">Délai</w:t>
            </w:r>
          </w:p>
        </w:tc>
      </w:tr>
      <w:tr>
        <w:tc>
          <w:tcPr/>
          <w:p>
            <w:pPr>
              <w:pStyle w:val="Compact"/>
              <w:jc w:val="left"/>
            </w:pPr>
            <w:r>
              <w:t xml:space="preserve">Bloquant</w:t>
            </w:r>
          </w:p>
        </w:tc>
        <w:tc>
          <w:tcPr/>
          <w:p>
            <w:pPr>
              <w:pStyle w:val="Compact"/>
              <w:jc w:val="left"/>
            </w:pPr>
            <w:r>
              <w:t xml:space="preserve">Perte ou corruption de données, exposition d’un objet protégé, résultat faux présenté comme valide, impossibilité d’exécuter une simulation</w:t>
            </w:r>
          </w:p>
        </w:tc>
        <w:tc>
          <w:tcPr/>
          <w:p>
            <w:pPr>
              <w:pStyle w:val="Compact"/>
              <w:jc w:val="left"/>
            </w:pPr>
            <w:r>
              <w:t xml:space="preserve">Immédiat, livraison suspendue</w:t>
            </w:r>
          </w:p>
        </w:tc>
      </w:tr>
      <w:tr>
        <w:tc>
          <w:tcPr/>
          <w:p>
            <w:pPr>
              <w:pStyle w:val="Compact"/>
              <w:jc w:val="left"/>
            </w:pPr>
            <w:r>
              <w:t xml:space="preserve">Majeur</w:t>
            </w:r>
          </w:p>
        </w:tc>
        <w:tc>
          <w:tcPr/>
          <w:p>
            <w:pPr>
              <w:pStyle w:val="Compact"/>
              <w:jc w:val="left"/>
            </w:pPr>
            <w:r>
              <w:t xml:space="preserve">Fonction du lot inutilisable, contrôle de cohérence non exécuté, droit non appliqué côté serveur</w:t>
            </w:r>
          </w:p>
        </w:tc>
        <w:tc>
          <w:tcPr/>
          <w:p>
            <w:pPr>
              <w:pStyle w:val="Compact"/>
              <w:jc w:val="left"/>
            </w:pPr>
            <w:r>
              <w:t xml:space="preserve">Avant réception du lot</w:t>
            </w:r>
          </w:p>
        </w:tc>
      </w:tr>
      <w:tr>
        <w:tc>
          <w:tcPr/>
          <w:p>
            <w:pPr>
              <w:pStyle w:val="Compact"/>
              <w:jc w:val="left"/>
            </w:pPr>
            <w:r>
              <w:t xml:space="preserve">Mineur</w:t>
            </w:r>
          </w:p>
        </w:tc>
        <w:tc>
          <w:tcPr/>
          <w:p>
            <w:pPr>
              <w:pStyle w:val="Compact"/>
              <w:jc w:val="left"/>
            </w:pPr>
            <w:r>
              <w:t xml:space="preserve">Gêne d’usage, libellé, affichage</w:t>
            </w:r>
          </w:p>
        </w:tc>
        <w:tc>
          <w:tcPr/>
          <w:p>
            <w:pPr>
              <w:pStyle w:val="Compact"/>
              <w:jc w:val="left"/>
            </w:pPr>
            <w:r>
              <w:t xml:space="preserve">Lot suivant</w:t>
            </w:r>
          </w:p>
        </w:tc>
      </w:tr>
    </w:tbl>
    <w:p>
      <w:pPr>
        <w:pStyle w:val="BodyText"/>
      </w:pPr>
      <w:r>
        <w:t xml:space="preserve">Toute exposition d’un objet protégé est qualifiée</w:t>
      </w:r>
      <w:r>
        <w:t xml:space="preserve"> </w:t>
      </w:r>
      <w:r>
        <w:rPr>
          <w:bCs/>
          <w:b/>
        </w:rPr>
        <w:t xml:space="preserve">bloquante</w:t>
      </w:r>
      <w:r>
        <w:t xml:space="preserve"> </w:t>
      </w:r>
      <w:r>
        <w:t xml:space="preserve">par nature, quelle que soit son ampleur apparente.</w:t>
      </w:r>
    </w:p>
    <w:bookmarkEnd w:id="122"/>
    <w:bookmarkStart w:id="123" w:name="garantie"/>
    <w:p>
      <w:pPr>
        <w:pStyle w:val="Heading3"/>
      </w:pPr>
      <w:r>
        <w:t xml:space="preserve">19.5 Garantie</w:t>
      </w:r>
    </w:p>
    <w:p>
      <w:pPr>
        <w:pStyle w:val="FirstParagraph"/>
      </w:pPr>
      <w:r>
        <w:t xml:space="preserve">Chaque lot est couvert par une garantie de douze mois à compter de sa réception, portant sur la correction des défauts rattachables aux exigences du présent dossier. Un défaut bloquant est pris en charge sous un jour ouvré et corrigé sous cinq jours ouvrés ; un défaut majeur sous quinze jours ouvrés ; un défaut mineur est traité dans la livraison suivante.</w:t>
      </w:r>
    </w:p>
    <w:p>
      <w:pPr>
        <w:pStyle w:val="BodyText"/>
      </w:pPr>
      <w:r>
        <w:t xml:space="preserve">La garantie ne couvre ni les évolutions fonctionnelles, ni les conséquences d’une modification apportée par la Direction hors du cadre prévu, ni les défauts imputables à un modèle économique lui-même. À son issue, un contrat de maintenance distinct prend le relais, avec les mêmes niveaux de service.</w:t>
      </w:r>
    </w:p>
    <w:bookmarkEnd w:id="123"/>
    <w:bookmarkStart w:id="124" w:name="reprise-de-lexistant-1"/>
    <w:p>
      <w:pPr>
        <w:pStyle w:val="Heading3"/>
      </w:pPr>
      <w:r>
        <w:t xml:space="preserve">19.6 Reprise de l’existant</w:t>
      </w:r>
    </w:p>
    <w:p>
      <w:pPr>
        <w:pStyle w:val="FirstParagraph"/>
      </w:pPr>
      <w:r>
        <w:t xml:space="preserve">Le lot 0 n’est pas livrable sans reprise des données existantes. Ce</w:t>
      </w:r>
      <w:r>
        <w:t xml:space="preserve"> </w:t>
      </w:r>
      <w:r>
        <w:t xml:space="preserve">chantier est conduit par les RH et la CSID, en parallèle du</w:t>
      </w:r>
      <w:r>
        <w:t xml:space="preserve"> </w:t>
      </w:r>
      <w:r>
        <w:t xml:space="preserve">développement.</w:t>
      </w:r>
    </w:p>
    <w:tbl>
      <w:tblPr>
        <w:tblStyle w:val="Table"/>
        <w:tblW w:type="dxa" w:w="9354"/>
        <w:tblLayout w:type="fixed"/>
        <w:tblLook w:firstRow="1" w:lastRow="0" w:firstColumn="0" w:lastColumn="0" w:noHBand="0" w:noVBand="0" w:val="0020"/>
        <w:jc w:val="start"/>
      </w:tblPr>
      <w:tblGrid>
        <w:gridCol w:w="2173"/>
        <w:gridCol w:w="2224"/>
        <w:gridCol w:w="2000"/>
        <w:gridCol w:w="2957"/>
      </w:tblGrid>
      <w:tr>
        <w:trPr>
          <w:tblHeader w:val="true"/>
        </w:trPr>
        <w:tc>
          <w:tcPr/>
          <w:p>
            <w:pPr>
              <w:pStyle w:val="Compact"/>
              <w:jc w:val="left"/>
            </w:pPr>
            <w:r>
              <w:t xml:space="preserve">Donnée</w:t>
            </w:r>
          </w:p>
        </w:tc>
        <w:tc>
          <w:tcPr/>
          <w:p>
            <w:pPr>
              <w:pStyle w:val="Compact"/>
              <w:jc w:val="left"/>
            </w:pPr>
            <w:r>
              <w:t xml:space="preserve">Source</w:t>
            </w:r>
          </w:p>
        </w:tc>
        <w:tc>
          <w:tcPr/>
          <w:p>
            <w:pPr>
              <w:pStyle w:val="Compact"/>
              <w:jc w:val="left"/>
            </w:pPr>
            <w:r>
              <w:t xml:space="preserve">Responsable</w:t>
            </w:r>
          </w:p>
        </w:tc>
        <w:tc>
          <w:tcPr/>
          <w:p>
            <w:pPr>
              <w:pStyle w:val="Compact"/>
              <w:jc w:val="left"/>
            </w:pPr>
            <w:r>
              <w:t xml:space="preserve">Point d’attention</w:t>
            </w:r>
          </w:p>
        </w:tc>
      </w:tr>
      <w:tr>
        <w:tc>
          <w:tcPr/>
          <w:p>
            <w:pPr>
              <w:pStyle w:val="Compact"/>
              <w:jc w:val="left"/>
            </w:pPr>
            <w:r>
              <w:t xml:space="preserve">Organigramme et responsables</w:t>
            </w:r>
          </w:p>
        </w:tc>
        <w:tc>
          <w:tcPr/>
          <w:p>
            <w:pPr>
              <w:pStyle w:val="Compact"/>
              <w:jc w:val="left"/>
            </w:pPr>
            <w:r>
              <w:t xml:space="preserve">Textes d’organisation de la DNPEC</w:t>
            </w:r>
          </w:p>
        </w:tc>
        <w:tc>
          <w:tcPr/>
          <w:p>
            <w:pPr>
              <w:pStyle w:val="Compact"/>
              <w:jc w:val="left"/>
            </w:pPr>
            <w:r>
              <w:t xml:space="preserve">CSID</w:t>
            </w:r>
          </w:p>
        </w:tc>
        <w:tc>
          <w:tcPr/>
          <w:p>
            <w:pPr>
              <w:pStyle w:val="Compact"/>
              <w:jc w:val="left"/>
            </w:pPr>
            <w:r>
              <w:t xml:space="preserve">Écarts entre l’organigramme officiel et l’affectation réelle des agents</w:t>
            </w:r>
          </w:p>
        </w:tc>
      </w:tr>
      <w:tr>
        <w:tc>
          <w:tcPr/>
          <w:p>
            <w:pPr>
              <w:pStyle w:val="Compact"/>
              <w:jc w:val="left"/>
            </w:pPr>
            <w:r>
              <w:t xml:space="preserve">Dossiers agents</w:t>
            </w:r>
          </w:p>
        </w:tc>
        <w:tc>
          <w:tcPr/>
          <w:p>
            <w:pPr>
              <w:pStyle w:val="Compact"/>
              <w:jc w:val="left"/>
            </w:pPr>
            <w:r>
              <w:t xml:space="preserve">Fichiers RH et dossiers papier</w:t>
            </w:r>
          </w:p>
        </w:tc>
        <w:tc>
          <w:tcPr/>
          <w:p>
            <w:pPr>
              <w:pStyle w:val="Compact"/>
              <w:jc w:val="left"/>
            </w:pPr>
            <w:r>
              <w:t xml:space="preserve">RH</w:t>
            </w:r>
          </w:p>
        </w:tc>
        <w:tc>
          <w:tcPr/>
          <w:p>
            <w:pPr>
              <w:pStyle w:val="Compact"/>
              <w:jc w:val="left"/>
            </w:pPr>
            <w:r>
              <w:t xml:space="preserve">Matricules manquants ou erronés, doublons, pièces non numérisées</w:t>
            </w:r>
          </w:p>
        </w:tc>
      </w:tr>
      <w:tr>
        <w:tc>
          <w:tcPr/>
          <w:p>
            <w:pPr>
              <w:pStyle w:val="Compact"/>
              <w:jc w:val="left"/>
            </w:pPr>
            <w:r>
              <w:t xml:space="preserve">Soldes de congés</w:t>
            </w:r>
          </w:p>
        </w:tc>
        <w:tc>
          <w:tcPr/>
          <w:p>
            <w:pPr>
              <w:pStyle w:val="Compact"/>
              <w:jc w:val="left"/>
            </w:pPr>
            <w:r>
              <w:t xml:space="preserve">Registre RH</w:t>
            </w:r>
          </w:p>
        </w:tc>
        <w:tc>
          <w:tcPr/>
          <w:p>
            <w:pPr>
              <w:pStyle w:val="Compact"/>
              <w:jc w:val="left"/>
            </w:pPr>
            <w:r>
              <w:t xml:space="preserve">RH</w:t>
            </w:r>
          </w:p>
        </w:tc>
        <w:tc>
          <w:tcPr/>
          <w:p>
            <w:pPr>
              <w:pStyle w:val="Compact"/>
              <w:jc w:val="left"/>
            </w:pPr>
            <w:r>
              <w:t xml:space="preserve">Date de gel à arrêter ; au-delà, toute nouvelle absence passe par le système</w:t>
            </w:r>
          </w:p>
        </w:tc>
      </w:tr>
      <w:tr>
        <w:tc>
          <w:tcPr/>
          <w:p>
            <w:pPr>
              <w:pStyle w:val="Compact"/>
              <w:jc w:val="left"/>
            </w:pPr>
            <w:r>
              <w:t xml:space="preserve">Historique documentaire</w:t>
            </w:r>
          </w:p>
        </w:tc>
        <w:tc>
          <w:tcPr/>
          <w:p>
            <w:pPr>
              <w:pStyle w:val="Compact"/>
              <w:jc w:val="left"/>
            </w:pPr>
            <w:r>
              <w:t xml:space="preserve">Classeurs des divisions</w:t>
            </w:r>
          </w:p>
        </w:tc>
        <w:tc>
          <w:tcPr/>
          <w:p>
            <w:pPr>
              <w:pStyle w:val="Compact"/>
              <w:jc w:val="left"/>
            </w:pPr>
            <w:r>
              <w:t xml:space="preserve">Chefs de division</w:t>
            </w:r>
          </w:p>
        </w:tc>
        <w:tc>
          <w:tcPr/>
          <w:p>
            <w:pPr>
              <w:pStyle w:val="Compact"/>
              <w:jc w:val="left"/>
            </w:pPr>
            <w:r>
              <w:t xml:space="preserve">Ne reprendre que les documents utiles, avec leurs métadonnées ; pas de versement massif sans tri</w:t>
            </w:r>
          </w:p>
        </w:tc>
      </w:tr>
      <w:tr>
        <w:tc>
          <w:tcPr/>
          <w:p>
            <w:pPr>
              <w:pStyle w:val="Compact"/>
              <w:jc w:val="left"/>
            </w:pPr>
            <w:r>
              <w:t xml:space="preserve">Registre du courrier</w:t>
            </w:r>
          </w:p>
        </w:tc>
        <w:tc>
          <w:tcPr/>
          <w:p>
            <w:pPr>
              <w:pStyle w:val="Compact"/>
              <w:jc w:val="left"/>
            </w:pPr>
            <w:r>
              <w:t xml:space="preserve">Registre du secrétariat</w:t>
            </w:r>
          </w:p>
        </w:tc>
        <w:tc>
          <w:tcPr/>
          <w:p>
            <w:pPr>
              <w:pStyle w:val="Compact"/>
              <w:jc w:val="left"/>
            </w:pPr>
            <w:r>
              <w:t xml:space="preserve">Secrétariat</w:t>
            </w:r>
          </w:p>
        </w:tc>
        <w:tc>
          <w:tcPr/>
          <w:p>
            <w:pPr>
              <w:pStyle w:val="Compact"/>
              <w:jc w:val="left"/>
            </w:pPr>
            <w:r>
              <w:t xml:space="preserve">Ne reprendre que les courriers non clos à la date de bascule</w:t>
            </w:r>
          </w:p>
        </w:tc>
      </w:tr>
    </w:tbl>
    <w:p>
      <w:pPr>
        <w:pStyle w:val="BodyText"/>
      </w:pPr>
      <w:r>
        <w:t xml:space="preserve">Deux règles : la reprise se fait sur un fichier normalisé fourni par la</w:t>
      </w:r>
      <w:r>
        <w:t xml:space="preserve"> </w:t>
      </w:r>
      <w:r>
        <w:t xml:space="preserve">maîtrise d’œuvre, et tout import produit un rapport d’anomalies qui doit</w:t>
      </w:r>
      <w:r>
        <w:t xml:space="preserve"> </w:t>
      </w:r>
      <w:r>
        <w:t xml:space="preserve">être traité avant la mise en service (SIG-RF-REP-02). La fiabilisation des</w:t>
      </w:r>
      <w:r>
        <w:t xml:space="preserve"> </w:t>
      </w:r>
      <w:r>
        <w:t xml:space="preserve">dossiers agents conditionne le lot 5 : des bulletins adossés à des</w:t>
      </w:r>
      <w:r>
        <w:t xml:space="preserve"> </w:t>
      </w:r>
      <w:r>
        <w:t xml:space="preserve">dossiers incomplets sont inexploitables.</w:t>
      </w:r>
    </w:p>
    <w:bookmarkEnd w:id="124"/>
    <w:bookmarkStart w:id="125" w:name="déploiement-et-conduite-du-changement"/>
    <w:p>
      <w:pPr>
        <w:pStyle w:val="Heading3"/>
      </w:pPr>
      <w:r>
        <w:t xml:space="preserve">19.7 Déploiement et conduite du changement</w:t>
      </w:r>
    </w:p>
    <w:tbl>
      <w:tblPr>
        <w:tblStyle w:val="Table"/>
        <w:tblW w:type="dxa" w:w="9354"/>
        <w:tblLayout w:type="fixed"/>
        <w:tblLook w:firstRow="1" w:lastRow="0" w:firstColumn="0" w:lastColumn="0" w:noHBand="0" w:noVBand="0" w:val="0020"/>
        <w:jc w:val="start"/>
      </w:tblPr>
      <w:tblGrid>
        <w:gridCol w:w="3350"/>
        <w:gridCol w:w="6004"/>
      </w:tblGrid>
      <w:tr>
        <w:trPr>
          <w:tblHeader w:val="true"/>
        </w:trPr>
        <w:tc>
          <w:tcPr/>
          <w:p>
            <w:pPr>
              <w:pStyle w:val="Compact"/>
              <w:jc w:val="left"/>
            </w:pPr>
            <w:r>
              <w:t xml:space="preserve">Étape</w:t>
            </w:r>
          </w:p>
        </w:tc>
        <w:tc>
          <w:tcPr/>
          <w:p>
            <w:pPr>
              <w:pStyle w:val="Compact"/>
              <w:jc w:val="left"/>
            </w:pPr>
            <w:r>
              <w:t xml:space="preserve">Contenu</w:t>
            </w:r>
          </w:p>
        </w:tc>
      </w:tr>
      <w:tr>
        <w:tc>
          <w:tcPr/>
          <w:p>
            <w:pPr>
              <w:pStyle w:val="Compact"/>
              <w:jc w:val="left"/>
            </w:pPr>
            <w:r>
              <w:t xml:space="preserve">Pilote</w:t>
            </w:r>
          </w:p>
        </w:tc>
        <w:tc>
          <w:tcPr/>
          <w:p>
            <w:pPr>
              <w:pStyle w:val="Compact"/>
              <w:jc w:val="left"/>
            </w:pPr>
            <w:r>
              <w:t xml:space="preserve">Chaque lot est d’abord ouvert à une seule division volontaire, pendant deux à quatre semaines, avant généralisation</w:t>
            </w:r>
          </w:p>
        </w:tc>
      </w:tr>
      <w:tr>
        <w:tc>
          <w:tcPr/>
          <w:p>
            <w:pPr>
              <w:pStyle w:val="Compact"/>
              <w:jc w:val="left"/>
            </w:pPr>
            <w:r>
              <w:t xml:space="preserve">Double tenue</w:t>
            </w:r>
          </w:p>
        </w:tc>
        <w:tc>
          <w:tcPr/>
          <w:p>
            <w:pPr>
              <w:pStyle w:val="Compact"/>
              <w:jc w:val="left"/>
            </w:pPr>
            <w:r>
              <w:t xml:space="preserve">Maintien du support antérieur (papier, tableur) pendant la durée du pilote, puis abandon annoncé par note de service du DN</w:t>
            </w:r>
          </w:p>
        </w:tc>
      </w:tr>
      <w:tr>
        <w:tc>
          <w:tcPr/>
          <w:p>
            <w:pPr>
              <w:pStyle w:val="Compact"/>
              <w:jc w:val="left"/>
            </w:pPr>
            <w:r>
              <w:t xml:space="preserve">Officialisation</w:t>
            </w:r>
          </w:p>
        </w:tc>
        <w:tc>
          <w:tcPr/>
          <w:p>
            <w:pPr>
              <w:pStyle w:val="Compact"/>
              <w:jc w:val="left"/>
            </w:pPr>
            <w:r>
              <w:t xml:space="preserve">Une note de service du DN rend l’usage du système obligatoire pour les circuits concernés, à une date donnée : sans cet acte, l’outil reste facultatif et l’adoption échoue</w:t>
            </w:r>
          </w:p>
        </w:tc>
      </w:tr>
      <w:tr>
        <w:tc>
          <w:tcPr/>
          <w:p>
            <w:pPr>
              <w:pStyle w:val="Compact"/>
              <w:jc w:val="left"/>
            </w:pPr>
            <w:r>
              <w:t xml:space="preserve">Référents</w:t>
            </w:r>
          </w:p>
        </w:tc>
        <w:tc>
          <w:tcPr/>
          <w:p>
            <w:pPr>
              <w:pStyle w:val="Compact"/>
              <w:jc w:val="left"/>
            </w:pPr>
            <w:r>
              <w:t xml:space="preserve">Un référent par division, formé avant l’ouverture, premier recours des agents de son unité</w:t>
            </w:r>
          </w:p>
        </w:tc>
      </w:tr>
      <w:tr>
        <w:tc>
          <w:tcPr/>
          <w:p>
            <w:pPr>
              <w:pStyle w:val="Compact"/>
              <w:jc w:val="left"/>
            </w:pPr>
            <w:r>
              <w:t xml:space="preserve">Formation</w:t>
            </w:r>
          </w:p>
        </w:tc>
        <w:tc>
          <w:tcPr/>
          <w:p>
            <w:pPr>
              <w:pStyle w:val="Compact"/>
              <w:jc w:val="left"/>
            </w:pPr>
            <w:r>
              <w:t xml:space="preserve">Par vagues : référents, puis responsables, puis agents ; aide contextuelle disponible dès l’ouverture</w:t>
            </w:r>
          </w:p>
        </w:tc>
      </w:tr>
      <w:tr>
        <w:tc>
          <w:tcPr/>
          <w:p>
            <w:pPr>
              <w:pStyle w:val="Compact"/>
              <w:jc w:val="left"/>
            </w:pPr>
            <w:r>
              <w:t xml:space="preserve">Charte</w:t>
            </w:r>
          </w:p>
        </w:tc>
        <w:tc>
          <w:tcPr/>
          <w:p>
            <w:pPr>
              <w:pStyle w:val="Compact"/>
              <w:jc w:val="left"/>
            </w:pPr>
            <w:r>
              <w:t xml:space="preserve">Charte d’utilisation approuvée par le DN et portée à la connaissance de chaque agent avant l’ouverture (SOC-DCP-02)</w:t>
            </w:r>
          </w:p>
        </w:tc>
      </w:tr>
    </w:tbl>
    <w:bookmarkEnd w:id="125"/>
    <w:bookmarkStart w:id="126" w:name="indicateurs-de-succès-du-produit"/>
    <w:p>
      <w:pPr>
        <w:pStyle w:val="Heading3"/>
      </w:pPr>
      <w:r>
        <w:t xml:space="preserve">19.8 Indicateurs de succès du produit</w:t>
      </w:r>
    </w:p>
    <w:p>
      <w:pPr>
        <w:pStyle w:val="FirstParagraph"/>
      </w:pPr>
      <w:r>
        <w:t xml:space="preserve">Distincts des indicateurs d’activité de la Direction, ces indicateurs</w:t>
      </w:r>
      <w:r>
        <w:t xml:space="preserve"> </w:t>
      </w:r>
      <w:r>
        <w:t xml:space="preserve">mesurent si l’outil a tenu ses promesses. Ils sont suivis par le comité</w:t>
      </w:r>
      <w:r>
        <w:t xml:space="preserve"> </w:t>
      </w:r>
      <w:r>
        <w:t xml:space="preserve">de pilotage, trimestriellement, à partir du système lui-même.</w:t>
      </w:r>
    </w:p>
    <w:tbl>
      <w:tblPr>
        <w:tblStyle w:val="Table"/>
        <w:tblW w:type="dxa" w:w="9354"/>
        <w:tblLayout w:type="fixed"/>
        <w:tblLook w:firstRow="1" w:lastRow="0" w:firstColumn="0" w:lastColumn="0" w:noHBand="0" w:noVBand="0" w:val="0020"/>
        <w:jc w:val="start"/>
      </w:tblPr>
      <w:tblGrid>
        <w:gridCol w:w="5168"/>
        <w:gridCol w:w="4186"/>
      </w:tblGrid>
      <w:tr>
        <w:trPr>
          <w:tblHeader w:val="true"/>
        </w:trPr>
        <w:tc>
          <w:tcPr/>
          <w:p>
            <w:pPr>
              <w:pStyle w:val="Compact"/>
              <w:jc w:val="left"/>
            </w:pPr>
            <w:r>
              <w:t xml:space="preserve">Indicateur</w:t>
            </w:r>
          </w:p>
        </w:tc>
        <w:tc>
          <w:tcPr/>
          <w:p>
            <w:pPr>
              <w:pStyle w:val="Compact"/>
              <w:jc w:val="left"/>
            </w:pPr>
            <w:r>
              <w:t xml:space="preserve">Cible à six mois après la mise en service du lot 1</w:t>
            </w:r>
          </w:p>
        </w:tc>
      </w:tr>
      <w:tr>
        <w:tc>
          <w:tcPr/>
          <w:p>
            <w:pPr>
              <w:pStyle w:val="Compact"/>
              <w:jc w:val="left"/>
            </w:pPr>
            <w:r>
              <w:t xml:space="preserve">Part des agents s’étant connectés au moins une fois par semaine</w:t>
            </w:r>
          </w:p>
        </w:tc>
        <w:tc>
          <w:tcPr/>
          <w:p>
            <w:pPr>
              <w:pStyle w:val="Compact"/>
              <w:jc w:val="left"/>
            </w:pPr>
            <w:r>
              <w:t xml:space="preserve">≥ 80 %</w:t>
            </w:r>
          </w:p>
        </w:tc>
      </w:tr>
      <w:tr>
        <w:tc>
          <w:tcPr/>
          <w:p>
            <w:pPr>
              <w:pStyle w:val="Compact"/>
              <w:jc w:val="left"/>
            </w:pPr>
            <w:r>
              <w:t xml:space="preserve">Part des tâches de la Direction créées dans le système</w:t>
            </w:r>
          </w:p>
        </w:tc>
        <w:tc>
          <w:tcPr/>
          <w:p>
            <w:pPr>
              <w:pStyle w:val="Compact"/>
              <w:jc w:val="left"/>
            </w:pPr>
            <w:r>
              <w:t xml:space="preserve">≥ 70 %</w:t>
            </w:r>
          </w:p>
        </w:tc>
      </w:tr>
      <w:tr>
        <w:tc>
          <w:tcPr/>
          <w:p>
            <w:pPr>
              <w:pStyle w:val="Compact"/>
              <w:jc w:val="left"/>
            </w:pPr>
            <w:r>
              <w:t xml:space="preserve">Part des décisions de réunion converties en actions suivies</w:t>
            </w:r>
          </w:p>
        </w:tc>
        <w:tc>
          <w:tcPr/>
          <w:p>
            <w:pPr>
              <w:pStyle w:val="Compact"/>
              <w:jc w:val="left"/>
            </w:pPr>
            <w:r>
              <w:t xml:space="preserve">≥ 90 %</w:t>
            </w:r>
          </w:p>
        </w:tc>
      </w:tr>
      <w:tr>
        <w:tc>
          <w:tcPr/>
          <w:p>
            <w:pPr>
              <w:pStyle w:val="Compact"/>
              <w:jc w:val="left"/>
            </w:pPr>
            <w:r>
              <w:t xml:space="preserve">Délai moyen entre la demande de congé et la décision</w:t>
            </w:r>
          </w:p>
        </w:tc>
        <w:tc>
          <w:tcPr/>
          <w:p>
            <w:pPr>
              <w:pStyle w:val="Compact"/>
              <w:jc w:val="left"/>
            </w:pPr>
            <w:r>
              <w:t xml:space="preserve">≤ 3 jours ouvrés</w:t>
            </w:r>
          </w:p>
        </w:tc>
      </w:tr>
      <w:tr>
        <w:tc>
          <w:tcPr/>
          <w:p>
            <w:pPr>
              <w:pStyle w:val="Compact"/>
              <w:jc w:val="left"/>
            </w:pPr>
            <w:r>
              <w:t xml:space="preserve">Part des demandes de congé traitées hors du système</w:t>
            </w:r>
          </w:p>
        </w:tc>
        <w:tc>
          <w:tcPr/>
          <w:p>
            <w:pPr>
              <w:pStyle w:val="Compact"/>
              <w:jc w:val="left"/>
            </w:pPr>
            <w:r>
              <w:t xml:space="preserve">≤ 10 %</w:t>
            </w:r>
          </w:p>
        </w:tc>
      </w:tr>
      <w:tr>
        <w:tc>
          <w:tcPr/>
          <w:p>
            <w:pPr>
              <w:pStyle w:val="Compact"/>
              <w:jc w:val="left"/>
            </w:pPr>
            <w:r>
              <w:t xml:space="preserve">Délai de production du rapport d’activité trimestriel</w:t>
            </w:r>
          </w:p>
        </w:tc>
        <w:tc>
          <w:tcPr/>
          <w:p>
            <w:pPr>
              <w:pStyle w:val="Compact"/>
              <w:jc w:val="left"/>
            </w:pPr>
            <w:r>
              <w:t xml:space="preserve">divisé par deux par rapport à la collecte manuelle</w:t>
            </w:r>
          </w:p>
        </w:tc>
      </w:tr>
      <w:tr>
        <w:tc>
          <w:tcPr/>
          <w:p>
            <w:pPr>
              <w:pStyle w:val="Compact"/>
              <w:jc w:val="left"/>
            </w:pPr>
            <w:r>
              <w:t xml:space="preserve">Part des courriers imputés dans le délai fixé</w:t>
            </w:r>
          </w:p>
        </w:tc>
        <w:tc>
          <w:tcPr/>
          <w:p>
            <w:pPr>
              <w:pStyle w:val="Compact"/>
              <w:jc w:val="left"/>
            </w:pPr>
            <w:r>
              <w:t xml:space="preserve">≥ 85 %</w:t>
            </w:r>
          </w:p>
        </w:tc>
      </w:tr>
    </w:tbl>
    <w:bookmarkEnd w:id="126"/>
    <w:bookmarkStart w:id="127" w:name="formation-documentation-et-transfert"/>
    <w:p>
      <w:pPr>
        <w:pStyle w:val="Heading3"/>
      </w:pPr>
      <w:r>
        <w:t xml:space="preserve">19.9 Formation, documentation et transfert</w:t>
      </w:r>
    </w:p>
    <w:p>
      <w:pPr>
        <w:numPr>
          <w:ilvl w:val="0"/>
          <w:numId w:val="1023"/>
        </w:numPr>
        <w:pStyle w:val="Compact"/>
      </w:pPr>
      <w:r>
        <w:t xml:space="preserve">Manuel utilisateur intégré à l’interface, sous forme d’aide</w:t>
      </w:r>
      <w:r>
        <w:t xml:space="preserve"> </w:t>
      </w:r>
      <w:r>
        <w:t xml:space="preserve">contextuelle.</w:t>
      </w:r>
    </w:p>
    <w:p>
      <w:pPr>
        <w:numPr>
          <w:ilvl w:val="0"/>
          <w:numId w:val="1023"/>
        </w:numPr>
        <w:pStyle w:val="Compact"/>
      </w:pPr>
      <w:r>
        <w:t xml:space="preserve">Vidéo explicative à destination des agents, réalisée une fois</w:t>
      </w:r>
      <w:r>
        <w:t xml:space="preserve"> </w:t>
      </w:r>
      <w:r>
        <w:t xml:space="preserve">l’interface stabilisée.</w:t>
      </w:r>
    </w:p>
    <w:p>
      <w:pPr>
        <w:numPr>
          <w:ilvl w:val="0"/>
          <w:numId w:val="1023"/>
        </w:numPr>
        <w:pStyle w:val="Compact"/>
      </w:pPr>
      <w:r>
        <w:rPr>
          <w:bCs/>
          <w:b/>
        </w:rPr>
        <w:t xml:space="preserve">Transfert de compétences à la CSID</w:t>
      </w:r>
      <w:r>
        <w:t xml:space="preserve"> </w:t>
      </w:r>
      <w:r>
        <w:t xml:space="preserve">: session d’au moins cinq</w:t>
      </w:r>
      <w:r>
        <w:t xml:space="preserve"> </w:t>
      </w:r>
      <w:r>
        <w:t xml:space="preserve">jours portant sur l’architecture, le code, le déploiement et</w:t>
      </w:r>
      <w:r>
        <w:t xml:space="preserve"> </w:t>
      </w:r>
      <w:r>
        <w:t xml:space="preserve">l’exploitation, accompagnée d’une documentation technique, avec au</w:t>
      </w:r>
      <w:r>
        <w:t xml:space="preserve"> </w:t>
      </w:r>
      <w:r>
        <w:t xml:space="preserve">moins deux agents CSID formés afin d’éviter la dépendance à une</w:t>
      </w:r>
      <w:r>
        <w:t xml:space="preserve"> </w:t>
      </w:r>
      <w:r>
        <w:t xml:space="preserve">personne unique. Le transfert est un livrable de la réception</w:t>
      </w:r>
      <w:r>
        <w:t xml:space="preserve"> </w:t>
      </w:r>
      <w:r>
        <w:t xml:space="preserve">définitive, non une intention.</w:t>
      </w:r>
    </w:p>
    <w:p>
      <w:pPr>
        <w:numPr>
          <w:ilvl w:val="0"/>
          <w:numId w:val="1023"/>
        </w:numPr>
        <w:pStyle w:val="Compact"/>
      </w:pPr>
      <w:r>
        <w:t xml:space="preserve">Formation des référents de division avant chaque mise en service de</w:t>
      </w:r>
      <w:r>
        <w:t xml:space="preserve"> </w:t>
      </w:r>
      <w:r>
        <w:t xml:space="preserve">lot.</w:t>
      </w:r>
    </w:p>
    <w:bookmarkEnd w:id="127"/>
    <w:bookmarkStart w:id="128" w:name="X1144b4acbb24ee3e72daf6642e59979104100bc"/>
    <w:p>
      <w:pPr>
        <w:pStyle w:val="Heading3"/>
      </w:pPr>
      <w:r>
        <w:t xml:space="preserve">19.10 Exploitation courante après la mise en service</w:t>
      </w:r>
    </w:p>
    <w:p>
      <w:pPr>
        <w:pStyle w:val="FirstParagraph"/>
      </w:pPr>
      <w:r>
        <w:t xml:space="preserve">Ce volet, souvent omis, est la cause habituelle de l’abandon d’un outil</w:t>
      </w:r>
      <w:r>
        <w:t xml:space="preserve"> </w:t>
      </w:r>
      <w:r>
        <w:t xml:space="preserve">interne dans les mois qui suivent sa livraison. Il est arrêté avant la</w:t>
      </w:r>
      <w:r>
        <w:t xml:space="preserve"> </w:t>
      </w:r>
      <w:r>
        <w:t xml:space="preserve">mise en service du lot 1.</w:t>
      </w:r>
    </w:p>
    <w:tbl>
      <w:tblPr>
        <w:tblStyle w:val="Table"/>
        <w:tblW w:type="dxa" w:w="9354"/>
        <w:tblLayout w:type="fixed"/>
        <w:tblLook w:firstRow="1" w:lastRow="0" w:firstColumn="0" w:lastColumn="0" w:noHBand="0" w:noVBand="0" w:val="0020"/>
        <w:jc w:val="start"/>
      </w:tblPr>
      <w:tblGrid>
        <w:gridCol w:w="4048"/>
        <w:gridCol w:w="5306"/>
      </w:tblGrid>
      <w:tr>
        <w:trPr>
          <w:tblHeader w:val="true"/>
        </w:trPr>
        <w:tc>
          <w:tcPr/>
          <w:p>
            <w:pPr>
              <w:pStyle w:val="Compact"/>
              <w:jc w:val="left"/>
            </w:pPr>
            <w:r>
              <w:t xml:space="preserve">Question</w:t>
            </w:r>
          </w:p>
        </w:tc>
        <w:tc>
          <w:tcPr/>
          <w:p>
            <w:pPr>
              <w:pStyle w:val="Compact"/>
              <w:jc w:val="left"/>
            </w:pPr>
            <w:r>
              <w:t xml:space="preserve">Réponse attendue</w:t>
            </w:r>
          </w:p>
        </w:tc>
      </w:tr>
      <w:tr>
        <w:tc>
          <w:tcPr/>
          <w:p>
            <w:pPr>
              <w:pStyle w:val="Compact"/>
              <w:jc w:val="left"/>
            </w:pPr>
            <w:r>
              <w:t xml:space="preserve">Qui crée et désactive les comptes au quotidien ?</w:t>
            </w:r>
          </w:p>
        </w:tc>
        <w:tc>
          <w:tcPr/>
          <w:p>
            <w:pPr>
              <w:pStyle w:val="Compact"/>
              <w:jc w:val="left"/>
            </w:pPr>
            <w:r>
              <w:t xml:space="preserve">CSID, sur demande des RH, sous 48 heures ouvrées</w:t>
            </w:r>
          </w:p>
        </w:tc>
      </w:tr>
      <w:tr>
        <w:tc>
          <w:tcPr/>
          <w:p>
            <w:pPr>
              <w:pStyle w:val="Compact"/>
              <w:jc w:val="left"/>
            </w:pPr>
            <w:r>
              <w:t xml:space="preserve">Qui répond aux utilisateurs et sous quel délai ?</w:t>
            </w:r>
          </w:p>
        </w:tc>
        <w:tc>
          <w:tcPr/>
          <w:p>
            <w:pPr>
              <w:pStyle w:val="Compact"/>
              <w:jc w:val="left"/>
            </w:pPr>
            <w:r>
              <w:t xml:space="preserve">CSID, avec un canal de signalement unique dans l’application ; réponse sous 2 jours ouvrés, prise en charge immédiate pour un blocage</w:t>
            </w:r>
          </w:p>
        </w:tc>
      </w:tr>
      <w:tr>
        <w:tc>
          <w:tcPr/>
          <w:p>
            <w:pPr>
              <w:pStyle w:val="Compact"/>
              <w:jc w:val="left"/>
            </w:pPr>
            <w:r>
              <w:t xml:space="preserve">Comment un incident est-il signalé et suivi ?</w:t>
            </w:r>
          </w:p>
        </w:tc>
        <w:tc>
          <w:tcPr/>
          <w:p>
            <w:pPr>
              <w:pStyle w:val="Compact"/>
              <w:jc w:val="left"/>
            </w:pPr>
            <w:r>
              <w:t xml:space="preserve">Formulaire intégré créant un ticket horodaté, avec niveaux : bloquant, gênant, mineur</w:t>
            </w:r>
          </w:p>
        </w:tc>
      </w:tr>
      <w:tr>
        <w:tc>
          <w:tcPr/>
          <w:p>
            <w:pPr>
              <w:pStyle w:val="Compact"/>
              <w:jc w:val="left"/>
            </w:pPr>
            <w:r>
              <w:t xml:space="preserve">Quelles fenêtres de maintenance ?</w:t>
            </w:r>
          </w:p>
        </w:tc>
        <w:tc>
          <w:tcPr/>
          <w:p>
            <w:pPr>
              <w:pStyle w:val="Compact"/>
              <w:jc w:val="left"/>
            </w:pPr>
            <w:r>
              <w:t xml:space="preserve">Hors heures ouvrées, annoncées 48 heures à l’avance par annonce dans le système</w:t>
            </w:r>
          </w:p>
        </w:tc>
      </w:tr>
      <w:tr>
        <w:tc>
          <w:tcPr/>
          <w:p>
            <w:pPr>
              <w:pStyle w:val="Compact"/>
              <w:jc w:val="left"/>
            </w:pPr>
            <w:r>
              <w:t xml:space="preserve">Qui maintient le paramétrage métier ?</w:t>
            </w:r>
          </w:p>
        </w:tc>
        <w:tc>
          <w:tcPr/>
          <w:p>
            <w:pPr>
              <w:pStyle w:val="Compact"/>
              <w:jc w:val="left"/>
            </w:pPr>
            <w:r>
              <w:t xml:space="preserve">RH pour les types d’absence et le calendrier, SAF pour la paie, secrétariat de direction pour les gabarits, CSID pour le reste</w:t>
            </w:r>
          </w:p>
        </w:tc>
      </w:tr>
      <w:tr>
        <w:tc>
          <w:tcPr/>
          <w:p>
            <w:pPr>
              <w:pStyle w:val="Compact"/>
              <w:jc w:val="left"/>
            </w:pPr>
            <w:r>
              <w:t xml:space="preserve">Qui vérifie les sauvegardes ?</w:t>
            </w:r>
          </w:p>
        </w:tc>
        <w:tc>
          <w:tcPr/>
          <w:p>
            <w:pPr>
              <w:pStyle w:val="Compact"/>
              <w:jc w:val="left"/>
            </w:pPr>
            <w:r>
              <w:t xml:space="preserve">CSID, contrôle mensuel consigné, test de restauration semestriel (SOC-DSP-04)</w:t>
            </w:r>
          </w:p>
        </w:tc>
      </w:tr>
    </w:tbl>
    <w:bookmarkEnd w:id="128"/>
    <w:bookmarkEnd w:id="129"/>
    <w:bookmarkStart w:id="133" w:name="glossaire"/>
    <w:p>
      <w:pPr>
        <w:pStyle w:val="Heading2"/>
      </w:pPr>
      <w:r>
        <w:t xml:space="preserve">20. Glossaire</w:t>
      </w:r>
    </w:p>
    <w:bookmarkStart w:id="130" w:name="organisation-de-la-dnpec"/>
    <w:p>
      <w:pPr>
        <w:pStyle w:val="Heading3"/>
      </w:pPr>
      <w:r>
        <w:t xml:space="preserve">20.1 Organisation de la DNPEC</w:t>
      </w:r>
    </w:p>
    <w:tbl>
      <w:tblPr>
        <w:tblStyle w:val="Table"/>
        <w:tblW w:type="dxa" w:w="9354"/>
        <w:tblLayout w:type="fixed"/>
        <w:tblLook w:firstRow="1" w:lastRow="0" w:firstColumn="0" w:lastColumn="0" w:noHBand="0" w:noVBand="0" w:val="0020"/>
        <w:jc w:val="start"/>
      </w:tblPr>
      <w:tblGrid>
        <w:gridCol w:w="3429"/>
        <w:gridCol w:w="5925"/>
      </w:tblGrid>
      <w:tr>
        <w:trPr>
          <w:tblHeader w:val="true"/>
        </w:trPr>
        <w:tc>
          <w:tcPr/>
          <w:p>
            <w:pPr>
              <w:pStyle w:val="Compact"/>
              <w:jc w:val="left"/>
            </w:pPr>
            <w:r>
              <w:t xml:space="preserve">Sigle</w:t>
            </w:r>
          </w:p>
        </w:tc>
        <w:tc>
          <w:tcPr/>
          <w:p>
            <w:pPr>
              <w:pStyle w:val="Compact"/>
              <w:jc w:val="left"/>
            </w:pPr>
            <w:r>
              <w:t xml:space="preserve">Signification</w:t>
            </w:r>
          </w:p>
        </w:tc>
      </w:tr>
      <w:tr>
        <w:tc>
          <w:tcPr/>
          <w:p>
            <w:pPr>
              <w:pStyle w:val="Compact"/>
              <w:jc w:val="left"/>
            </w:pPr>
            <w:r>
              <w:t xml:space="preserve">DN, DNA</w:t>
            </w:r>
          </w:p>
        </w:tc>
        <w:tc>
          <w:tcPr/>
          <w:p>
            <w:pPr>
              <w:pStyle w:val="Compact"/>
              <w:jc w:val="left"/>
            </w:pPr>
            <w:r>
              <w:t xml:space="preserve">Directeur National, Directeur National Adjoint</w:t>
            </w:r>
          </w:p>
        </w:tc>
      </w:tr>
      <w:tr>
        <w:tc>
          <w:tcPr/>
          <w:p>
            <w:pPr>
              <w:pStyle w:val="Compact"/>
              <w:jc w:val="left"/>
            </w:pPr>
            <w:r>
              <w:t xml:space="preserve">DPE</w:t>
            </w:r>
          </w:p>
        </w:tc>
        <w:tc>
          <w:tcPr/>
          <w:p>
            <w:pPr>
              <w:pStyle w:val="Compact"/>
              <w:jc w:val="left"/>
            </w:pPr>
            <w:r>
              <w:t xml:space="preserve">Division des Prévisions Économiques — sections SSR (secteur réel), SFP (finances publiques), SSME (secteurs monétaire et extérieur), SGOP (gestion des outils de prévision)</w:t>
            </w:r>
          </w:p>
        </w:tc>
      </w:tr>
      <w:tr>
        <w:tc>
          <w:tcPr/>
          <w:p>
            <w:pPr>
              <w:pStyle w:val="Compact"/>
              <w:jc w:val="left"/>
            </w:pPr>
            <w:r>
              <w:t xml:space="preserve">DEE</w:t>
            </w:r>
          </w:p>
        </w:tc>
        <w:tc>
          <w:tcPr/>
          <w:p>
            <w:pPr>
              <w:pStyle w:val="Compact"/>
              <w:jc w:val="left"/>
            </w:pPr>
            <w:r>
              <w:t xml:space="preserve">Division Études Économiques — sections SE (études), SDP (documentation et publications), SME (modélisation économique)</w:t>
            </w:r>
          </w:p>
        </w:tc>
      </w:tr>
      <w:tr>
        <w:tc>
          <w:tcPr/>
          <w:p>
            <w:pPr>
              <w:pStyle w:val="Compact"/>
              <w:jc w:val="left"/>
            </w:pPr>
            <w:r>
              <w:t xml:space="preserve">DSPS</w:t>
            </w:r>
          </w:p>
        </w:tc>
        <w:tc>
          <w:tcPr/>
          <w:p>
            <w:pPr>
              <w:pStyle w:val="Compact"/>
              <w:jc w:val="left"/>
            </w:pPr>
            <w:r>
              <w:t xml:space="preserve">Division Suivi de Politiques Économiques — sections SSSP, SSSS, SSST, SSSQ (secteurs primaire, secondaire, tertiaire, quaternaire)</w:t>
            </w:r>
          </w:p>
        </w:tc>
      </w:tr>
      <w:tr>
        <w:tc>
          <w:tcPr/>
          <w:p>
            <w:pPr>
              <w:pStyle w:val="Compact"/>
              <w:jc w:val="left"/>
            </w:pPr>
            <w:r>
              <w:t xml:space="preserve">DAC</w:t>
            </w:r>
          </w:p>
        </w:tc>
        <w:tc>
          <w:tcPr/>
          <w:p>
            <w:pPr>
              <w:pStyle w:val="Compact"/>
              <w:jc w:val="left"/>
            </w:pPr>
            <w:r>
              <w:t xml:space="preserve">Division Analyses Conjoncturelles — sections SCI (conjoncture internationale), SCN (conjoncture nationale), SEC (enquête conjoncturelle), SGBD (base de données)</w:t>
            </w:r>
          </w:p>
        </w:tc>
      </w:tr>
      <w:tr>
        <w:tc>
          <w:tcPr/>
          <w:p>
            <w:pPr>
              <w:pStyle w:val="Compact"/>
              <w:jc w:val="left"/>
            </w:pPr>
            <w:r>
              <w:t xml:space="preserve">DIPE</w:t>
            </w:r>
          </w:p>
        </w:tc>
        <w:tc>
          <w:tcPr/>
          <w:p>
            <w:pPr>
              <w:pStyle w:val="Compact"/>
              <w:jc w:val="left"/>
            </w:pPr>
            <w:r>
              <w:t xml:space="preserve">Division Intégration et Partenariats Économiques — sections SIRC, SPEN, SAEVS</w:t>
            </w:r>
          </w:p>
        </w:tc>
      </w:tr>
      <w:tr>
        <w:tc>
          <w:tcPr/>
          <w:p>
            <w:pPr>
              <w:pStyle w:val="Compact"/>
              <w:jc w:val="left"/>
            </w:pPr>
            <w:r>
              <w:t xml:space="preserve">CTSCM</w:t>
            </w:r>
          </w:p>
        </w:tc>
        <w:tc>
          <w:tcPr/>
          <w:p>
            <w:pPr>
              <w:pStyle w:val="Compact"/>
              <w:jc w:val="left"/>
            </w:pPr>
            <w:r>
              <w:t xml:space="preserve">Cellule Technique de Suivi de la Conjoncture Macroéconomique</w:t>
            </w:r>
          </w:p>
        </w:tc>
      </w:tr>
      <w:tr>
        <w:tc>
          <w:tcPr/>
          <w:p>
            <w:pPr>
              <w:pStyle w:val="Compact"/>
              <w:jc w:val="left"/>
            </w:pPr>
            <w:r>
              <w:t xml:space="preserve">CNC</w:t>
            </w:r>
          </w:p>
        </w:tc>
        <w:tc>
          <w:tcPr/>
          <w:p>
            <w:pPr>
              <w:pStyle w:val="Compact"/>
              <w:jc w:val="left"/>
            </w:pPr>
            <w:r>
              <w:t xml:space="preserve">Comité National de Coordination des Politiques Macroéconomiques et Monétaires</w:t>
            </w:r>
          </w:p>
        </w:tc>
      </w:tr>
      <w:tr>
        <w:tc>
          <w:tcPr/>
          <w:p>
            <w:pPr>
              <w:pStyle w:val="Compact"/>
              <w:jc w:val="left"/>
            </w:pPr>
            <w:r>
              <w:t xml:space="preserve">SAF, RH, CSID</w:t>
            </w:r>
          </w:p>
        </w:tc>
        <w:tc>
          <w:tcPr/>
          <w:p>
            <w:pPr>
              <w:pStyle w:val="Compact"/>
              <w:jc w:val="left"/>
            </w:pPr>
            <w:r>
              <w:t xml:space="preserve">Service Administratif et Financier ; Ressources Humaines ; Cellule des Systèmes d’Informations et de la Digitalisation</w:t>
            </w:r>
          </w:p>
        </w:tc>
      </w:tr>
      <w:tr>
        <w:tc>
          <w:tcPr/>
          <w:p>
            <w:pPr>
              <w:pStyle w:val="Compact"/>
              <w:jc w:val="left"/>
            </w:pPr>
            <w:r>
              <w:t xml:space="preserve">C.E.</w:t>
            </w:r>
          </w:p>
        </w:tc>
        <w:tc>
          <w:tcPr/>
          <w:p>
            <w:pPr>
              <w:pStyle w:val="Compact"/>
              <w:jc w:val="left"/>
            </w:pPr>
            <w:r>
              <w:t xml:space="preserve">Chargé d’Études</w:t>
            </w:r>
          </w:p>
        </w:tc>
      </w:tr>
      <w:tr>
        <w:tc>
          <w:tcPr/>
          <w:p>
            <w:pPr>
              <w:pStyle w:val="Compact"/>
              <w:jc w:val="left"/>
            </w:pPr>
            <w:r>
              <w:t xml:space="preserve">PICE</w:t>
            </w:r>
          </w:p>
        </w:tc>
        <w:tc>
          <w:tcPr/>
          <w:p>
            <w:pPr>
              <w:pStyle w:val="Compact"/>
              <w:jc w:val="left"/>
            </w:pPr>
            <w:r>
              <w:t xml:space="preserve">Plateforme Intégrée de suivi de la Conjoncture Économique — système distinct</w:t>
            </w:r>
          </w:p>
        </w:tc>
      </w:tr>
    </w:tbl>
    <w:bookmarkEnd w:id="130"/>
    <w:bookmarkStart w:id="131" w:name="termes-du-produit"/>
    <w:p>
      <w:pPr>
        <w:pStyle w:val="Heading3"/>
      </w:pPr>
      <w:r>
        <w:t xml:space="preserve">20.2 Termes du produit</w:t>
      </w:r>
    </w:p>
    <w:tbl>
      <w:tblPr>
        <w:tblStyle w:val="Table"/>
        <w:tblW w:type="dxa" w:w="9354"/>
        <w:tblLayout w:type="fixed"/>
        <w:tblLook w:firstRow="1" w:lastRow="0" w:firstColumn="0" w:lastColumn="0" w:noHBand="0" w:noVBand="0" w:val="0020"/>
        <w:jc w:val="start"/>
      </w:tblPr>
      <w:tblGrid>
        <w:gridCol w:w="3752"/>
        <w:gridCol w:w="5602"/>
      </w:tblGrid>
      <w:tr>
        <w:trPr>
          <w:tblHeader w:val="true"/>
        </w:trPr>
        <w:tc>
          <w:tcPr/>
          <w:p>
            <w:pPr>
              <w:pStyle w:val="Compact"/>
              <w:jc w:val="left"/>
            </w:pPr>
            <w:r>
              <w:t xml:space="preserve">Terme</w:t>
            </w:r>
          </w:p>
        </w:tc>
        <w:tc>
          <w:tcPr/>
          <w:p>
            <w:pPr>
              <w:pStyle w:val="Compact"/>
              <w:jc w:val="left"/>
            </w:pPr>
            <w:r>
              <w:t xml:space="preserve">Définition</w:t>
            </w:r>
          </w:p>
        </w:tc>
      </w:tr>
      <w:tr>
        <w:tc>
          <w:tcPr/>
          <w:p>
            <w:pPr>
              <w:pStyle w:val="Compact"/>
              <w:jc w:val="left"/>
            </w:pPr>
            <w:r>
              <w:t xml:space="preserve">Activité</w:t>
            </w:r>
          </w:p>
        </w:tc>
        <w:tc>
          <w:tcPr/>
          <w:p>
            <w:pPr>
              <w:pStyle w:val="Compact"/>
              <w:jc w:val="left"/>
            </w:pPr>
            <w:r>
              <w:t xml:space="preserve">Élément du plan de travail annuel, décliné en tâches</w:t>
            </w:r>
          </w:p>
        </w:tc>
      </w:tr>
      <w:tr>
        <w:tc>
          <w:tcPr/>
          <w:p>
            <w:pPr>
              <w:pStyle w:val="Compact"/>
              <w:jc w:val="left"/>
            </w:pPr>
            <w:r>
              <w:t xml:space="preserve">Action</w:t>
            </w:r>
          </w:p>
        </w:tc>
        <w:tc>
          <w:tcPr/>
          <w:p>
            <w:pPr>
              <w:pStyle w:val="Compact"/>
              <w:jc w:val="left"/>
            </w:pPr>
            <w:r>
              <w:t xml:space="preserve">Tâche issue d’une décision de réunion, conservant le lien vers celle-ci</w:t>
            </w:r>
          </w:p>
        </w:tc>
      </w:tr>
      <w:tr>
        <w:tc>
          <w:tcPr/>
          <w:p>
            <w:pPr>
              <w:pStyle w:val="Compact"/>
              <w:jc w:val="left"/>
            </w:pPr>
            <w:r>
              <w:t xml:space="preserve">Instruction</w:t>
            </w:r>
          </w:p>
        </w:tc>
        <w:tc>
          <w:tcPr/>
          <w:p>
            <w:pPr>
              <w:pStyle w:val="Compact"/>
              <w:jc w:val="left"/>
            </w:pPr>
            <w:r>
              <w:t xml:space="preserve">Objet tracé portant une décision individuelle de la Direction à effet administratif ou financier</w:t>
            </w:r>
          </w:p>
        </w:tc>
      </w:tr>
      <w:tr>
        <w:tc>
          <w:tcPr/>
          <w:p>
            <w:pPr>
              <w:pStyle w:val="Compact"/>
              <w:jc w:val="left"/>
            </w:pPr>
            <w:r>
              <w:t xml:space="preserve">Campagne de paie</w:t>
            </w:r>
          </w:p>
        </w:tc>
        <w:tc>
          <w:tcPr/>
          <w:p>
            <w:pPr>
              <w:pStyle w:val="Compact"/>
              <w:jc w:val="left"/>
            </w:pPr>
            <w:r>
              <w:t xml:space="preserve">Traitement mensuel groupé produisant les bulletins d’un ensemble d’agents</w:t>
            </w:r>
          </w:p>
        </w:tc>
      </w:tr>
      <w:tr>
        <w:tc>
          <w:tcPr/>
          <w:p>
            <w:pPr>
              <w:pStyle w:val="Compact"/>
              <w:jc w:val="left"/>
            </w:pPr>
            <w:r>
              <w:t xml:space="preserve">Objet protégé</w:t>
            </w:r>
          </w:p>
        </w:tc>
        <w:tc>
          <w:tcPr/>
          <w:p>
            <w:pPr>
              <w:pStyle w:val="Compact"/>
              <w:jc w:val="left"/>
            </w:pPr>
            <w:r>
              <w:t xml:space="preserve">Objet échappant à la visibilité hiérarchique, régi par le besoin d’en connaître (section 3.2)</w:t>
            </w:r>
          </w:p>
        </w:tc>
      </w:tr>
      <w:tr>
        <w:tc>
          <w:tcPr/>
          <w:p>
            <w:pPr>
              <w:pStyle w:val="Compact"/>
              <w:jc w:val="left"/>
            </w:pPr>
            <w:r>
              <w:t xml:space="preserve">Périmètre</w:t>
            </w:r>
          </w:p>
        </w:tc>
        <w:tc>
          <w:tcPr/>
          <w:p>
            <w:pPr>
              <w:pStyle w:val="Compact"/>
              <w:jc w:val="left"/>
            </w:pPr>
            <w:r>
              <w:t xml:space="preserve">Axe 1 de l’habilitation : ce qu’un agent voit, déduit de sa position dans le référentiel</w:t>
            </w:r>
          </w:p>
        </w:tc>
      </w:tr>
      <w:tr>
        <w:tc>
          <w:tcPr/>
          <w:p>
            <w:pPr>
              <w:pStyle w:val="Compact"/>
              <w:jc w:val="left"/>
            </w:pPr>
            <w:r>
              <w:t xml:space="preserve">Rôle fonctionnel</w:t>
            </w:r>
          </w:p>
        </w:tc>
        <w:tc>
          <w:tcPr/>
          <w:p>
            <w:pPr>
              <w:pStyle w:val="Compact"/>
              <w:jc w:val="left"/>
            </w:pPr>
            <w:r>
              <w:t xml:space="preserve">Axe 2 de l’habilitation : ce qu’un agent peut faire, attribué explicitement</w:t>
            </w:r>
          </w:p>
        </w:tc>
      </w:tr>
      <w:tr>
        <w:tc>
          <w:tcPr/>
          <w:p>
            <w:pPr>
              <w:pStyle w:val="Compact"/>
              <w:jc w:val="left"/>
            </w:pPr>
            <w:r>
              <w:t xml:space="preserve">Compte externe</w:t>
            </w:r>
          </w:p>
        </w:tc>
        <w:tc>
          <w:tcPr/>
          <w:p>
            <w:pPr>
              <w:pStyle w:val="Compact"/>
              <w:jc w:val="left"/>
            </w:pPr>
            <w:r>
              <w:t xml:space="preserve">Compte rattaché à une organisation invitée, sans périmètre interne, limité aux objets diffusables</w:t>
            </w:r>
          </w:p>
        </w:tc>
      </w:tr>
      <w:tr>
        <w:tc>
          <w:tcPr/>
          <w:p>
            <w:pPr>
              <w:pStyle w:val="Compact"/>
              <w:jc w:val="left"/>
            </w:pPr>
            <w:r>
              <w:t xml:space="preserve">Statut de diffusion</w:t>
            </w:r>
          </w:p>
        </w:tc>
        <w:tc>
          <w:tcPr/>
          <w:p>
            <w:pPr>
              <w:pStyle w:val="Compact"/>
              <w:jc w:val="left"/>
            </w:pPr>
            <w:r>
              <w:t xml:space="preserve">Exploratoire ou brouillon, validé, diffusable (section 7.1)</w:t>
            </w:r>
          </w:p>
        </w:tc>
      </w:tr>
      <w:tr>
        <w:tc>
          <w:tcPr/>
          <w:p>
            <w:pPr>
              <w:pStyle w:val="Compact"/>
              <w:jc w:val="left"/>
            </w:pPr>
            <w:r>
              <w:t xml:space="preserve">Visa</w:t>
            </w:r>
          </w:p>
        </w:tc>
        <w:tc>
          <w:tcPr/>
          <w:p>
            <w:pPr>
              <w:pStyle w:val="Compact"/>
              <w:jc w:val="left"/>
            </w:pPr>
            <w:r>
              <w:t xml:space="preserve">Trace horodatée et nominative rendant un acte opposable (section 7.3)</w:t>
            </w:r>
          </w:p>
        </w:tc>
      </w:tr>
      <w:tr>
        <w:tc>
          <w:tcPr/>
          <w:p>
            <w:pPr>
              <w:pStyle w:val="Compact"/>
              <w:jc w:val="left"/>
            </w:pPr>
            <w:r>
              <w:t xml:space="preserve">Fiche de simulation</w:t>
            </w:r>
          </w:p>
        </w:tc>
        <w:tc>
          <w:tcPr/>
          <w:p>
            <w:pPr>
              <w:pStyle w:val="Compact"/>
              <w:jc w:val="left"/>
            </w:pPr>
            <w:r>
              <w:t xml:space="preserve">Enregistrement complet d’une exécution : modèle, version, base, chocs, contrôles, résultats, statut</w:t>
            </w:r>
          </w:p>
        </w:tc>
      </w:tr>
      <w:tr>
        <w:tc>
          <w:tcPr/>
          <w:p>
            <w:pPr>
              <w:pStyle w:val="Compact"/>
              <w:jc w:val="left"/>
            </w:pPr>
            <w:r>
              <w:t xml:space="preserve">Référentiel des modèles</w:t>
            </w:r>
          </w:p>
        </w:tc>
        <w:tc>
          <w:tcPr/>
          <w:p>
            <w:pPr>
              <w:pStyle w:val="Compact"/>
              <w:jc w:val="left"/>
            </w:pPr>
            <w:r>
              <w:t xml:space="preserve">Objet désignant, pour chaque modèle, la version active faisant foi et sa base</w:t>
            </w:r>
          </w:p>
        </w:tc>
      </w:tr>
      <w:tr>
        <w:tc>
          <w:tcPr/>
          <w:p>
            <w:pPr>
              <w:pStyle w:val="Compact"/>
              <w:jc w:val="left"/>
            </w:pPr>
            <w:r>
              <w:t xml:space="preserve">Version active</w:t>
            </w:r>
          </w:p>
        </w:tc>
        <w:tc>
          <w:tcPr/>
          <w:p>
            <w:pPr>
              <w:pStyle w:val="Compact"/>
              <w:jc w:val="left"/>
            </w:pPr>
            <w:r>
              <w:t xml:space="preserve">Version d’un modèle seule autorisée à produire des résultats nouveaux</w:t>
            </w:r>
          </w:p>
        </w:tc>
      </w:tr>
      <w:tr>
        <w:tc>
          <w:tcPr/>
          <w:p>
            <w:pPr>
              <w:pStyle w:val="Compact"/>
              <w:jc w:val="left"/>
            </w:pPr>
            <w:r>
              <w:t xml:space="preserve">Contrat d’exécution</w:t>
            </w:r>
          </w:p>
        </w:tc>
        <w:tc>
          <w:tcPr/>
          <w:p>
            <w:pPr>
              <w:pStyle w:val="Compact"/>
              <w:jc w:val="left"/>
            </w:pPr>
            <w:r>
              <w:t xml:space="preserve">Interface unique par laquelle tout modèle est piloté, quel que soit son moteur</w:t>
            </w:r>
          </w:p>
        </w:tc>
      </w:tr>
    </w:tbl>
    <w:bookmarkEnd w:id="131"/>
    <w:bookmarkStart w:id="132" w:name="termes-de-modélisation"/>
    <w:p>
      <w:pPr>
        <w:pStyle w:val="Heading3"/>
      </w:pPr>
      <w:r>
        <w:t xml:space="preserve">20.3 Termes de modélisation</w:t>
      </w:r>
    </w:p>
    <w:tbl>
      <w:tblPr>
        <w:tblStyle w:val="Table"/>
        <w:tblW w:type="dxa" w:w="9354"/>
        <w:tblLayout w:type="fixed"/>
        <w:tblLook w:firstRow="1" w:lastRow="0" w:firstColumn="0" w:lastColumn="0" w:noHBand="0" w:noVBand="0" w:val="0020"/>
        <w:jc w:val="start"/>
      </w:tblPr>
      <w:tblGrid>
        <w:gridCol w:w="4093"/>
        <w:gridCol w:w="5261"/>
      </w:tblGrid>
      <w:tr>
        <w:trPr>
          <w:tblHeader w:val="true"/>
        </w:trPr>
        <w:tc>
          <w:tcPr/>
          <w:p>
            <w:pPr>
              <w:pStyle w:val="Compact"/>
              <w:jc w:val="left"/>
            </w:pPr>
            <w:r>
              <w:t xml:space="preserve">Terme</w:t>
            </w:r>
          </w:p>
        </w:tc>
        <w:tc>
          <w:tcPr/>
          <w:p>
            <w:pPr>
              <w:pStyle w:val="Compact"/>
              <w:jc w:val="left"/>
            </w:pPr>
            <w:r>
              <w:t xml:space="preserve">Définition</w:t>
            </w:r>
          </w:p>
        </w:tc>
      </w:tr>
      <w:tr>
        <w:tc>
          <w:tcPr/>
          <w:p>
            <w:pPr>
              <w:pStyle w:val="Compact"/>
              <w:jc w:val="left"/>
            </w:pPr>
            <w:r>
              <w:t xml:space="preserve">AVD</w:t>
            </w:r>
          </w:p>
        </w:tc>
        <w:tc>
          <w:tcPr/>
          <w:p>
            <w:pPr>
              <w:pStyle w:val="Compact"/>
              <w:jc w:val="left"/>
            </w:pPr>
            <w:r>
              <w:t xml:space="preserve">Analyse de viabilité de la dette</w:t>
            </w:r>
          </w:p>
        </w:tc>
      </w:tr>
      <w:tr>
        <w:tc>
          <w:tcPr/>
          <w:p>
            <w:pPr>
              <w:pStyle w:val="Compact"/>
              <w:jc w:val="left"/>
            </w:pPr>
            <w:r>
              <w:t xml:space="preserve">CDMT</w:t>
            </w:r>
          </w:p>
        </w:tc>
        <w:tc>
          <w:tcPr/>
          <w:p>
            <w:pPr>
              <w:pStyle w:val="Compact"/>
              <w:jc w:val="left"/>
            </w:pPr>
            <w:r>
              <w:t xml:space="preserve">Cadre de dépenses à moyen terme</w:t>
            </w:r>
          </w:p>
        </w:tc>
      </w:tr>
      <w:tr>
        <w:tc>
          <w:tcPr/>
          <w:p>
            <w:pPr>
              <w:pStyle w:val="Compact"/>
              <w:jc w:val="left"/>
            </w:pPr>
            <w:r>
              <w:t xml:space="preserve">CNS</w:t>
            </w:r>
          </w:p>
        </w:tc>
        <w:tc>
          <w:tcPr/>
          <w:p>
            <w:pPr>
              <w:pStyle w:val="Compact"/>
              <w:jc w:val="left"/>
            </w:pPr>
            <w:r>
              <w:t xml:space="preserve">Système d’équations non linéaires carré, mode de résolution GAMS</w:t>
            </w:r>
          </w:p>
        </w:tc>
      </w:tr>
      <w:tr>
        <w:tc>
          <w:tcPr/>
          <w:p>
            <w:pPr>
              <w:pStyle w:val="Compact"/>
              <w:jc w:val="left"/>
            </w:pPr>
            <w:r>
              <w:t xml:space="preserve">EGC, MEGC</w:t>
            </w:r>
          </w:p>
        </w:tc>
        <w:tc>
          <w:tcPr/>
          <w:p>
            <w:pPr>
              <w:pStyle w:val="Compact"/>
              <w:jc w:val="left"/>
            </w:pPr>
            <w:r>
              <w:t xml:space="preserve">Modèle d’équilibre général calculable</w:t>
            </w:r>
          </w:p>
        </w:tc>
      </w:tr>
      <w:tr>
        <w:tc>
          <w:tcPr/>
          <w:p>
            <w:pPr>
              <w:pStyle w:val="Compact"/>
              <w:jc w:val="left"/>
            </w:pPr>
            <w:r>
              <w:t xml:space="preserve">Fermeture</w:t>
            </w:r>
          </w:p>
        </w:tc>
        <w:tc>
          <w:tcPr/>
          <w:p>
            <w:pPr>
              <w:pStyle w:val="Compact"/>
              <w:jc w:val="left"/>
            </w:pPr>
            <w:r>
              <w:t xml:space="preserve">Règle de bouclage d’un modèle d’équilibre général</w:t>
            </w:r>
          </w:p>
        </w:tc>
      </w:tr>
      <w:tr>
        <w:tc>
          <w:tcPr/>
          <w:p>
            <w:pPr>
              <w:pStyle w:val="Compact"/>
              <w:jc w:val="left"/>
            </w:pPr>
            <w:r>
              <w:t xml:space="preserve">GDX</w:t>
            </w:r>
          </w:p>
        </w:tc>
        <w:tc>
          <w:tcPr/>
          <w:p>
            <w:pPr>
              <w:pStyle w:val="Compact"/>
              <w:jc w:val="left"/>
            </w:pPr>
            <w:r>
              <w:t xml:space="preserve">Format d’échange de données de GAMS</w:t>
            </w:r>
          </w:p>
        </w:tc>
      </w:tr>
      <w:tr>
        <w:tc>
          <w:tcPr/>
          <w:p>
            <w:pPr>
              <w:pStyle w:val="Compact"/>
              <w:jc w:val="left"/>
            </w:pPr>
            <w:r>
              <w:t xml:space="preserve">IHPC</w:t>
            </w:r>
          </w:p>
        </w:tc>
        <w:tc>
          <w:tcPr/>
          <w:p>
            <w:pPr>
              <w:pStyle w:val="Compact"/>
              <w:jc w:val="left"/>
            </w:pPr>
            <w:r>
              <w:t xml:space="preserve">Indice harmonisé des prix à la consommation</w:t>
            </w:r>
          </w:p>
        </w:tc>
      </w:tr>
      <w:tr>
        <w:tc>
          <w:tcPr/>
          <w:p>
            <w:pPr>
              <w:pStyle w:val="Compact"/>
              <w:jc w:val="left"/>
            </w:pPr>
            <w:r>
              <w:t xml:space="preserve">MCS, SAM</w:t>
            </w:r>
          </w:p>
        </w:tc>
        <w:tc>
          <w:tcPr/>
          <w:p>
            <w:pPr>
              <w:pStyle w:val="Compact"/>
              <w:jc w:val="left"/>
            </w:pPr>
            <w:r>
              <w:t xml:space="preserve">Matrice de comptabilité sociale</w:t>
            </w:r>
          </w:p>
        </w:tc>
      </w:tr>
      <w:tr>
        <w:tc>
          <w:tcPr/>
          <w:p>
            <w:pPr>
              <w:pStyle w:val="Compact"/>
              <w:jc w:val="left"/>
            </w:pPr>
            <w:r>
              <w:t xml:space="preserve">MSFP 2014</w:t>
            </w:r>
          </w:p>
        </w:tc>
        <w:tc>
          <w:tcPr/>
          <w:p>
            <w:pPr>
              <w:pStyle w:val="Compact"/>
              <w:jc w:val="left"/>
            </w:pPr>
            <w:r>
              <w:t xml:space="preserve">Manuel de statistiques de finances publiques du FMI</w:t>
            </w:r>
          </w:p>
        </w:tc>
      </w:tr>
      <w:tr>
        <w:tc>
          <w:tcPr/>
          <w:p>
            <w:pPr>
              <w:pStyle w:val="Compact"/>
              <w:jc w:val="left"/>
            </w:pPr>
            <w:r>
              <w:t xml:space="preserve">NLP</w:t>
            </w:r>
          </w:p>
        </w:tc>
        <w:tc>
          <w:tcPr/>
          <w:p>
            <w:pPr>
              <w:pStyle w:val="Compact"/>
              <w:jc w:val="left"/>
            </w:pPr>
            <w:r>
              <w:t xml:space="preserve">Programmation non linéaire</w:t>
            </w:r>
          </w:p>
        </w:tc>
      </w:tr>
      <w:tr>
        <w:tc>
          <w:tcPr/>
          <w:p>
            <w:pPr>
              <w:pStyle w:val="Compact"/>
              <w:jc w:val="left"/>
            </w:pPr>
            <w:r>
              <w:t xml:space="preserve">Numéraire</w:t>
            </w:r>
          </w:p>
        </w:tc>
        <w:tc>
          <w:tcPr/>
          <w:p>
            <w:pPr>
              <w:pStyle w:val="Compact"/>
              <w:jc w:val="left"/>
            </w:pPr>
            <w:r>
              <w:t xml:space="preserve">Prix de référence normalisé d’un modèle</w:t>
            </w:r>
          </w:p>
        </w:tc>
      </w:tr>
      <w:tr>
        <w:tc>
          <w:tcPr/>
          <w:p>
            <w:pPr>
              <w:pStyle w:val="Compact"/>
              <w:jc w:val="left"/>
            </w:pPr>
            <w:r>
              <w:t xml:space="preserve">RPEF</w:t>
            </w:r>
          </w:p>
        </w:tc>
        <w:tc>
          <w:tcPr/>
          <w:p>
            <w:pPr>
              <w:pStyle w:val="Compact"/>
              <w:jc w:val="left"/>
            </w:pPr>
            <w:r>
              <w:t xml:space="preserve">Rapport sur les perspectives économiques et financières</w:t>
            </w:r>
          </w:p>
        </w:tc>
      </w:tr>
      <w:tr>
        <w:tc>
          <w:tcPr/>
          <w:p>
            <w:pPr>
              <w:pStyle w:val="Compact"/>
              <w:jc w:val="left"/>
            </w:pPr>
            <w:r>
              <w:t xml:space="preserve">TOFE</w:t>
            </w:r>
          </w:p>
        </w:tc>
        <w:tc>
          <w:tcPr/>
          <w:p>
            <w:pPr>
              <w:pStyle w:val="Compact"/>
              <w:jc w:val="left"/>
            </w:pPr>
            <w:r>
              <w:t xml:space="preserve">Tableau des opérations financières de l’État</w:t>
            </w:r>
          </w:p>
        </w:tc>
      </w:tr>
      <w:tr>
        <w:tc>
          <w:tcPr/>
          <w:p>
            <w:pPr>
              <w:pStyle w:val="Compact"/>
              <w:jc w:val="left"/>
            </w:pPr>
            <w:r>
              <w:t xml:space="preserve">TRE</w:t>
            </w:r>
          </w:p>
        </w:tc>
        <w:tc>
          <w:tcPr/>
          <w:p>
            <w:pPr>
              <w:pStyle w:val="Compact"/>
              <w:jc w:val="left"/>
            </w:pPr>
            <w:r>
              <w:t xml:space="preserve">Tableau ressources-emplois</w:t>
            </w:r>
          </w:p>
        </w:tc>
      </w:tr>
    </w:tbl>
    <w:p>
      <w:r>
        <w:br w:type="page"/>
      </w:r>
    </w:p>
    <w:bookmarkEnd w:id="132"/>
    <w:bookmarkEnd w:id="133"/>
    <w:bookmarkEnd w:id="134"/>
    <w:bookmarkStart w:id="220" w:name="partie-a-gestion-interne-de-la-direction"/>
    <w:p>
      <w:pPr>
        <w:pStyle w:val="Heading1"/>
      </w:pPr>
      <w:r>
        <w:t xml:space="preserve">Partie A — Gestion interne de la Direction</w:t>
      </w:r>
    </w:p>
    <w:p>
      <w:pPr>
        <w:pStyle w:val="FirstParagraph"/>
      </w:pPr>
      <w:r>
        <w:t xml:space="preserve">Cette partie décrit le volet fonctionnement interne du produit. Elle ne redéfinit ni les rôles, ni les habilitations, ni les objets du socle : tout ce qui est fixé en Partie 0 s’applique sans reprise. Les identifiants d’exigences du cahier SI v3.1 sont conservés, préfixés</w:t>
      </w:r>
      <w:r>
        <w:t xml:space="preserve"> </w:t>
      </w:r>
      <w:r>
        <w:rPr>
          <w:rStyle w:val="VerbatimChar"/>
        </w:rPr>
        <w:t xml:space="preserve">SIG-</w:t>
      </w:r>
      <w:r>
        <w:t xml:space="preserve">.</w:t>
      </w:r>
    </w:p>
    <w:bookmarkStart w:id="135" w:name="a1.-cartographie-des-domaines"/>
    <w:p>
      <w:pPr>
        <w:pStyle w:val="Heading2"/>
      </w:pPr>
      <w:r>
        <w:t xml:space="preserve">A1. Cartographie des domaines</w:t>
      </w:r>
    </w:p>
    <w:p>
      <w:pPr>
        <w:pStyle w:val="FirstParagraph"/>
      </w:pPr>
      <w:r>
        <w:t xml:space="preserve">Dix domaines fonctionnels, rattachés aux lots définis en Partie 0, section 12.</w:t>
      </w:r>
    </w:p>
    <w:tbl>
      <w:tblPr>
        <w:tblStyle w:val="Table"/>
        <w:tblW w:type="dxa" w:w="9354"/>
        <w:tblLayout w:type="fixed"/>
        <w:tblLook w:firstRow="1" w:lastRow="0" w:firstColumn="0" w:lastColumn="0" w:noHBand="0" w:noVBand="0" w:val="0020"/>
        <w:jc w:val="start"/>
      </w:tblPr>
      <w:tblGrid>
        <w:gridCol w:w="3195"/>
        <w:gridCol w:w="3911"/>
        <w:gridCol w:w="2248"/>
      </w:tblGrid>
      <w:tr>
        <w:trPr>
          <w:tblHeader w:val="true"/>
        </w:trPr>
        <w:tc>
          <w:tcPr/>
          <w:p>
            <w:pPr>
              <w:pStyle w:val="Compact"/>
              <w:jc w:val="left"/>
            </w:pPr>
            <w:r>
              <w:t xml:space="preserve">Domaine</w:t>
            </w:r>
          </w:p>
        </w:tc>
        <w:tc>
          <w:tcPr/>
          <w:p>
            <w:pPr>
              <w:pStyle w:val="Compact"/>
              <w:jc w:val="left"/>
            </w:pPr>
            <w:r>
              <w:t xml:space="preserve">Contenu</w:t>
            </w:r>
          </w:p>
        </w:tc>
        <w:tc>
          <w:tcPr/>
          <w:p>
            <w:pPr>
              <w:pStyle w:val="Compact"/>
              <w:jc w:val="left"/>
            </w:pPr>
            <w:r>
              <w:t xml:space="preserve">Lot</w:t>
            </w:r>
          </w:p>
        </w:tc>
      </w:tr>
      <w:tr>
        <w:tc>
          <w:tcPr/>
          <w:p>
            <w:pPr>
              <w:pStyle w:val="Compact"/>
              <w:jc w:val="left"/>
            </w:pPr>
            <w:r>
              <w:rPr>
                <w:bCs/>
                <w:b/>
              </w:rPr>
              <w:t xml:space="preserve">D1 — Pilotage des activités</w:t>
            </w:r>
          </w:p>
        </w:tc>
        <w:tc>
          <w:tcPr/>
          <w:p>
            <w:pPr>
              <w:pStyle w:val="Compact"/>
              <w:jc w:val="left"/>
            </w:pPr>
            <w:r>
              <w:t xml:space="preserve">Plan de travail, activités, tâches, sous-tâches, actions, tableaux de bord, rapport d’activité</w:t>
            </w:r>
          </w:p>
        </w:tc>
        <w:tc>
          <w:tcPr/>
          <w:p>
            <w:pPr>
              <w:pStyle w:val="Compact"/>
              <w:jc w:val="left"/>
            </w:pPr>
            <w:r>
              <w:t xml:space="preserve">1</w:t>
            </w:r>
          </w:p>
        </w:tc>
      </w:tr>
      <w:tr>
        <w:tc>
          <w:tcPr/>
          <w:p>
            <w:pPr>
              <w:pStyle w:val="Compact"/>
              <w:jc w:val="left"/>
            </w:pPr>
            <w:r>
              <w:rPr>
                <w:bCs/>
                <w:b/>
              </w:rPr>
              <w:t xml:space="preserve">D2 — Collaboration et communication</w:t>
            </w:r>
          </w:p>
        </w:tc>
        <w:tc>
          <w:tcPr/>
          <w:p>
            <w:pPr>
              <w:pStyle w:val="Compact"/>
              <w:jc w:val="left"/>
            </w:pPr>
            <w:r>
              <w:t xml:space="preserve">Messagerie avec pièces jointes, transmission de documents, annonces, réunions, décisions, sondages, boîte à suggestions</w:t>
            </w:r>
          </w:p>
        </w:tc>
        <w:tc>
          <w:tcPr/>
          <w:p>
            <w:pPr>
              <w:pStyle w:val="Compact"/>
              <w:jc w:val="left"/>
            </w:pPr>
            <w:r>
              <w:t xml:space="preserve">1</w:t>
            </w:r>
          </w:p>
        </w:tc>
      </w:tr>
      <w:tr>
        <w:tc>
          <w:tcPr/>
          <w:p>
            <w:pPr>
              <w:pStyle w:val="Compact"/>
              <w:jc w:val="left"/>
            </w:pPr>
            <w:r>
              <w:rPr>
                <w:bCs/>
                <w:b/>
              </w:rPr>
              <w:t xml:space="preserve">D3 — Personnel</w:t>
            </w:r>
          </w:p>
        </w:tc>
        <w:tc>
          <w:tcPr/>
          <w:p>
            <w:pPr>
              <w:pStyle w:val="Compact"/>
              <w:jc w:val="left"/>
            </w:pPr>
            <w:r>
              <w:t xml:space="preserve">Dossier agent, annuaire, fiches de poste, effectifs, carrière, actes des ressources humaines, alertes et échéances</w:t>
            </w:r>
          </w:p>
        </w:tc>
        <w:tc>
          <w:tcPr/>
          <w:p>
            <w:pPr>
              <w:pStyle w:val="Compact"/>
              <w:jc w:val="left"/>
            </w:pPr>
            <w:r>
              <w:t xml:space="preserve">0 et 3</w:t>
            </w:r>
          </w:p>
        </w:tc>
      </w:tr>
      <w:tr>
        <w:tc>
          <w:tcPr/>
          <w:p>
            <w:pPr>
              <w:pStyle w:val="Compact"/>
              <w:jc w:val="left"/>
            </w:pPr>
            <w:r>
              <w:rPr>
                <w:bCs/>
                <w:b/>
              </w:rPr>
              <w:t xml:space="preserve">D4 — Temps et absences</w:t>
            </w:r>
          </w:p>
        </w:tc>
        <w:tc>
          <w:tcPr/>
          <w:p>
            <w:pPr>
              <w:pStyle w:val="Compact"/>
              <w:jc w:val="left"/>
            </w:pPr>
            <w:r>
              <w:t xml:space="preserve">Congés, absences, missions, planning, soldes</w:t>
            </w:r>
          </w:p>
        </w:tc>
        <w:tc>
          <w:tcPr/>
          <w:p>
            <w:pPr>
              <w:pStyle w:val="Compact"/>
              <w:jc w:val="left"/>
            </w:pPr>
            <w:r>
              <w:t xml:space="preserve">3</w:t>
            </w:r>
          </w:p>
        </w:tc>
      </w:tr>
      <w:tr>
        <w:tc>
          <w:tcPr/>
          <w:p>
            <w:pPr>
              <w:pStyle w:val="Compact"/>
              <w:jc w:val="left"/>
            </w:pPr>
            <w:r>
              <w:rPr>
                <w:bCs/>
                <w:b/>
              </w:rPr>
              <w:t xml:space="preserve">D5 — Rémunération et finances</w:t>
            </w:r>
          </w:p>
        </w:tc>
        <w:tc>
          <w:tcPr/>
          <w:p>
            <w:pPr>
              <w:pStyle w:val="Compact"/>
              <w:jc w:val="left"/>
            </w:pPr>
            <w:r>
              <w:t xml:space="preserve">Campagnes de paie, bulletins, éléments variables, instructions financières, ordres de paiement, missions et indemnités, suivi budgétaire de gestion, états financiers</w:t>
            </w:r>
          </w:p>
        </w:tc>
        <w:tc>
          <w:tcPr/>
          <w:p>
            <w:pPr>
              <w:pStyle w:val="Compact"/>
              <w:jc w:val="left"/>
            </w:pPr>
            <w:r>
              <w:t xml:space="preserve">5</w:t>
            </w:r>
          </w:p>
        </w:tc>
      </w:tr>
      <w:tr>
        <w:tc>
          <w:tcPr/>
          <w:p>
            <w:pPr>
              <w:pStyle w:val="Compact"/>
              <w:jc w:val="left"/>
            </w:pPr>
            <w:r>
              <w:rPr>
                <w:bCs/>
                <w:b/>
              </w:rPr>
              <w:t xml:space="preserve">D6 — Stages et formation</w:t>
            </w:r>
          </w:p>
        </w:tc>
        <w:tc>
          <w:tcPr/>
          <w:p>
            <w:pPr>
              <w:pStyle w:val="Compact"/>
              <w:jc w:val="left"/>
            </w:pPr>
            <w:r>
              <w:t xml:space="preserve">Demandes, conventions, encadrement, rapports de stage, attestations, plan de formation</w:t>
            </w:r>
          </w:p>
        </w:tc>
        <w:tc>
          <w:tcPr/>
          <w:p>
            <w:pPr>
              <w:pStyle w:val="Compact"/>
              <w:jc w:val="left"/>
            </w:pPr>
            <w:r>
              <w:t xml:space="preserve">3</w:t>
            </w:r>
          </w:p>
        </w:tc>
      </w:tr>
      <w:tr>
        <w:tc>
          <w:tcPr/>
          <w:p>
            <w:pPr>
              <w:pStyle w:val="Compact"/>
              <w:jc w:val="left"/>
            </w:pPr>
            <w:r>
              <w:rPr>
                <w:bCs/>
                <w:b/>
              </w:rPr>
              <w:t xml:space="preserve">D7 — Courrier et actes</w:t>
            </w:r>
          </w:p>
        </w:tc>
        <w:tc>
          <w:tcPr/>
          <w:p>
            <w:pPr>
              <w:pStyle w:val="Compact"/>
              <w:jc w:val="left"/>
            </w:pPr>
            <w:r>
              <w:t xml:space="preserve">Courrier entrant et sortant, imputation, notes de service, accusés de réception</w:t>
            </w:r>
          </w:p>
        </w:tc>
        <w:tc>
          <w:tcPr/>
          <w:p>
            <w:pPr>
              <w:pStyle w:val="Compact"/>
              <w:jc w:val="left"/>
            </w:pPr>
            <w:r>
              <w:t xml:space="preserve">5</w:t>
            </w:r>
          </w:p>
        </w:tc>
      </w:tr>
      <w:tr>
        <w:tc>
          <w:tcPr/>
          <w:p>
            <w:pPr>
              <w:pStyle w:val="Compact"/>
              <w:jc w:val="left"/>
            </w:pPr>
            <w:r>
              <w:rPr>
                <w:bCs/>
                <w:b/>
              </w:rPr>
              <w:t xml:space="preserve">D8 — Documentation</w:t>
            </w:r>
          </w:p>
        </w:tc>
        <w:tc>
          <w:tcPr/>
          <w:p>
            <w:pPr>
              <w:pStyle w:val="Compact"/>
              <w:jc w:val="left"/>
            </w:pPr>
            <w:r>
              <w:t xml:space="preserve">Voir Partie 0, section 8 : la GED est un service du socle, partagé avec le domaine B</w:t>
            </w:r>
          </w:p>
        </w:tc>
        <w:tc>
          <w:tcPr/>
          <w:p>
            <w:pPr>
              <w:pStyle w:val="Compact"/>
              <w:jc w:val="left"/>
            </w:pPr>
            <w:r>
              <w:t xml:space="preserve">0 et 3</w:t>
            </w:r>
          </w:p>
        </w:tc>
      </w:tr>
      <w:tr>
        <w:tc>
          <w:tcPr/>
          <w:p>
            <w:pPr>
              <w:pStyle w:val="Compact"/>
              <w:jc w:val="left"/>
            </w:pPr>
            <w:r>
              <w:rPr>
                <w:bCs/>
                <w:b/>
              </w:rPr>
              <w:t xml:space="preserve">D9 — Logistique</w:t>
            </w:r>
          </w:p>
        </w:tc>
        <w:tc>
          <w:tcPr/>
          <w:p>
            <w:pPr>
              <w:pStyle w:val="Compact"/>
              <w:jc w:val="left"/>
            </w:pPr>
            <w:r>
              <w:t xml:space="preserve">Matériel et inventaire, fournitures, véhicules, salles</w:t>
            </w:r>
          </w:p>
        </w:tc>
        <w:tc>
          <w:tcPr/>
          <w:p>
            <w:pPr>
              <w:pStyle w:val="Compact"/>
              <w:jc w:val="left"/>
            </w:pPr>
            <w:r>
              <w:t xml:space="preserve">5</w:t>
            </w:r>
          </w:p>
        </w:tc>
      </w:tr>
      <w:tr>
        <w:tc>
          <w:tcPr/>
          <w:p>
            <w:pPr>
              <w:pStyle w:val="Compact"/>
              <w:jc w:val="left"/>
            </w:pPr>
            <w:r>
              <w:rPr>
                <w:bCs/>
                <w:b/>
              </w:rPr>
              <w:t xml:space="preserve">D10 — Administration</w:t>
            </w:r>
          </w:p>
        </w:tc>
        <w:tc>
          <w:tcPr/>
          <w:p>
            <w:pPr>
              <w:pStyle w:val="Compact"/>
              <w:jc w:val="left"/>
            </w:pPr>
            <w:r>
              <w:t xml:space="preserve">Voir Partie 0, sections 4, 5 et 10 : comptes, rôles, paramétrage, journal d’audit, exports</w:t>
            </w:r>
          </w:p>
        </w:tc>
        <w:tc>
          <w:tcPr/>
          <w:p>
            <w:pPr>
              <w:pStyle w:val="Compact"/>
              <w:jc w:val="left"/>
            </w:pPr>
            <w:r>
              <w:t xml:space="preserve">0</w:t>
            </w:r>
          </w:p>
        </w:tc>
      </w:tr>
    </w:tbl>
    <w:p>
      <w:pPr>
        <w:pStyle w:val="BodyText"/>
      </w:pPr>
      <w:r>
        <w:t xml:space="preserve">Les domaines D3, D8 et D10 ont été absorbés en tout ou partie par le socle lors de la fusion : ils ne font plus l’objet d’exigences propres au domaine A, hormis les écrans et les circuits décrits ci-après.</w:t>
      </w:r>
    </w:p>
    <w:bookmarkEnd w:id="135"/>
    <w:bookmarkStart w:id="144" w:name="Xacf1444f30a4636ca8a8fc79af9c16d65f49df7"/>
    <w:p>
      <w:pPr>
        <w:pStyle w:val="Heading2"/>
      </w:pPr>
      <w:r>
        <w:t xml:space="preserve">A2. Pilotage des activités et collaboration</w:t>
      </w:r>
    </w:p>
    <w:bookmarkStart w:id="136" w:name="a2.1-chaîne-structurante"/>
    <w:p>
      <w:pPr>
        <w:pStyle w:val="Heading3"/>
      </w:pPr>
      <w:r>
        <w:t xml:space="preserve">A2.1 Chaîne structurante</w:t>
      </w:r>
    </w:p>
    <w:p>
      <w:pPr>
        <w:pStyle w:val="FirstParagraph"/>
      </w:pPr>
      <w:r>
        <w:rPr>
          <w:bCs/>
          <w:b/>
        </w:rPr>
        <w:t xml:space="preserve">Objectif → Activité (plan de travail) → Tâche → Sous-tâche.</w:t>
      </w:r>
      <w:r>
        <w:t xml:space="preserve"> </w:t>
      </w:r>
      <w:r>
        <w:t xml:space="preserve">Une tâche isolée ne suit que le quotidien ; rattachée à une activité du plan de travail, elle alimente automatiquement le rapport d’activité de la division et de la Direction. C’est cette chaîne qui donne au produit sa valeur pour la Direction, et non la gestion de tâches prise isolément.</w:t>
      </w:r>
    </w:p>
    <w:bookmarkEnd w:id="136"/>
    <w:bookmarkStart w:id="137" w:name="a2.2-plan-de-travail-et-tâches"/>
    <w:p>
      <w:pPr>
        <w:pStyle w:val="Heading3"/>
      </w:pPr>
      <w:r>
        <w:t xml:space="preserve">A2.2 Plan de travail et tâches</w:t>
      </w:r>
    </w:p>
    <w:p>
      <w:pPr>
        <w:numPr>
          <w:ilvl w:val="0"/>
          <w:numId w:val="1024"/>
        </w:numPr>
        <w:pStyle w:val="Compact"/>
      </w:pPr>
      <w:r>
        <w:t xml:space="preserve">Plan de travail annuel par division, décliné en activités datées, avec responsable et indicateur d’avancement.</w:t>
      </w:r>
    </w:p>
    <w:p>
      <w:pPr>
        <w:numPr>
          <w:ilvl w:val="0"/>
          <w:numId w:val="1024"/>
        </w:numPr>
        <w:pStyle w:val="Compact"/>
      </w:pPr>
      <w:r>
        <w:t xml:space="preserve">Création et assignation de tâches en cascade : responsable unique avec collaborateurs, ou plusieurs co-responsables.</w:t>
      </w:r>
    </w:p>
    <w:p>
      <w:pPr>
        <w:numPr>
          <w:ilvl w:val="0"/>
          <w:numId w:val="1024"/>
        </w:numPr>
        <w:pStyle w:val="Compact"/>
      </w:pPr>
      <w:r>
        <w:t xml:space="preserve">Rattachement à une activité facultatif, et obligatoire lorsque la tâche en découle.</w:t>
      </w:r>
    </w:p>
    <w:p>
      <w:pPr>
        <w:numPr>
          <w:ilvl w:val="0"/>
          <w:numId w:val="1024"/>
        </w:numPr>
        <w:pStyle w:val="Compact"/>
      </w:pPr>
      <w:r>
        <w:t xml:space="preserve">Statuts : À faire → En cours → Soumise pour validation → Validée ou Rejetée (retour en cours) → Terminée.</w:t>
      </w:r>
    </w:p>
    <w:p>
      <w:pPr>
        <w:numPr>
          <w:ilvl w:val="0"/>
          <w:numId w:val="1024"/>
        </w:numPr>
        <w:pStyle w:val="Compact"/>
      </w:pPr>
      <w:r>
        <w:t xml:space="preserve">Sous-tâches avec statut, responsable et échéance propres ; progression de la tâche mère calculée.</w:t>
      </w:r>
    </w:p>
    <w:p>
      <w:pPr>
        <w:numPr>
          <w:ilvl w:val="0"/>
          <w:numId w:val="1024"/>
        </w:numPr>
        <w:pStyle w:val="Compact"/>
      </w:pPr>
      <w:r>
        <w:t xml:space="preserve">Tâches récurrentes (quotidienne, hebdomadaire, mensuelle, trimestrielle), pièces jointes, priorités avec alertes avant échéance.</w:t>
      </w:r>
    </w:p>
    <w:p>
      <w:pPr>
        <w:numPr>
          <w:ilvl w:val="0"/>
          <w:numId w:val="1024"/>
        </w:numPr>
        <w:pStyle w:val="Compact"/>
      </w:pPr>
      <w:r>
        <w:t xml:space="preserve">Niveaux de confidentialité — Interne, Confidentiel unité, Très confidentiel direction — avec filtrage de visibilité correspondant.</w:t>
      </w:r>
    </w:p>
    <w:p>
      <w:pPr>
        <w:numPr>
          <w:ilvl w:val="0"/>
          <w:numId w:val="1024"/>
        </w:numPr>
        <w:pStyle w:val="Compact"/>
      </w:pPr>
      <w:r>
        <w:t xml:space="preserve">Fil de commentaires avec mentions ; regroupement en projets ou dossiers ; vues Calendrier et Kanban ; recherche avancée avec filtres et recherches favorites.</w:t>
      </w:r>
    </w:p>
    <w:p>
      <w:pPr>
        <w:numPr>
          <w:ilvl w:val="0"/>
          <w:numId w:val="1024"/>
        </w:numPr>
        <w:pStyle w:val="Compact"/>
      </w:pPr>
      <w:r>
        <w:rPr>
          <w:bCs/>
          <w:b/>
        </w:rPr>
        <w:t xml:space="preserve">Suppression logique uniquement</w:t>
      </w:r>
      <w:r>
        <w:t xml:space="preserve"> </w:t>
      </w:r>
      <w:r>
        <w:t xml:space="preserve">: une tâche supprimée est archivée et reste consultable dans le journal d’audit, jamais effacée physiquement.</w:t>
      </w:r>
    </w:p>
    <w:p>
      <w:pPr>
        <w:numPr>
          <w:ilvl w:val="0"/>
          <w:numId w:val="1024"/>
        </w:numPr>
        <w:pStyle w:val="Compact"/>
      </w:pPr>
      <w:r>
        <w:t xml:space="preserve">Génération assistée du</w:t>
      </w:r>
      <w:r>
        <w:t xml:space="preserve"> </w:t>
      </w:r>
      <w:r>
        <w:rPr>
          <w:bCs/>
          <w:b/>
        </w:rPr>
        <w:t xml:space="preserve">rapport d’activité</w:t>
      </w:r>
      <w:r>
        <w:t xml:space="preserve"> </w:t>
      </w:r>
      <w:r>
        <w:t xml:space="preserve">par agent, section, division et pour la Direction, sur une période choisie, à partir des activités et tâches terminées.</w:t>
      </w:r>
    </w:p>
    <w:bookmarkEnd w:id="137"/>
    <w:bookmarkStart w:id="138" w:name="a2.3-messagerie-et-annonces"/>
    <w:p>
      <w:pPr>
        <w:pStyle w:val="Heading3"/>
      </w:pPr>
      <w:r>
        <w:t xml:space="preserve">A2.3 Messagerie et annonces</w:t>
      </w:r>
    </w:p>
    <w:p>
      <w:pPr>
        <w:numPr>
          <w:ilvl w:val="0"/>
          <w:numId w:val="1025"/>
        </w:numPr>
        <w:pStyle w:val="Compact"/>
      </w:pPr>
      <w:r>
        <w:t xml:space="preserve">Messagerie directe entre deux utilisateurs : texte, partage de fichiers, accusés de lecture horodatés.</w:t>
      </w:r>
    </w:p>
    <w:p>
      <w:pPr>
        <w:numPr>
          <w:ilvl w:val="0"/>
          <w:numId w:val="1025"/>
        </w:numPr>
        <w:pStyle w:val="Compact"/>
      </w:pPr>
      <w:r>
        <w:t xml:space="preserve">Annonces : tout responsable diffuse à son périmètre direct, le DN et le DNA à toute la Direction ; ciblage par division, section ou groupe personnalisé.</w:t>
      </w:r>
    </w:p>
    <w:p>
      <w:pPr>
        <w:numPr>
          <w:ilvl w:val="0"/>
          <w:numId w:val="1025"/>
        </w:numPr>
        <w:pStyle w:val="Compact"/>
      </w:pPr>
      <w:r>
        <w:rPr>
          <w:bCs/>
          <w:b/>
        </w:rPr>
        <w:t xml:space="preserve">Règle de non-substitution</w:t>
      </w:r>
      <w:r>
        <w:t xml:space="preserve"> </w:t>
      </w:r>
      <w:r>
        <w:t xml:space="preserve">: la messagerie ne vaut ni décision, ni instruction, ni validation. Tout acte à effet administratif ou financier passe par l’objet tracé correspondant. La règle est rappelée dans l’interface au moment de l’envoi d’un message à un rôle de gestion (SAF, RH), avec proposition de création de l’objet approprié.</w:t>
      </w:r>
    </w:p>
    <w:bookmarkEnd w:id="138"/>
    <w:bookmarkStart w:id="139" w:name="a2.4-réunions-décisions-et-actions"/>
    <w:p>
      <w:pPr>
        <w:pStyle w:val="Heading3"/>
      </w:pPr>
      <w:r>
        <w:t xml:space="preserve">A2.4 Réunions, décisions et actions</w:t>
      </w:r>
    </w:p>
    <w:p>
      <w:pPr>
        <w:numPr>
          <w:ilvl w:val="0"/>
          <w:numId w:val="1026"/>
        </w:numPr>
        <w:pStyle w:val="Compact"/>
      </w:pPr>
      <w:r>
        <w:t xml:space="preserve">Création d’une réunion : participants, date, lieu ou salle, ordre du jour, documents préparatoires ; convocation avec confirmation de présence et rappel automatique.</w:t>
      </w:r>
    </w:p>
    <w:p>
      <w:pPr>
        <w:numPr>
          <w:ilvl w:val="0"/>
          <w:numId w:val="1026"/>
        </w:numPr>
        <w:pStyle w:val="Compact"/>
      </w:pPr>
      <w:r>
        <w:t xml:space="preserve">Compte rendu rédigé dans le produit, avec</w:t>
      </w:r>
      <w:r>
        <w:t xml:space="preserve"> </w:t>
      </w:r>
      <w:r>
        <w:rPr>
          <w:bCs/>
          <w:b/>
        </w:rPr>
        <w:t xml:space="preserve">relevé de décisions</w:t>
      </w:r>
      <w:r>
        <w:t xml:space="preserve">.</w:t>
      </w:r>
    </w:p>
    <w:p>
      <w:pPr>
        <w:numPr>
          <w:ilvl w:val="0"/>
          <w:numId w:val="1026"/>
        </w:numPr>
        <w:pStyle w:val="Compact"/>
      </w:pPr>
      <w:r>
        <w:t xml:space="preserve">Chaque décision convertible en</w:t>
      </w:r>
      <w:r>
        <w:t xml:space="preserve"> </w:t>
      </w:r>
      <w:r>
        <w:rPr>
          <w:bCs/>
          <w:b/>
        </w:rPr>
        <w:t xml:space="preserve">action</w:t>
      </w:r>
      <w:r>
        <w:t xml:space="preserve"> </w:t>
      </w:r>
      <w:r>
        <w:t xml:space="preserve">— objet de type tâche, avec responsable et échéance — conservant le lien vers la réunion d’origine.</w:t>
      </w:r>
    </w:p>
    <w:p>
      <w:pPr>
        <w:numPr>
          <w:ilvl w:val="0"/>
          <w:numId w:val="1026"/>
        </w:numPr>
        <w:pStyle w:val="Compact"/>
      </w:pPr>
      <w:r>
        <w:t xml:space="preserve">Une décision non exécutée reste visible dans le tableau de bord du président de séance et du DN jusqu’à sa clôture.</w:t>
      </w:r>
    </w:p>
    <w:p>
      <w:pPr>
        <w:numPr>
          <w:ilvl w:val="0"/>
          <w:numId w:val="1026"/>
        </w:numPr>
        <w:pStyle w:val="Compact"/>
      </w:pPr>
      <w:r>
        <w:t xml:space="preserve">Visibilité limitée aux participants et à leur hiérarchie, sauf réunion déclarée ouverte.</w:t>
      </w:r>
    </w:p>
    <w:bookmarkEnd w:id="139"/>
    <w:bookmarkStart w:id="140" w:name="a2.5-sondages-et-suggestions"/>
    <w:p>
      <w:pPr>
        <w:pStyle w:val="Heading3"/>
      </w:pPr>
      <w:r>
        <w:t xml:space="preserve">A2.5 Sondages et suggestions</w:t>
      </w:r>
    </w:p>
    <w:p>
      <w:pPr>
        <w:numPr>
          <w:ilvl w:val="0"/>
          <w:numId w:val="1027"/>
        </w:numPr>
        <w:pStyle w:val="Compact"/>
      </w:pPr>
      <w:r>
        <w:t xml:space="preserve">Sondage à choix simple adressé par un responsable à son périmètre, avec suivi des réponses en temps réel.</w:t>
      </w:r>
    </w:p>
    <w:p>
      <w:pPr>
        <w:numPr>
          <w:ilvl w:val="0"/>
          <w:numId w:val="1027"/>
        </w:numPr>
        <w:pStyle w:val="Compact"/>
      </w:pPr>
      <w:r>
        <w:t xml:space="preserve">Suggestions adressées au DN et au DNA, avec</w:t>
      </w:r>
      <w:r>
        <w:t xml:space="preserve"> </w:t>
      </w:r>
      <w:r>
        <w:rPr>
          <w:bCs/>
          <w:b/>
        </w:rPr>
        <w:t xml:space="preserve">option d’anonymat</w:t>
      </w:r>
      <w:r>
        <w:t xml:space="preserve">. Lorsqu’elle est exercée, l’identité de l’auteur n’est accessible à personne, administrateur compris, et le journal d’audit n’enregistre que l’existence du dépôt. Statuts de suivi : Reçue, En étude, Retenue, Non retenue ; réponse publiée ou individuelle.</w:t>
      </w:r>
    </w:p>
    <w:bookmarkEnd w:id="140"/>
    <w:bookmarkStart w:id="141" w:name="X2e8f5567f456b837ffa41283f1b08c7b37b2996"/>
    <w:p>
      <w:pPr>
        <w:pStyle w:val="Heading3"/>
      </w:pPr>
      <w:r>
        <w:t xml:space="preserve">A2.6 Messagerie et transmission de documents</w:t>
      </w:r>
    </w:p>
    <w:p>
      <w:pPr>
        <w:pStyle w:val="FirstParagraph"/>
      </w:pPr>
      <w:r>
        <w:t xml:space="preserve">La messagerie sert à</w:t>
      </w:r>
      <w:r>
        <w:t xml:space="preserve"> </w:t>
      </w:r>
      <w:r>
        <w:rPr>
          <w:bCs/>
          <w:b/>
        </w:rPr>
        <w:t xml:space="preserve">transmettre et commenter</w:t>
      </w:r>
      <w:r>
        <w:t xml:space="preserve">, jamais à décider. Elle est le canal par lequel un service adresse à la Direction un document produit par la plateforme.</w:t>
      </w:r>
    </w:p>
    <w:p>
      <w:pPr>
        <w:numPr>
          <w:ilvl w:val="0"/>
          <w:numId w:val="1028"/>
        </w:numPr>
        <w:pStyle w:val="Compact"/>
      </w:pPr>
      <w:r>
        <w:t xml:space="preserve">Message adressé à un ou plusieurs agents, avec objet, corps et accusé de lecture par destinataire ; compteur de messages non lus visible en permanence.</w:t>
      </w:r>
    </w:p>
    <w:p>
      <w:pPr>
        <w:numPr>
          <w:ilvl w:val="0"/>
          <w:numId w:val="1028"/>
        </w:numPr>
        <w:pStyle w:val="Compact"/>
      </w:pPr>
      <w:r>
        <w:rPr>
          <w:bCs/>
          <w:b/>
        </w:rPr>
        <w:t xml:space="preserve">Pièce jointe choisie parmi les objets de la plateforme</w:t>
      </w:r>
      <w:r>
        <w:t xml:space="preserve"> </w:t>
      </w:r>
      <w:r>
        <w:t xml:space="preserve">: un document de la GED, un rapport, un état financier, une simulation au moins validée. Le document transmis est l’original produit par la plateforme, avec son numéro et sa mention de statut ; il n’est ni reconstitué, ni ressaisi.</w:t>
      </w:r>
    </w:p>
    <w:p>
      <w:pPr>
        <w:numPr>
          <w:ilvl w:val="0"/>
          <w:numId w:val="1028"/>
        </w:numPr>
        <w:pStyle w:val="Compact"/>
      </w:pPr>
      <w:r>
        <w:t xml:space="preserve">Depuis tout document généré — état financier, bulletin, attestation, acte, rapport d’activité, note de modélisation — un bouton</w:t>
      </w:r>
      <w:r>
        <w:t xml:space="preserve"> </w:t>
      </w:r>
      <w:r>
        <w:rPr>
          <w:bCs/>
          <w:b/>
        </w:rPr>
        <w:t xml:space="preserve">Transmettre</w:t>
      </w:r>
      <w:r>
        <w:t xml:space="preserve"> </w:t>
      </w:r>
      <w:r>
        <w:t xml:space="preserve">ouvre un message pré-rempli : destinataire suggéré, objet et formule d’accompagnement.</w:t>
      </w:r>
    </w:p>
    <w:p>
      <w:pPr>
        <w:numPr>
          <w:ilvl w:val="0"/>
          <w:numId w:val="1028"/>
        </w:numPr>
        <w:pStyle w:val="Compact"/>
      </w:pPr>
      <w:r>
        <w:t xml:space="preserve">Réponse avec objet et corps repris, conservant le fil.</w:t>
      </w:r>
    </w:p>
    <w:p>
      <w:pPr>
        <w:numPr>
          <w:ilvl w:val="0"/>
          <w:numId w:val="1028"/>
        </w:numPr>
        <w:pStyle w:val="Compact"/>
      </w:pPr>
      <w:r>
        <w:rPr>
          <w:bCs/>
          <w:b/>
        </w:rPr>
        <w:t xml:space="preserve">Aucun objet protégé n’est transmissible par message.</w:t>
      </w:r>
      <w:r>
        <w:t xml:space="preserve"> </w:t>
      </w:r>
      <w:r>
        <w:t xml:space="preserve">Le SAF transmet l’état agrégé de la masse salariale, jamais le bulletin individuel d’un agent ; les RH transmettent un effectif, jamais un dossier agent.</w:t>
      </w:r>
    </w:p>
    <w:p>
      <w:pPr>
        <w:numPr>
          <w:ilvl w:val="0"/>
          <w:numId w:val="1028"/>
        </w:numPr>
        <w:pStyle w:val="Compact"/>
      </w:pPr>
      <w:r>
        <w:t xml:space="preserve">Règle de non-substitution rappelée dans l’interface : un acte à effet administratif ou financier passe par l’objet tracé correspondant, pas par un message.</w:t>
      </w:r>
    </w:p>
    <w:bookmarkEnd w:id="141"/>
    <w:bookmarkStart w:id="142" w:name="a2.7-documentation"/>
    <w:p>
      <w:pPr>
        <w:pStyle w:val="Heading3"/>
      </w:pPr>
      <w:r>
        <w:t xml:space="preserve">A2.7 Documentation</w:t>
      </w:r>
    </w:p>
    <w:p>
      <w:pPr>
        <w:pStyle w:val="FirstParagraph"/>
      </w:pPr>
      <w:r>
        <w:t xml:space="preserve">Les espaces, versions, métadonnées, classement, recherche et conservation relèvent de la GED du socle (Partie 0, section 8). Le domaine A y ajoute le lien d’un document vers la tâche ou l’activité dont il est issu, et le dépôt direct depuis tout écran produisant un document.</w:t>
      </w:r>
    </w:p>
    <w:bookmarkEnd w:id="142"/>
    <w:bookmarkStart w:id="143" w:name="a2.8-recherche-transverse"/>
    <w:p>
      <w:pPr>
        <w:pStyle w:val="Heading3"/>
      </w:pPr>
      <w:r>
        <w:t xml:space="preserve">A2.8 Recherche transverse</w:t>
      </w:r>
    </w:p>
    <w:p>
      <w:pPr>
        <w:pStyle w:val="FirstParagraph"/>
      </w:pPr>
      <w:r>
        <w:t xml:space="preserve">Une recherche unique porte sur les tâches, les documents, le courrier, l’annuaire, les modèles et les simulations.</w:t>
      </w:r>
      <w:r>
        <w:t xml:space="preserve"> </w:t>
      </w:r>
      <w:r>
        <w:rPr>
          <w:bCs/>
          <w:b/>
        </w:rPr>
        <w:t xml:space="preserve">Elle respecte strictement le cloisonnement</w:t>
      </w:r>
      <w:r>
        <w:t xml:space="preserve"> </w:t>
      </w:r>
      <w:r>
        <w:t xml:space="preserve">: un objet hors du périmètre du demandeur ou protégé au sens de la Partie 0, section 3.2, n’apparaît jamais dans les résultats, y compris par recherche. Un compte externe n’obtient que des objets diffusables.</w:t>
      </w:r>
    </w:p>
    <w:bookmarkEnd w:id="143"/>
    <w:bookmarkEnd w:id="144"/>
    <w:bookmarkStart w:id="151" w:name="a3.-personnel-temps-et-absences"/>
    <w:p>
      <w:pPr>
        <w:pStyle w:val="Heading2"/>
      </w:pPr>
      <w:r>
        <w:t xml:space="preserve">A3. Personnel, temps et absences</w:t>
      </w:r>
    </w:p>
    <w:bookmarkStart w:id="145" w:name="a3.1-dossier-agent"/>
    <w:p>
      <w:pPr>
        <w:pStyle w:val="Heading3"/>
      </w:pPr>
      <w:r>
        <w:t xml:space="preserve">A3.1 Dossier agent</w:t>
      </w:r>
    </w:p>
    <w:p>
      <w:pPr>
        <w:pStyle w:val="FirstParagraph"/>
      </w:pPr>
      <w:r>
        <w:t xml:space="preserve">L’objet</w:t>
      </w:r>
      <w:r>
        <w:t xml:space="preserve"> </w:t>
      </w:r>
      <w:r>
        <w:rPr>
          <w:rStyle w:val="VerbatimChar"/>
        </w:rPr>
        <w:t xml:space="preserve">agent</w:t>
      </w:r>
      <w:r>
        <w:t xml:space="preserve"> </w:t>
      </w:r>
      <w:r>
        <w:t xml:space="preserve">est défini en Partie 0, section 6. Le domaine A en décrit l’usage.</w:t>
      </w:r>
    </w:p>
    <w:p>
      <w:pPr>
        <w:numPr>
          <w:ilvl w:val="0"/>
          <w:numId w:val="1029"/>
        </w:numPr>
        <w:pStyle w:val="Compact"/>
      </w:pPr>
      <w:r>
        <w:rPr>
          <w:bCs/>
          <w:b/>
        </w:rPr>
        <w:t xml:space="preserve">Contenu</w:t>
      </w:r>
      <w:r>
        <w:t xml:space="preserve"> </w:t>
      </w:r>
      <w:r>
        <w:t xml:space="preserve">: identité, matricule, statut, grade et échelon, ancienneté, date de prise de service, unité de rattachement, fonction, diplômes, coordonnées, personne à prévenir.</w:t>
      </w:r>
    </w:p>
    <w:p>
      <w:pPr>
        <w:numPr>
          <w:ilvl w:val="0"/>
          <w:numId w:val="1029"/>
        </w:numPr>
        <w:pStyle w:val="Compact"/>
      </w:pPr>
      <w:r>
        <w:rPr>
          <w:bCs/>
          <w:b/>
        </w:rPr>
        <w:t xml:space="preserve">Pièces</w:t>
      </w:r>
      <w:r>
        <w:t xml:space="preserve"> </w:t>
      </w:r>
      <w:r>
        <w:t xml:space="preserve">: actes de nomination et d’affectation, contrats, diplômes, avec traçabilité des ajouts et accès restreint au DRH, au gestionnaire RH et à l’agent concerné.</w:t>
      </w:r>
    </w:p>
    <w:p>
      <w:pPr>
        <w:numPr>
          <w:ilvl w:val="0"/>
          <w:numId w:val="1029"/>
        </w:numPr>
        <w:pStyle w:val="Compact"/>
      </w:pPr>
      <w:r>
        <w:rPr>
          <w:bCs/>
          <w:b/>
        </w:rPr>
        <w:t xml:space="preserve">Mouvements</w:t>
      </w:r>
      <w:r>
        <w:t xml:space="preserve"> </w:t>
      </w:r>
      <w:r>
        <w:t xml:space="preserve">: historique daté des affectations, promotions et changements de fonction.</w:t>
      </w:r>
    </w:p>
    <w:p>
      <w:pPr>
        <w:numPr>
          <w:ilvl w:val="0"/>
          <w:numId w:val="1029"/>
        </w:numPr>
        <w:pStyle w:val="Compact"/>
      </w:pPr>
      <w:r>
        <w:rPr>
          <w:bCs/>
          <w:b/>
        </w:rPr>
        <w:t xml:space="preserve">Fiche de poste</w:t>
      </w:r>
      <w:r>
        <w:t xml:space="preserve"> </w:t>
      </w:r>
      <w:r>
        <w:t xml:space="preserve">rattachée à la fonction, consultable par l’agent et sa hiérarchie.</w:t>
      </w:r>
    </w:p>
    <w:p>
      <w:pPr>
        <w:numPr>
          <w:ilvl w:val="0"/>
          <w:numId w:val="1029"/>
        </w:numPr>
        <w:pStyle w:val="Compact"/>
      </w:pPr>
      <w:r>
        <w:rPr>
          <w:bCs/>
          <w:b/>
        </w:rPr>
        <w:t xml:space="preserve">Alertes RH</w:t>
      </w:r>
      <w:r>
        <w:t xml:space="preserve"> </w:t>
      </w:r>
      <w:r>
        <w:t xml:space="preserve">: fins de contrat, fins de stage, dossiers incomplets.</w:t>
      </w:r>
    </w:p>
    <w:bookmarkEnd w:id="145"/>
    <w:bookmarkStart w:id="146" w:name="a3.2-annuaire"/>
    <w:p>
      <w:pPr>
        <w:pStyle w:val="Heading3"/>
      </w:pPr>
      <w:r>
        <w:t xml:space="preserve">A3.2 Annuaire</w:t>
      </w:r>
    </w:p>
    <w:p>
      <w:pPr>
        <w:pStyle w:val="FirstParagraph"/>
      </w:pPr>
      <w:r>
        <w:t xml:space="preserve">Nom, fonction, unité, contact professionnel, photo ; navigation depuis une représentation interactive de l’organigramme ; accès direct à la messagerie ou à l’assignation d’une tâche depuis une fiche.</w:t>
      </w:r>
      <w:r>
        <w:t xml:space="preserve"> </w:t>
      </w:r>
      <w:r>
        <w:rPr>
          <w:bCs/>
          <w:b/>
        </w:rPr>
        <w:t xml:space="preserve">L’annuaire n’expose aucune donnée du dossier administratif</w:t>
      </w:r>
      <w:r>
        <w:t xml:space="preserve">, et n’est pas accessible aux comptes externes.</w:t>
      </w:r>
    </w:p>
    <w:bookmarkEnd w:id="146"/>
    <w:bookmarkStart w:id="147" w:name="a3.3-types-dabsence"/>
    <w:p>
      <w:pPr>
        <w:pStyle w:val="Heading3"/>
      </w:pPr>
      <w:r>
        <w:t xml:space="preserve">A3.3 Types d’absence</w:t>
      </w:r>
    </w:p>
    <w:p>
      <w:pPr>
        <w:pStyle w:val="FirstParagraph"/>
      </w:pPr>
      <w:r>
        <w:t xml:space="preserve">Chaque type alimente un compteur propre : congé annuel, congé maladie, congé de maternité, congé exceptionnel pour événement familial, mission ou déplacement professionnel, formation, absence autorisée non rémunérée, absence non justifiée. La liste est extensible par paramétrage, sans développement.</w:t>
      </w:r>
    </w:p>
    <w:bookmarkEnd w:id="147"/>
    <w:bookmarkStart w:id="148" w:name="a3.4-fonctionnalités"/>
    <w:p>
      <w:pPr>
        <w:pStyle w:val="Heading3"/>
      </w:pPr>
      <w:r>
        <w:t xml:space="preserve">A3.4 Fonctionnalités</w:t>
      </w:r>
    </w:p>
    <w:p>
      <w:pPr>
        <w:numPr>
          <w:ilvl w:val="0"/>
          <w:numId w:val="1030"/>
        </w:numPr>
        <w:pStyle w:val="Compact"/>
      </w:pPr>
      <w:r>
        <w:t xml:space="preserve">Demande par l’agent, suivant le circuit A6.1.</w:t>
      </w:r>
    </w:p>
    <w:p>
      <w:pPr>
        <w:numPr>
          <w:ilvl w:val="0"/>
          <w:numId w:val="1030"/>
        </w:numPr>
        <w:pStyle w:val="Compact"/>
      </w:pPr>
      <w:r>
        <w:t xml:space="preserve">Calcul et affichage du solde par type, avec règles de gestion paramétrables : droits annuels, report d’une année sur l’autre, jours fériés, décompte en jours ouvrés. Ces règles restent à écrire par les RH (décision D-13).</w:t>
      </w:r>
    </w:p>
    <w:p>
      <w:pPr>
        <w:numPr>
          <w:ilvl w:val="0"/>
          <w:numId w:val="1030"/>
        </w:numPr>
        <w:pStyle w:val="Compact"/>
      </w:pPr>
      <w:r>
        <w:t xml:space="preserve">Dépôt du justificatif, avec accès restreint pour les justificatifs médicaux, objets protégés au sens de la Partie 0, section 3.2.</w:t>
      </w:r>
    </w:p>
    <w:p>
      <w:pPr>
        <w:numPr>
          <w:ilvl w:val="0"/>
          <w:numId w:val="1030"/>
        </w:numPr>
        <w:pStyle w:val="Compact"/>
      </w:pPr>
      <w:r>
        <w:t xml:space="preserve">Planning des absences par unité, visible du chef d’unité et du DRH, affichant le type mais</w:t>
      </w:r>
      <w:r>
        <w:t xml:space="preserve"> </w:t>
      </w:r>
      <w:r>
        <w:rPr>
          <w:bCs/>
          <w:b/>
        </w:rPr>
        <w:t xml:space="preserve">jamais le motif médical</w:t>
      </w:r>
      <w:r>
        <w:t xml:space="preserve">.</w:t>
      </w:r>
    </w:p>
    <w:p>
      <w:pPr>
        <w:numPr>
          <w:ilvl w:val="0"/>
          <w:numId w:val="1030"/>
        </w:numPr>
        <w:pStyle w:val="Compact"/>
      </w:pPr>
      <w:r>
        <w:t xml:space="preserve">Gestion du retour anticipé, de l’annulation et du report ; historique complet par agent.</w:t>
      </w:r>
    </w:p>
    <w:p>
      <w:pPr>
        <w:numPr>
          <w:ilvl w:val="0"/>
          <w:numId w:val="1030"/>
        </w:numPr>
        <w:pStyle w:val="Compact"/>
      </w:pPr>
      <w:r>
        <w:t xml:space="preserve">Les missions alimentent le domaine D5 pour la liquidation des indemnités.</w:t>
      </w:r>
    </w:p>
    <w:bookmarkEnd w:id="148"/>
    <w:bookmarkStart w:id="149" w:name="a3.5-effectifs-et-alertes"/>
    <w:p>
      <w:pPr>
        <w:pStyle w:val="Heading3"/>
      </w:pPr>
      <w:r>
        <w:t xml:space="preserve">A3.5 Effectifs et alertes</w:t>
      </w:r>
    </w:p>
    <w:p>
      <w:pPr>
        <w:pStyle w:val="FirstParagraph"/>
      </w:pPr>
      <w:r>
        <w:t xml:space="preserve">Le module des ressources humaines ne se limite pas au dossier individuel : il donne au DRH la vue d’ensemble dont il a besoin pour piloter.</w:t>
      </w:r>
    </w:p>
    <w:p>
      <w:pPr>
        <w:numPr>
          <w:ilvl w:val="0"/>
          <w:numId w:val="1031"/>
        </w:numPr>
        <w:pStyle w:val="Compact"/>
      </w:pPr>
      <w:r>
        <w:rPr>
          <w:bCs/>
          <w:b/>
        </w:rPr>
        <w:t xml:space="preserve">Effectifs</w:t>
      </w:r>
      <w:r>
        <w:t xml:space="preserve"> </w:t>
      </w:r>
      <w:r>
        <w:t xml:space="preserve">: répartition par unité, par statut, par catégorie, ancienneté moyenne, part des femmes, calculés à partir des dossiers et non saisis.</w:t>
      </w:r>
    </w:p>
    <w:p>
      <w:pPr>
        <w:numPr>
          <w:ilvl w:val="0"/>
          <w:numId w:val="1031"/>
        </w:numPr>
        <w:pStyle w:val="Compact"/>
      </w:pPr>
      <w:r>
        <w:rPr>
          <w:bCs/>
          <w:b/>
        </w:rPr>
        <w:t xml:space="preserve">Alertes et échéances</w:t>
      </w:r>
      <w:r>
        <w:t xml:space="preserve">, produites automatiquement et hiérarchisées : dossier incomplet avec la pièce manquante nommée, fin de contrat à échéance, avancement d’échelon à instruire, fin de stage et attestation à préparer.</w:t>
      </w:r>
    </w:p>
    <w:p>
      <w:pPr>
        <w:numPr>
          <w:ilvl w:val="0"/>
          <w:numId w:val="1031"/>
        </w:numPr>
        <w:pStyle w:val="Compact"/>
      </w:pPr>
      <w:r>
        <w:t xml:space="preserve">Une alerte disparaît lorsque la cause disparaît : enregistrer la pièce manquante depuis le dossier ferme l’alerte correspondante.</w:t>
      </w:r>
    </w:p>
    <w:bookmarkEnd w:id="149"/>
    <w:bookmarkStart w:id="150" w:name="X843b6c5dbd61a7c223b500ab676ac5e93fe2e0d"/>
    <w:p>
      <w:pPr>
        <w:pStyle w:val="Heading3"/>
      </w:pPr>
      <w:r>
        <w:t xml:space="preserve">A3.6 Carrière et actes des ressources humaines</w:t>
      </w:r>
    </w:p>
    <w:p>
      <w:pPr>
        <w:numPr>
          <w:ilvl w:val="0"/>
          <w:numId w:val="1032"/>
        </w:numPr>
        <w:pStyle w:val="Compact"/>
      </w:pPr>
      <w:r>
        <w:rPr>
          <w:bCs/>
          <w:b/>
        </w:rPr>
        <w:t xml:space="preserve">Mouvements de carrière</w:t>
      </w:r>
      <w:r>
        <w:t xml:space="preserve"> </w:t>
      </w:r>
      <w:r>
        <w:t xml:space="preserve">datés : nomination, avancement d’échelon, mutation, promotion, avec le détail du changement et l’acte qui le porte.</w:t>
      </w:r>
    </w:p>
    <w:p>
      <w:pPr>
        <w:numPr>
          <w:ilvl w:val="0"/>
          <w:numId w:val="1032"/>
        </w:numPr>
        <w:pStyle w:val="Compact"/>
      </w:pPr>
      <w:r>
        <w:rPr>
          <w:bCs/>
          <w:b/>
        </w:rPr>
        <w:t xml:space="preserve">Instruction d’un mouvement</w:t>
      </w:r>
      <w:r>
        <w:t xml:space="preserve"> </w:t>
      </w:r>
      <w:r>
        <w:t xml:space="preserve">: l’acte prend le numéro suivant de sa séquence, le dossier agent est mis à jour, la grille de rémunération l’est également, le mouvement est inscrit et la Direction notifiée. Un avancement d’échelon instruit côté RH se retrouve immédiatement dans la paie : les deux modules partagent le même agent, identifié par son matricule.</w:t>
      </w:r>
    </w:p>
    <w:p>
      <w:pPr>
        <w:numPr>
          <w:ilvl w:val="0"/>
          <w:numId w:val="1032"/>
        </w:numPr>
        <w:pStyle w:val="Compact"/>
      </w:pPr>
      <w:r>
        <w:rPr>
          <w:bCs/>
          <w:b/>
        </w:rPr>
        <w:t xml:space="preserve">Familles d’actes</w:t>
      </w:r>
      <w:r>
        <w:t xml:space="preserve"> </w:t>
      </w:r>
      <w:r>
        <w:t xml:space="preserve">tenues par les RH, chacune avec sa séquence et son signataire : arrêté d’affectation, décision de nomination, décision d’avancement, attestation de travail, attestation de stage, décision de fin de contrat.</w:t>
      </w:r>
    </w:p>
    <w:p>
      <w:pPr>
        <w:numPr>
          <w:ilvl w:val="0"/>
          <w:numId w:val="1032"/>
        </w:numPr>
        <w:pStyle w:val="Compact"/>
      </w:pPr>
      <w:r>
        <w:rPr>
          <w:bCs/>
          <w:b/>
        </w:rPr>
        <w:t xml:space="preserve">Fiche de poste</w:t>
      </w:r>
      <w:r>
        <w:t xml:space="preserve"> </w:t>
      </w:r>
      <w:r>
        <w:t xml:space="preserve">rattachée à la fonction et non à la personne, consultable par l’agent et par sa hiérarchie.</w:t>
      </w:r>
    </w:p>
    <w:p>
      <w:pPr>
        <w:numPr>
          <w:ilvl w:val="0"/>
          <w:numId w:val="1032"/>
        </w:numPr>
        <w:pStyle w:val="Compact"/>
      </w:pPr>
      <w:r>
        <w:rPr>
          <w:bCs/>
          <w:b/>
        </w:rPr>
        <w:t xml:space="preserve">Plan de formation</w:t>
      </w:r>
      <w:r>
        <w:t xml:space="preserve"> </w:t>
      </w:r>
      <w:r>
        <w:t xml:space="preserve">et besoins exprimés par les divisions, avec leur priorité et leur origine.</w:t>
      </w:r>
    </w:p>
    <w:bookmarkEnd w:id="150"/>
    <w:bookmarkEnd w:id="151"/>
    <w:bookmarkStart w:id="161" w:name="X8b810703361a7cd0d08913acf8662ce2fbbf7a8"/>
    <w:p>
      <w:pPr>
        <w:pStyle w:val="Heading2"/>
      </w:pPr>
      <w:r>
        <w:t xml:space="preserve">A4. Rémunération, finances et instructions de la Direction</w:t>
      </w:r>
    </w:p>
    <w:p>
      <w:pPr>
        <w:pStyle w:val="FirstParagraph"/>
      </w:pPr>
      <w:r>
        <w:t xml:space="preserve">Volet le plus sensible du produit, placé au lot 5 pour cette raison.</w:t>
      </w:r>
    </w:p>
    <w:bookmarkStart w:id="152" w:name="a4.1-portée"/>
    <w:p>
      <w:pPr>
        <w:pStyle w:val="Heading3"/>
      </w:pPr>
      <w:r>
        <w:t xml:space="preserve">A4.1 Portée</w:t>
      </w:r>
    </w:p>
    <w:p>
      <w:pPr>
        <w:pStyle w:val="FirstParagraph"/>
      </w:pPr>
      <w:r>
        <w:t xml:space="preserve">Le produit</w:t>
      </w:r>
      <w:r>
        <w:t xml:space="preserve"> </w:t>
      </w:r>
      <w:r>
        <w:rPr>
          <w:bCs/>
          <w:b/>
        </w:rPr>
        <w:t xml:space="preserve">ne produit pas la paie</w:t>
      </w:r>
      <w:r>
        <w:t xml:space="preserve"> </w:t>
      </w:r>
      <w:r>
        <w:t xml:space="preserve">des agents pris en charge par la chaîne Solde du ministère : pour eux, il met à disposition le bulletin produit en amont et en tient l’historique. Le calcul n’est assuré que pour les agents rémunérés directement par la Direction — contractuels, vacataires, stagiaires indemnisés, personnels sur financement de projet — et uniquement selon des règles écrites et validées par le SAF. La répartition exacte de l’effectif par statut conditionne la nature de ce volet et reste à fournir (Partie 0, section 14.3).</w:t>
      </w:r>
    </w:p>
    <w:bookmarkEnd w:id="152"/>
    <w:bookmarkStart w:id="153" w:name="a4.2-campagne-de-paie"/>
    <w:p>
      <w:pPr>
        <w:pStyle w:val="Heading3"/>
      </w:pPr>
      <w:r>
        <w:t xml:space="preserve">A4.2 Campagne de paie</w:t>
      </w:r>
    </w:p>
    <w:p>
      <w:pPr>
        <w:pStyle w:val="FirstParagraph"/>
      </w:pPr>
      <w:r>
        <w:t xml:space="preserve">Création mensuelle par le gestionnaire SAF, sélection des agents concernés, saisie ou import des éléments variables (primes, indemnités de mission, retenues), contrôle, soumission à validation, publication. L’autorité de validation reste à trancher (décision D-20).</w:t>
      </w:r>
    </w:p>
    <w:bookmarkEnd w:id="153"/>
    <w:bookmarkStart w:id="154" w:name="a4.3-bulletin"/>
    <w:p>
      <w:pPr>
        <w:pStyle w:val="Heading3"/>
      </w:pPr>
      <w:r>
        <w:t xml:space="preserve">A4.3 Bulletin</w:t>
      </w:r>
    </w:p>
    <w:p>
      <w:pPr>
        <w:numPr>
          <w:ilvl w:val="0"/>
          <w:numId w:val="1033"/>
        </w:numPr>
        <w:pStyle w:val="Compact"/>
      </w:pPr>
      <w:r>
        <w:t xml:space="preserve">Document</w:t>
      </w:r>
      <w:r>
        <w:t xml:space="preserve"> </w:t>
      </w:r>
      <w:r>
        <w:rPr>
          <w:bCs/>
          <w:b/>
        </w:rPr>
        <w:t xml:space="preserve">figé au moment de la publication</w:t>
      </w:r>
      <w:r>
        <w:t xml:space="preserve">, numéroté et horodaté, non modifiable. Toute correction donne lieu à un</w:t>
      </w:r>
      <w:r>
        <w:t xml:space="preserve"> </w:t>
      </w:r>
      <w:r>
        <w:rPr>
          <w:bCs/>
          <w:b/>
        </w:rPr>
        <w:t xml:space="preserve">bulletin rectificatif</w:t>
      </w:r>
      <w:r>
        <w:t xml:space="preserve"> </w:t>
      </w:r>
      <w:r>
        <w:t xml:space="preserve">référençant l’original ; toute réimpression porte la mention « duplicata ».</w:t>
      </w:r>
    </w:p>
    <w:p>
      <w:pPr>
        <w:numPr>
          <w:ilvl w:val="0"/>
          <w:numId w:val="1033"/>
        </w:numPr>
        <w:pStyle w:val="Compact"/>
      </w:pPr>
      <w:r>
        <w:rPr>
          <w:bCs/>
          <w:b/>
        </w:rPr>
        <w:t xml:space="preserve">Cloisonnement strict</w:t>
      </w:r>
      <w:r>
        <w:t xml:space="preserve"> </w:t>
      </w:r>
      <w:r>
        <w:t xml:space="preserve">: la liste des bulletins accessible à un agent ne contient que ses propres bulletins. Le filtrage s’opère côté serveur sur l’identité du compte connecté, jamais par un filtre d’affichage sur une liste commune.</w:t>
      </w:r>
    </w:p>
    <w:p>
      <w:pPr>
        <w:numPr>
          <w:ilvl w:val="0"/>
          <w:numId w:val="1033"/>
        </w:numPr>
        <w:pStyle w:val="Compact"/>
      </w:pPr>
      <w:r>
        <w:rPr>
          <w:bCs/>
          <w:b/>
        </w:rPr>
        <w:t xml:space="preserve">Mise à disposition</w:t>
      </w:r>
      <w:r>
        <w:t xml:space="preserve"> </w:t>
      </w:r>
      <w:r>
        <w:t xml:space="preserve">: notification individuelle de disponibilité, consultation, téléchargement et impression par l’agent ; accusé de consultation horodaté visible du SAF.</w:t>
      </w:r>
    </w:p>
    <w:p>
      <w:pPr>
        <w:numPr>
          <w:ilvl w:val="0"/>
          <w:numId w:val="1033"/>
        </w:numPr>
        <w:pStyle w:val="Compact"/>
      </w:pPr>
      <w:r>
        <w:rPr>
          <w:bCs/>
          <w:b/>
        </w:rPr>
        <w:t xml:space="preserve">Aucun envoi de bulletin en pièce jointe</w:t>
      </w:r>
      <w:r>
        <w:t xml:space="preserve"> </w:t>
      </w:r>
      <w:r>
        <w:t xml:space="preserve">d’un courriel ou d’un message. La notification annonce la disponibilité ; la consultation se fait dans le produit.</w:t>
      </w:r>
    </w:p>
    <w:p>
      <w:pPr>
        <w:numPr>
          <w:ilvl w:val="0"/>
          <w:numId w:val="1033"/>
        </w:numPr>
        <w:pStyle w:val="Compact"/>
      </w:pPr>
      <w:r>
        <w:rPr>
          <w:bCs/>
          <w:b/>
        </w:rPr>
        <w:t xml:space="preserve">Impression assistée</w:t>
      </w:r>
      <w:r>
        <w:t xml:space="preserve"> </w:t>
      </w:r>
      <w:r>
        <w:t xml:space="preserve">pour les agents sans compte ou sans accès informatique, l’opération étant journalisée avec l’identité de l’agent SAF qui l’a effectuée.</w:t>
      </w:r>
    </w:p>
    <w:p>
      <w:pPr>
        <w:numPr>
          <w:ilvl w:val="0"/>
          <w:numId w:val="1033"/>
        </w:numPr>
        <w:pStyle w:val="Compact"/>
      </w:pPr>
      <w:r>
        <w:rPr>
          <w:bCs/>
          <w:b/>
        </w:rPr>
        <w:t xml:space="preserve">Attestations</w:t>
      </w:r>
      <w:r>
        <w:t xml:space="preserve"> </w:t>
      </w:r>
      <w:r>
        <w:t xml:space="preserve">de salaire et de travail générées à partir des données existantes et soumises à validation.</w:t>
      </w:r>
    </w:p>
    <w:p>
      <w:pPr>
        <w:numPr>
          <w:ilvl w:val="0"/>
          <w:numId w:val="1033"/>
        </w:numPr>
        <w:pStyle w:val="Compact"/>
      </w:pPr>
      <w:r>
        <w:rPr>
          <w:bCs/>
          <w:b/>
        </w:rPr>
        <w:t xml:space="preserve">Historique</w:t>
      </w:r>
      <w:r>
        <w:t xml:space="preserve"> </w:t>
      </w:r>
      <w:r>
        <w:t xml:space="preserve">consultable par l’agent sur la durée de conservation prévue.</w:t>
      </w:r>
    </w:p>
    <w:bookmarkEnd w:id="154"/>
    <w:bookmarkStart w:id="155" w:name="a4.4-instructions-de-la-direction"/>
    <w:p>
      <w:pPr>
        <w:pStyle w:val="Heading3"/>
      </w:pPr>
      <w:r>
        <w:t xml:space="preserve">A4.4 Instructions de la Direction</w:t>
      </w:r>
    </w:p>
    <w:p>
      <w:pPr>
        <w:pStyle w:val="FirstParagraph"/>
      </w:pPr>
      <w:r>
        <w:t xml:space="preserve">Objet créé pour donner une forme tracée aux décisions individuelles qui transitent aujourd’hui par la voie orale ou par message.</w:t>
      </w:r>
    </w:p>
    <w:p>
      <w:pPr>
        <w:numPr>
          <w:ilvl w:val="0"/>
          <w:numId w:val="1034"/>
        </w:numPr>
        <w:pStyle w:val="Compact"/>
      </w:pPr>
      <w:r>
        <w:rPr>
          <w:bCs/>
          <w:b/>
        </w:rPr>
        <w:t xml:space="preserve">Émetteur</w:t>
      </w:r>
      <w:r>
        <w:t xml:space="preserve"> </w:t>
      </w:r>
      <w:r>
        <w:t xml:space="preserve">: DN ou DNA exclusivement, pour toute nature à effet financier ou statutaire.</w:t>
      </w:r>
    </w:p>
    <w:p>
      <w:pPr>
        <w:numPr>
          <w:ilvl w:val="0"/>
          <w:numId w:val="1034"/>
        </w:numPr>
        <w:pStyle w:val="Compact"/>
      </w:pPr>
      <w:r>
        <w:rPr>
          <w:bCs/>
          <w:b/>
        </w:rPr>
        <w:t xml:space="preserve">Champs</w:t>
      </w:r>
      <w:r>
        <w:t xml:space="preserve"> </w:t>
      </w:r>
      <w:r>
        <w:t xml:space="preserve">: destinataire (SAF, RH, chef d’unité), nature (augmentation, prime, indemnité, mission, avance, recrutement, affectation, autre), agents concernés sélectionnés dans le référentiel, montant ou taux, date d’effet, durée, pièce jointe justificative, motivation.</w:t>
      </w:r>
    </w:p>
    <w:p>
      <w:pPr>
        <w:numPr>
          <w:ilvl w:val="0"/>
          <w:numId w:val="1034"/>
        </w:numPr>
        <w:pStyle w:val="Compact"/>
      </w:pPr>
      <w:r>
        <w:rPr>
          <w:bCs/>
          <w:b/>
        </w:rPr>
        <w:t xml:space="preserve">Statuts</w:t>
      </w:r>
      <w:r>
        <w:t xml:space="preserve"> </w:t>
      </w:r>
      <w:r>
        <w:t xml:space="preserve">: Émise → Reçue → Prise en compte → Exécutée, avec référence de la campagne de paie ou de l’acte correspondant → Classée ; ou Rejetée avec motif obligatoire.</w:t>
      </w:r>
    </w:p>
    <w:p>
      <w:pPr>
        <w:numPr>
          <w:ilvl w:val="0"/>
          <w:numId w:val="1034"/>
        </w:numPr>
        <w:pStyle w:val="Compact"/>
      </w:pPr>
      <w:r>
        <w:rPr>
          <w:bCs/>
          <w:b/>
        </w:rPr>
        <w:t xml:space="preserve">Exécution</w:t>
      </w:r>
      <w:r>
        <w:t xml:space="preserve"> </w:t>
      </w:r>
      <w:r>
        <w:t xml:space="preserve">: une instruction financière exécutée alimente la campagne de paie suivante</w:t>
      </w:r>
      <w:r>
        <w:t xml:space="preserve"> </w:t>
      </w:r>
      <w:r>
        <w:rPr>
          <w:bCs/>
          <w:b/>
        </w:rPr>
        <w:t xml:space="preserve">sous forme de proposition</w:t>
      </w:r>
      <w:r>
        <w:t xml:space="preserve">, que le gestionnaire SAF valide. Elle ne s’applique jamais automatiquement.</w:t>
      </w:r>
    </w:p>
    <w:p>
      <w:pPr>
        <w:numPr>
          <w:ilvl w:val="0"/>
          <w:numId w:val="1034"/>
        </w:numPr>
        <w:pStyle w:val="Compact"/>
      </w:pPr>
      <w:r>
        <w:rPr>
          <w:bCs/>
          <w:b/>
        </w:rPr>
        <w:t xml:space="preserve">Visibilité</w:t>
      </w:r>
      <w:r>
        <w:t xml:space="preserve"> </w:t>
      </w:r>
      <w:r>
        <w:t xml:space="preserve">: l’agent concerné ne voit pas l’instruction tant qu’elle n’est pas exécutée ; il en constate l’effet sur son bulletin ou son dossier.</w:t>
      </w:r>
    </w:p>
    <w:p>
      <w:pPr>
        <w:numPr>
          <w:ilvl w:val="0"/>
          <w:numId w:val="1034"/>
        </w:numPr>
        <w:pStyle w:val="Compact"/>
      </w:pPr>
      <w:r>
        <w:rPr>
          <w:bCs/>
          <w:b/>
        </w:rPr>
        <w:t xml:space="preserve">Suivi</w:t>
      </w:r>
      <w:r>
        <w:t xml:space="preserve"> </w:t>
      </w:r>
      <w:r>
        <w:t xml:space="preserve">: le tableau de bord du DN affiche en permanence les instructions émises et non exécutées, avec leur ancienneté.</w:t>
      </w:r>
    </w:p>
    <w:p>
      <w:pPr>
        <w:numPr>
          <w:ilvl w:val="0"/>
          <w:numId w:val="1034"/>
        </w:numPr>
        <w:pStyle w:val="Compact"/>
      </w:pPr>
      <w:r>
        <w:rPr>
          <w:bCs/>
          <w:b/>
        </w:rPr>
        <w:t xml:space="preserve">Seuil de formalisation</w:t>
      </w:r>
      <w:r>
        <w:t xml:space="preserve"> </w:t>
      </w:r>
      <w:r>
        <w:t xml:space="preserve">: au-delà d’un montant à fixer par la Direction (décision D-21), une pièce signée doit être jointe pour le passage au statut Exécutée.</w:t>
      </w:r>
    </w:p>
    <w:bookmarkEnd w:id="155"/>
    <w:bookmarkStart w:id="156" w:name="a4.5-éléments-de-rémunération"/>
    <w:p>
      <w:pPr>
        <w:pStyle w:val="Heading3"/>
      </w:pPr>
      <w:r>
        <w:t xml:space="preserve">A4.5 Éléments de rémunération</w:t>
      </w:r>
    </w:p>
    <w:p>
      <w:pPr>
        <w:pStyle w:val="FirstParagraph"/>
      </w:pPr>
      <w:r>
        <w:t xml:space="preserve">Le SAF tient la grille des éléments fixes — salaire de base, indemnités détaillées, retenues — et les éléments variables du mois. Toute modification d’un élément fixe suppose un acte : instruction de la Direction, décision d’avancement ou acte de la Fonction publique.</w:t>
      </w:r>
      <w:r>
        <w:t xml:space="preserve"> </w:t>
      </w:r>
      <w:r>
        <w:rPr>
          <w:bCs/>
          <w:b/>
        </w:rPr>
        <w:t xml:space="preserve">Le SAF ne modifie pas une grille sans pièce.</w:t>
      </w:r>
    </w:p>
    <w:p>
      <w:pPr>
        <w:pStyle w:val="BodyText"/>
      </w:pPr>
      <w:r>
        <w:t xml:space="preserve">Les éléments variables proposés par une instruction de la Direction apparaissent à l’état « proposé » : le gestionnaire les valide ou les écarte un par un avant intégration à la campagne.</w:t>
      </w:r>
    </w:p>
    <w:bookmarkEnd w:id="156"/>
    <w:bookmarkStart w:id="157" w:name="a4.6-ordres-de-paiement"/>
    <w:p>
      <w:pPr>
        <w:pStyle w:val="Heading3"/>
      </w:pPr>
      <w:r>
        <w:t xml:space="preserve">A4.6 Ordres de paiement</w:t>
      </w:r>
    </w:p>
    <w:p>
      <w:pPr>
        <w:numPr>
          <w:ilvl w:val="0"/>
          <w:numId w:val="1035"/>
        </w:numPr>
        <w:pStyle w:val="Compact"/>
      </w:pPr>
      <w:r>
        <w:t xml:space="preserve">Objet, bénéficiaire, montant, mode de règlement, pièce justificative, imputation budgétaire.</w:t>
      </w:r>
    </w:p>
    <w:p>
      <w:pPr>
        <w:numPr>
          <w:ilvl w:val="0"/>
          <w:numId w:val="1035"/>
        </w:numPr>
        <w:pStyle w:val="Compact"/>
      </w:pPr>
      <w:r>
        <w:t xml:space="preserve">Circuit</w:t>
      </w:r>
      <w:r>
        <w:t xml:space="preserve"> </w:t>
      </w:r>
      <w:r>
        <w:rPr>
          <w:bCs/>
          <w:b/>
        </w:rPr>
        <w:t xml:space="preserve">Émis → Visé → Payé</w:t>
      </w:r>
      <w:r>
        <w:t xml:space="preserve">. Le visa relève du chef du service et rappelle la pièce jointe ; au-delà du seuil de la décision D-21, une pièce signée est exigée.</w:t>
      </w:r>
    </w:p>
    <w:p>
      <w:pPr>
        <w:numPr>
          <w:ilvl w:val="0"/>
          <w:numId w:val="1035"/>
        </w:numPr>
        <w:pStyle w:val="Compact"/>
      </w:pPr>
      <w:r>
        <w:t xml:space="preserve">Aucun ordre ne peut être visé sans pièce justificative rattachée.</w:t>
      </w:r>
    </w:p>
    <w:bookmarkEnd w:id="157"/>
    <w:bookmarkStart w:id="158" w:name="a4.7-missions-et-indemnités"/>
    <w:p>
      <w:pPr>
        <w:pStyle w:val="Heading3"/>
      </w:pPr>
      <w:r>
        <w:t xml:space="preserve">A4.7 Missions et indemnités</w:t>
      </w:r>
    </w:p>
    <w:p>
      <w:pPr>
        <w:pStyle w:val="FirstParagraph"/>
      </w:pPr>
      <w:r>
        <w:t xml:space="preserve">Une mission validée au circuit des absences alimente la liste des missions à liquider : c’est le point de jonction entre le domaine du personnel et celui du SAF. La liquidation calcule l’indemnité à partir de la durée et du taux journalier, crée l’ordre de paiement correspondant et le rattache à l’ordre de mission.</w:t>
      </w:r>
    </w:p>
    <w:bookmarkEnd w:id="158"/>
    <w:bookmarkStart w:id="159" w:name="a4.8-suivi-budgétaire-de-gestion"/>
    <w:p>
      <w:pPr>
        <w:pStyle w:val="Heading3"/>
      </w:pPr>
      <w:r>
        <w:t xml:space="preserve">A4.8 Suivi budgétaire de gestion</w:t>
      </w:r>
    </w:p>
    <w:p>
      <w:pPr>
        <w:pStyle w:val="FirstParagraph"/>
      </w:pPr>
      <w:r>
        <w:t xml:space="preserve">Lignes budgétaires avec dotation notifiée, engagements, paiements, disponible et taux de consommation.</w:t>
      </w:r>
      <w:r>
        <w:t xml:space="preserve"> </w:t>
      </w:r>
      <w:r>
        <w:rPr>
          <w:bCs/>
          <w:b/>
        </w:rPr>
        <w:t xml:space="preserve">Ce suivi ne se substitue pas à la chaîne budgétaire du ministère</w:t>
      </w:r>
      <w:r>
        <w:t xml:space="preserve"> </w:t>
      </w:r>
      <w:r>
        <w:t xml:space="preserve">: il reflète les dotations notifiées à la Direction et les engagements du service.</w:t>
      </w:r>
    </w:p>
    <w:p>
      <w:pPr>
        <w:pStyle w:val="BodyText"/>
      </w:pPr>
      <w:r>
        <w:rPr>
          <w:bCs/>
          <w:b/>
        </w:rPr>
        <w:t xml:space="preserve">Alimentation.</w:t>
      </w:r>
      <w:r>
        <w:t xml:space="preserve"> </w:t>
      </w:r>
      <w:r>
        <w:t xml:space="preserve">Trois sources, et trois seulement : la</w:t>
      </w:r>
      <w:r>
        <w:t xml:space="preserve"> </w:t>
      </w:r>
      <w:r>
        <w:rPr>
          <w:bCs/>
          <w:b/>
        </w:rPr>
        <w:t xml:space="preserve">dotation notifiée</w:t>
      </w:r>
      <w:r>
        <w:t xml:space="preserve"> </w:t>
      </w:r>
      <w:r>
        <w:t xml:space="preserve">est saisie par le chef du SAF à la notification et à chaque modification, avec la référence de l’acte ; les</w:t>
      </w:r>
      <w:r>
        <w:t xml:space="preserve"> </w:t>
      </w:r>
      <w:r>
        <w:rPr>
          <w:bCs/>
          <w:b/>
        </w:rPr>
        <w:t xml:space="preserve">engagements</w:t>
      </w:r>
      <w:r>
        <w:t xml:space="preserve"> </w:t>
      </w:r>
      <w:r>
        <w:t xml:space="preserve">proviennent des ordres de paiement de la plateforme et, pour les dépenses engagées hors plateforme, d’un import périodique au format normalisé décrit en section B12.3 ; les</w:t>
      </w:r>
      <w:r>
        <w:t xml:space="preserve"> </w:t>
      </w:r>
      <w:r>
        <w:rPr>
          <w:bCs/>
          <w:b/>
        </w:rPr>
        <w:t xml:space="preserve">paiements</w:t>
      </w:r>
      <w:r>
        <w:t xml:space="preserve"> </w:t>
      </w:r>
      <w:r>
        <w:t xml:space="preserve">sont constatés dans la plateforme. L’origine de chaque ligne — saisie, ordre interne, import — est tracée et affichée. En l’absence d’interface avec la chaîne budgétaire du ministère, l’écart entre le suivi de gestion et l’exécution officielle est rapproché manuellement, à une périodicité fixée par le chef du SAF.</w:t>
      </w:r>
    </w:p>
    <w:p>
      <w:pPr>
        <w:pStyle w:val="BodyText"/>
      </w:pPr>
      <w:r>
        <w:t xml:space="preserve">Son extension éventuelle à l’exécution budgétaire proprement dite fait l’objet de la décision D-30 et emporterait révision du chiffrage du lot 5.</w:t>
      </w:r>
    </w:p>
    <w:bookmarkEnd w:id="159"/>
    <w:bookmarkStart w:id="160" w:name="a4.9-états-financiers"/>
    <w:p>
      <w:pPr>
        <w:pStyle w:val="Heading3"/>
      </w:pPr>
      <w:r>
        <w:t xml:space="preserve">A4.9 États financiers</w:t>
      </w:r>
    </w:p>
    <w:p>
      <w:pPr>
        <w:pStyle w:val="FirstParagraph"/>
      </w:pPr>
      <w:r>
        <w:t xml:space="preserve">Quatre états produits à partir des données de gestion, sans ressaisie, sur le papier à en-tête de la Direction :</w:t>
      </w:r>
      <w:r>
        <w:t xml:space="preserve"> </w:t>
      </w:r>
      <w:r>
        <w:rPr>
          <w:bCs/>
          <w:b/>
        </w:rPr>
        <w:t xml:space="preserve">état d’exécution budgétaire</w:t>
      </w:r>
      <w:r>
        <w:t xml:space="preserve">,</w:t>
      </w:r>
      <w:r>
        <w:t xml:space="preserve"> </w:t>
      </w:r>
      <w:r>
        <w:rPr>
          <w:bCs/>
          <w:b/>
        </w:rPr>
        <w:t xml:space="preserve">état de la masse salariale</w:t>
      </w:r>
      <w:r>
        <w:t xml:space="preserve">,</w:t>
      </w:r>
      <w:r>
        <w:t xml:space="preserve"> </w:t>
      </w:r>
      <w:r>
        <w:rPr>
          <w:bCs/>
          <w:b/>
        </w:rPr>
        <w:t xml:space="preserve">état des paiements</w:t>
      </w:r>
      <w:r>
        <w:t xml:space="preserve">,</w:t>
      </w:r>
      <w:r>
        <w:t xml:space="preserve"> </w:t>
      </w:r>
      <w:r>
        <w:rPr>
          <w:bCs/>
          <w:b/>
        </w:rPr>
        <w:t xml:space="preserve">situation de trésorerie</w:t>
      </w:r>
      <w:r>
        <w:t xml:space="preserve">. Chacun comporte une synthèse rédigée à partir des chiffres, le détail tabulé et une section de points d’attention. Ils s’impriment, s’exportent en Word, se déposent en GED et se transmettent à la Direction par la messagerie (section A2.6).</w:t>
      </w:r>
    </w:p>
    <w:bookmarkEnd w:id="160"/>
    <w:bookmarkEnd w:id="161"/>
    <w:bookmarkStart w:id="170" w:name="a5.-stages-courrier-et-logistique"/>
    <w:p>
      <w:pPr>
        <w:pStyle w:val="Heading2"/>
      </w:pPr>
      <w:r>
        <w:t xml:space="preserve">A5. Stages, courrier et logistique</w:t>
      </w:r>
    </w:p>
    <w:bookmarkStart w:id="162" w:name="a5.1-principe-de-la-rotation"/>
    <w:p>
      <w:pPr>
        <w:pStyle w:val="Heading3"/>
      </w:pPr>
      <w:r>
        <w:t xml:space="preserve">A5.1 Principe de la rotation</w:t>
      </w:r>
    </w:p>
    <w:p>
      <w:pPr>
        <w:pStyle w:val="FirstParagraph"/>
      </w:pPr>
      <w:r>
        <w:t xml:space="preserve">Un stagiaire accueilli à la DNPEC n’est pas affecté à une seule division : il effectue une</w:t>
      </w:r>
      <w:r>
        <w:t xml:space="preserve"> </w:t>
      </w:r>
      <w:r>
        <w:rPr>
          <w:bCs/>
          <w:b/>
        </w:rPr>
        <w:t xml:space="preserve">rotation</w:t>
      </w:r>
      <w:r>
        <w:t xml:space="preserve"> </w:t>
      </w:r>
      <w:r>
        <w:t xml:space="preserve">entre les divisions, à raison de dix jours ouvrables par division, selon un plan établi par le DRH dès son arrivée. Sur un stage de trois mois, cinq divisions à dix jours ouvrables représentent cinquante jours, soit environ dix semaines, les deux dernières étant consacrées à la rédaction du rapport et à sa validation.</w:t>
      </w:r>
    </w:p>
    <w:p>
      <w:pPr>
        <w:pStyle w:val="BodyText"/>
      </w:pPr>
      <w:r>
        <w:t xml:space="preserve">La durée par unité, l’ordre des unités et le nombre de rotations sont</w:t>
      </w:r>
      <w:r>
        <w:t xml:space="preserve"> </w:t>
      </w:r>
      <w:r>
        <w:rPr>
          <w:bCs/>
          <w:b/>
        </w:rPr>
        <w:t xml:space="preserve">paramétrables</w:t>
      </w:r>
      <w:r>
        <w:t xml:space="preserve"> </w:t>
      </w:r>
      <w:r>
        <w:t xml:space="preserve">: le plan n’est jamais codé en dur, de manière à absorber un stage plus court, un parcours limité à certaines divisions ou l’ajout d’une cellule.</w:t>
      </w:r>
    </w:p>
    <w:bookmarkEnd w:id="162"/>
    <w:bookmarkStart w:id="166" w:name="a5.2-fonctionnalités-de-stage"/>
    <w:p>
      <w:pPr>
        <w:pStyle w:val="Heading3"/>
      </w:pPr>
      <w:r>
        <w:t xml:space="preserve">A5.2 Fonctionnalités de stage</w:t>
      </w:r>
    </w:p>
    <w:p>
      <w:pPr>
        <w:numPr>
          <w:ilvl w:val="0"/>
          <w:numId w:val="1036"/>
        </w:numPr>
        <w:pStyle w:val="Compact"/>
      </w:pPr>
      <w:r>
        <w:t xml:space="preserve">Demande de stage enregistrée avec ses pièces : lettre, convention, assurance.</w:t>
      </w:r>
    </w:p>
    <w:p>
      <w:pPr>
        <w:numPr>
          <w:ilvl w:val="0"/>
          <w:numId w:val="1036"/>
        </w:numPr>
        <w:pStyle w:val="Compact"/>
      </w:pPr>
      <w:r>
        <w:t xml:space="preserve">Décision d’accueil et création automatique d’un compte stagiaire à durée déterminée.</w:t>
      </w:r>
    </w:p>
    <w:p>
      <w:pPr>
        <w:numPr>
          <w:ilvl w:val="0"/>
          <w:numId w:val="1036"/>
        </w:numPr>
        <w:pStyle w:val="Compact"/>
      </w:pPr>
      <w:r>
        <w:rPr>
          <w:bCs/>
          <w:b/>
        </w:rPr>
        <w:t xml:space="preserve">Plan de rotation</w:t>
      </w:r>
      <w:r>
        <w:t xml:space="preserve"> </w:t>
      </w:r>
      <w:r>
        <w:t xml:space="preserve">par le DRH : liste ordonnée des unités, durée en jours ouvrables, dates calculées automatiquement sur le calendrier des jours ouvrables et fériés.</w:t>
      </w:r>
    </w:p>
    <w:p>
      <w:pPr>
        <w:numPr>
          <w:ilvl w:val="0"/>
          <w:numId w:val="1036"/>
        </w:numPr>
        <w:pStyle w:val="Compact"/>
      </w:pPr>
      <w:r>
        <w:rPr>
          <w:bCs/>
          <w:b/>
        </w:rPr>
        <w:t xml:space="preserve">Encadreur de rotation</w:t>
      </w:r>
      <w:r>
        <w:t xml:space="preserve"> </w:t>
      </w:r>
      <w:r>
        <w:t xml:space="preserve">dans chaque unité d’accueil et</w:t>
      </w:r>
      <w:r>
        <w:t xml:space="preserve"> </w:t>
      </w:r>
      <w:r>
        <w:rPr>
          <w:bCs/>
          <w:b/>
        </w:rPr>
        <w:t xml:space="preserve">encadreur principal</w:t>
      </w:r>
      <w:r>
        <w:t xml:space="preserve"> </w:t>
      </w:r>
      <w:r>
        <w:t xml:space="preserve">pour la durée du stage, qui consolide le parcours et valide le rapport final.</w:t>
      </w:r>
    </w:p>
    <w:p>
      <w:pPr>
        <w:numPr>
          <w:ilvl w:val="0"/>
          <w:numId w:val="1036"/>
        </w:numPr>
        <w:pStyle w:val="Compact"/>
      </w:pPr>
      <w:r>
        <w:rPr>
          <w:bCs/>
          <w:b/>
        </w:rPr>
        <w:t xml:space="preserve">Bascule automatique</w:t>
      </w:r>
      <w:r>
        <w:t xml:space="preserve"> </w:t>
      </w:r>
      <w:r>
        <w:t xml:space="preserve">à l’échéance : la rotation en cours est clôturée et la suivante ouverte, sans saisie manuelle.</w:t>
      </w:r>
    </w:p>
    <w:p>
      <w:pPr>
        <w:numPr>
          <w:ilvl w:val="0"/>
          <w:numId w:val="1036"/>
        </w:numPr>
        <w:pStyle w:val="Compact"/>
      </w:pPr>
      <w:r>
        <w:rPr>
          <w:bCs/>
          <w:b/>
        </w:rPr>
        <w:t xml:space="preserve">Bascule des droits</w:t>
      </w:r>
      <w:r>
        <w:t xml:space="preserve"> </w:t>
      </w:r>
      <w:r>
        <w:t xml:space="preserve">: l’accès documentaire du stagiaire suit l’unité d’accueil ; il conserve l’historique de ses propres travaux.</w:t>
      </w:r>
    </w:p>
    <w:p>
      <w:pPr>
        <w:numPr>
          <w:ilvl w:val="0"/>
          <w:numId w:val="1036"/>
        </w:numPr>
        <w:pStyle w:val="Compact"/>
      </w:pPr>
      <w:r>
        <w:rPr>
          <w:bCs/>
          <w:b/>
        </w:rPr>
        <w:t xml:space="preserve">Accusé de réception</w:t>
      </w:r>
      <w:r>
        <w:t xml:space="preserve"> </w:t>
      </w:r>
      <w:r>
        <w:t xml:space="preserve">de l’unité d’accueil attendu sous 24 heures ; à défaut, alerte au DRH.</w:t>
      </w:r>
    </w:p>
    <w:p>
      <w:pPr>
        <w:numPr>
          <w:ilvl w:val="0"/>
          <w:numId w:val="1036"/>
        </w:numPr>
        <w:pStyle w:val="Compact"/>
      </w:pPr>
      <w:r>
        <w:rPr>
          <w:bCs/>
          <w:b/>
        </w:rPr>
        <w:t xml:space="preserve">Fiche d’évaluation de rotation</w:t>
      </w:r>
      <w:r>
        <w:t xml:space="preserve"> </w:t>
      </w:r>
      <w:r>
        <w:t xml:space="preserve">renseignée par l’encadreur de l’unité quittée à chaque fin de période.</w:t>
      </w:r>
    </w:p>
    <w:p>
      <w:pPr>
        <w:numPr>
          <w:ilvl w:val="0"/>
          <w:numId w:val="1036"/>
        </w:numPr>
        <w:pStyle w:val="Compact"/>
      </w:pPr>
      <w:r>
        <w:rPr>
          <w:bCs/>
          <w:b/>
        </w:rPr>
        <w:t xml:space="preserve">Dépôt du rapport de stage</w:t>
      </w:r>
      <w:r>
        <w:t xml:space="preserve">, validation par l’encadreur principal, transmission au DRH.</w:t>
      </w:r>
    </w:p>
    <w:p>
      <w:pPr>
        <w:numPr>
          <w:ilvl w:val="0"/>
          <w:numId w:val="1036"/>
        </w:numPr>
        <w:pStyle w:val="Compact"/>
      </w:pPr>
      <w:r>
        <w:rPr>
          <w:bCs/>
          <w:b/>
        </w:rPr>
        <w:t xml:space="preserve">Attestation de stage</w:t>
      </w:r>
      <w:r>
        <w:t xml:space="preserve"> </w:t>
      </w:r>
      <w:r>
        <w:t xml:space="preserve">générée par le DRH après validation : acte numéroté et daté au sens de la Partie 0, section 7.3, mentionnant la période totale, les unités parcourues et la durée passée dans chacune ; versée au dossier de l’intéressé et à la GED.</w:t>
      </w:r>
    </w:p>
    <w:p>
      <w:pPr>
        <w:numPr>
          <w:ilvl w:val="0"/>
          <w:numId w:val="1036"/>
        </w:numPr>
        <w:pStyle w:val="Compact"/>
      </w:pPr>
      <w:r>
        <w:t xml:space="preserve">Extinction automatique des accès à la date de fin, avec conservation du dossier.</w:t>
      </w:r>
    </w:p>
    <w:p>
      <w:pPr>
        <w:numPr>
          <w:ilvl w:val="0"/>
          <w:numId w:val="1036"/>
        </w:numPr>
        <w:pStyle w:val="Compact"/>
      </w:pPr>
      <w:r>
        <w:rPr>
          <w:bCs/>
          <w:b/>
        </w:rPr>
        <w:t xml:space="preserve">Cas particuliers</w:t>
      </w:r>
      <w:r>
        <w:t xml:space="preserve"> </w:t>
      </w:r>
      <w:r>
        <w:t xml:space="preserve">: absence du stagiaire supérieure à deux jours ouvrables sur une rotation, report ou permutation d’une unité, capacité maximale d’accueil simultané, prolongation ou interruption.</w:t>
      </w:r>
    </w:p>
    <w:p>
      <w:pPr>
        <w:numPr>
          <w:ilvl w:val="0"/>
          <w:numId w:val="1036"/>
        </w:numPr>
        <w:pStyle w:val="Compact"/>
      </w:pPr>
      <w:r>
        <w:rPr>
          <w:bCs/>
          <w:b/>
        </w:rPr>
        <w:t xml:space="preserve">Volet formation</w:t>
      </w:r>
      <w:r>
        <w:t xml:space="preserve"> </w:t>
      </w:r>
      <w:r>
        <w:t xml:space="preserve">: enregistrement des formations suivies, plan de formation annuel, alertes sur les formations planifiées.</w:t>
      </w:r>
    </w:p>
    <w:p>
      <w:pPr>
        <w:pStyle w:val="CaptionedFigure"/>
      </w:pPr>
      <w:r>
        <w:drawing>
          <wp:inline>
            <wp:extent cx="5759999" cy="3702857"/>
            <wp:effectExtent b="0" l="0" r="0" t="0"/>
            <wp:docPr descr="Figure 3 — Plan de rotation des stagiaires, vue du DRH" title="" id="164" name="Picture"/>
            <a:graphic>
              <a:graphicData uri="http://schemas.openxmlformats.org/drawingml/2006/picture">
                <pic:pic>
                  <pic:nvPicPr>
                    <pic:cNvPr descr="media_v2/fig03-rotation.png" id="165" name="Picture"/>
                    <pic:cNvPicPr>
                      <a:picLocks noChangeArrowheads="1" noChangeAspect="1"/>
                    </pic:cNvPicPr>
                  </pic:nvPicPr>
                  <pic:blipFill>
                    <a:blip r:embed="rId163"/>
                    <a:stretch>
                      <a:fillRect/>
                    </a:stretch>
                  </pic:blipFill>
                  <pic:spPr bwMode="auto">
                    <a:xfrm>
                      <a:off x="0" y="0"/>
                      <a:ext cx="5759999" cy="3702857"/>
                    </a:xfrm>
                    <a:prstGeom prst="rect">
                      <a:avLst/>
                    </a:prstGeom>
                    <a:noFill/>
                    <a:ln w="9525">
                      <a:noFill/>
                      <a:headEnd/>
                      <a:tailEnd/>
                    </a:ln>
                  </pic:spPr>
                </pic:pic>
              </a:graphicData>
            </a:graphic>
          </wp:inline>
        </w:drawing>
      </w:r>
    </w:p>
    <w:p>
      <w:pPr>
        <w:pStyle w:val="ImageCaption"/>
      </w:pPr>
      <w:r>
        <w:t xml:space="preserve">Figure 3 — Plan de rotation des stagiaires, vue du DRH</w:t>
      </w:r>
    </w:p>
    <w:p>
      <w:pPr>
        <w:pStyle w:val="BodyText"/>
      </w:pPr>
      <w:r>
        <w:t xml:space="preserve">Lecture de l’écran : le plan complet est visible dès l’enregistrement du stagiaire, chaque rotation portant son unité d’accueil, son encadreur, ses dates calculées et son état. Le DRH est le seul rôle habilité à décaler une rotation ; la bascule ne se reporte jamais d’elle-même.</w:t>
      </w:r>
    </w:p>
    <w:bookmarkEnd w:id="166"/>
    <w:bookmarkStart w:id="167" w:name="a5.3-courrier-et-actes"/>
    <w:p>
      <w:pPr>
        <w:pStyle w:val="Heading3"/>
      </w:pPr>
      <w:r>
        <w:t xml:space="preserve">A5.3 Courrier et actes</w:t>
      </w:r>
    </w:p>
    <w:p>
      <w:pPr>
        <w:numPr>
          <w:ilvl w:val="0"/>
          <w:numId w:val="1037"/>
        </w:numPr>
        <w:pStyle w:val="Compact"/>
      </w:pPr>
      <w:r>
        <w:rPr>
          <w:bCs/>
          <w:b/>
        </w:rPr>
        <w:t xml:space="preserve">Courrier entrant</w:t>
      </w:r>
      <w:r>
        <w:t xml:space="preserve"> </w:t>
      </w:r>
      <w:r>
        <w:t xml:space="preserve">: enregistrement (date, expéditeur, objet, référence, pièce numérisée), imputation par le DN ou le DNA à une unité ou à un agent, avec instruction de traitement et délai.</w:t>
      </w:r>
    </w:p>
    <w:p>
      <w:pPr>
        <w:numPr>
          <w:ilvl w:val="0"/>
          <w:numId w:val="1037"/>
        </w:numPr>
        <w:pStyle w:val="Compact"/>
      </w:pPr>
      <w:r>
        <w:t xml:space="preserve">Suivi jusqu’à la réponse, avec alerte sur les courriers non traités dans le délai.</w:t>
      </w:r>
    </w:p>
    <w:p>
      <w:pPr>
        <w:numPr>
          <w:ilvl w:val="0"/>
          <w:numId w:val="1037"/>
        </w:numPr>
        <w:pStyle w:val="Compact"/>
      </w:pPr>
      <w:r>
        <w:rPr>
          <w:bCs/>
          <w:b/>
        </w:rPr>
        <w:t xml:space="preserve">Courrier sortant</w:t>
      </w:r>
      <w:r>
        <w:t xml:space="preserve"> </w:t>
      </w:r>
      <w:r>
        <w:t xml:space="preserve">: projet, circuit de visa, numérotation, expédition, classement, selon les règles d’acte de la Partie 0, section 7.3.</w:t>
      </w:r>
    </w:p>
    <w:p>
      <w:pPr>
        <w:numPr>
          <w:ilvl w:val="0"/>
          <w:numId w:val="1037"/>
        </w:numPr>
        <w:pStyle w:val="Compact"/>
      </w:pPr>
      <w:r>
        <w:rPr>
          <w:bCs/>
          <w:b/>
        </w:rPr>
        <w:t xml:space="preserve">Notes de service et décisions internes</w:t>
      </w:r>
      <w:r>
        <w:t xml:space="preserve"> </w:t>
      </w:r>
      <w:r>
        <w:t xml:space="preserve">: publication avec accusé de réception individuel.</w:t>
      </w:r>
    </w:p>
    <w:p>
      <w:pPr>
        <w:numPr>
          <w:ilvl w:val="0"/>
          <w:numId w:val="1037"/>
        </w:numPr>
        <w:pStyle w:val="Compact"/>
      </w:pPr>
      <w:r>
        <w:t xml:space="preserve">Registre consultable et exportable.</w:t>
      </w:r>
    </w:p>
    <w:p>
      <w:pPr>
        <w:pStyle w:val="FirstParagraph"/>
      </w:pPr>
      <w:r>
        <w:t xml:space="preserve">Le rattachement de ce domaine au produit ou à un outil ministériel existant reste à trancher (décision D-24).</w:t>
      </w:r>
    </w:p>
    <w:bookmarkEnd w:id="167"/>
    <w:bookmarkStart w:id="168" w:name="a5.4-documents-administratifs-générés"/>
    <w:p>
      <w:pPr>
        <w:pStyle w:val="Heading3"/>
      </w:pPr>
      <w:r>
        <w:t xml:space="preserve">A5.4 Documents administratifs générés</w:t>
      </w:r>
    </w:p>
    <w:p>
      <w:pPr>
        <w:pStyle w:val="FirstParagraph"/>
      </w:pPr>
      <w:r>
        <w:t xml:space="preserve">La plateforme ne se contente pas d’enregistrer : elle</w:t>
      </w:r>
      <w:r>
        <w:t xml:space="preserve"> </w:t>
      </w:r>
      <w:r>
        <w:rPr>
          <w:bCs/>
          <w:b/>
        </w:rPr>
        <w:t xml:space="preserve">produit les documents</w:t>
      </w:r>
      <w:r>
        <w:t xml:space="preserve">, à partir des données déjà saisies, sur le papier à en-tête de la République et de la Direction. Chacun est prévisualisable à l’écran avant impression, exportable en PDF et en Word, déposable en GED et transmissible par la messagerie.</w:t>
      </w:r>
    </w:p>
    <w:tbl>
      <w:tblPr>
        <w:tblStyle w:val="Table"/>
        <w:tblW w:type="dxa" w:w="9354"/>
        <w:tblLayout w:type="fixed"/>
        <w:tblLook w:firstRow="1" w:lastRow="0" w:firstColumn="0" w:lastColumn="0" w:noHBand="0" w:noVBand="0" w:val="0020"/>
        <w:jc w:val="start"/>
      </w:tblPr>
      <w:tblGrid>
        <w:gridCol w:w="2417"/>
        <w:gridCol w:w="3773"/>
        <w:gridCol w:w="3164"/>
      </w:tblGrid>
      <w:tr>
        <w:trPr>
          <w:tblHeader w:val="true"/>
        </w:trPr>
        <w:tc>
          <w:tcPr/>
          <w:p>
            <w:pPr>
              <w:pStyle w:val="Compact"/>
              <w:jc w:val="left"/>
            </w:pPr>
            <w:r>
              <w:t xml:space="preserve">Document</w:t>
            </w:r>
          </w:p>
        </w:tc>
        <w:tc>
          <w:tcPr/>
          <w:p>
            <w:pPr>
              <w:pStyle w:val="Compact"/>
              <w:jc w:val="left"/>
            </w:pPr>
            <w:r>
              <w:t xml:space="preserve">Contenu produit</w:t>
            </w:r>
          </w:p>
        </w:tc>
        <w:tc>
          <w:tcPr/>
          <w:p>
            <w:pPr>
              <w:pStyle w:val="Compact"/>
              <w:jc w:val="left"/>
            </w:pPr>
            <w:r>
              <w:t xml:space="preserve">Particularité</w:t>
            </w:r>
          </w:p>
        </w:tc>
      </w:tr>
      <w:tr>
        <w:tc>
          <w:tcPr/>
          <w:p>
            <w:pPr>
              <w:pStyle w:val="Compact"/>
              <w:jc w:val="left"/>
            </w:pPr>
            <w:r>
              <w:t xml:space="preserve">Bulletin de paie</w:t>
            </w:r>
          </w:p>
        </w:tc>
        <w:tc>
          <w:tcPr/>
          <w:p>
            <w:pPr>
              <w:pStyle w:val="Compact"/>
              <w:jc w:val="left"/>
            </w:pPr>
            <w:r>
              <w:t xml:space="preserve">Employeur, agent, matricule, fonction, prise de service, catégorie et échelon, tableau des gains et des retenues, brut, net</w:t>
            </w:r>
          </w:p>
        </w:tc>
        <w:tc>
          <w:tcPr/>
          <w:p>
            <w:pPr>
              <w:pStyle w:val="Compact"/>
              <w:jc w:val="left"/>
            </w:pPr>
            <w:r>
              <w:t xml:space="preserve">Montant net</w:t>
            </w:r>
            <w:r>
              <w:t xml:space="preserve"> </w:t>
            </w:r>
            <w:r>
              <w:rPr>
                <w:bCs/>
                <w:b/>
              </w:rPr>
              <w:t xml:space="preserve">arrêté en toutes lettres</w:t>
            </w:r>
            <w:r>
              <w:t xml:space="preserve"> </w:t>
            </w:r>
            <w:r>
              <w:t xml:space="preserve">; mention « duplicata » à toute réimpression ; impression assistée journalisée avec l’identité de l’agent du SAF</w:t>
            </w:r>
          </w:p>
        </w:tc>
      </w:tr>
      <w:tr>
        <w:tc>
          <w:tcPr/>
          <w:p>
            <w:pPr>
              <w:pStyle w:val="Compact"/>
              <w:jc w:val="left"/>
            </w:pPr>
            <w:r>
              <w:t xml:space="preserve">Attestation de travail</w:t>
            </w:r>
          </w:p>
        </w:tc>
        <w:tc>
          <w:tcPr/>
          <w:p>
            <w:pPr>
              <w:pStyle w:val="Compact"/>
              <w:jc w:val="left"/>
            </w:pPr>
            <w:r>
              <w:t xml:space="preserve">Formule d’attestation nominative, fonction, unité, date de prise de service, ancienneté, statut et classement</w:t>
            </w:r>
          </w:p>
        </w:tc>
        <w:tc>
          <w:tcPr/>
          <w:p>
            <w:pPr>
              <w:pStyle w:val="Compact"/>
              <w:jc w:val="left"/>
            </w:pPr>
            <w:r>
              <w:t xml:space="preserve">Acte numéroté, signé du DRH</w:t>
            </w:r>
          </w:p>
        </w:tc>
      </w:tr>
      <w:tr>
        <w:tc>
          <w:tcPr/>
          <w:p>
            <w:pPr>
              <w:pStyle w:val="Compact"/>
              <w:jc w:val="left"/>
            </w:pPr>
            <w:r>
              <w:t xml:space="preserve">Attestation de salaire</w:t>
            </w:r>
          </w:p>
        </w:tc>
        <w:tc>
          <w:tcPr/>
          <w:p>
            <w:pPr>
              <w:pStyle w:val="Compact"/>
              <w:jc w:val="left"/>
            </w:pPr>
            <w:r>
              <w:t xml:space="preserve">Idem, plus le brut, les retenues, le net mensuel et le net annuel indicatif</w:t>
            </w:r>
          </w:p>
        </w:tc>
        <w:tc>
          <w:tcPr/>
          <w:p>
            <w:pPr>
              <w:pStyle w:val="Compact"/>
              <w:jc w:val="left"/>
            </w:pPr>
            <w:r>
              <w:t xml:space="preserve">Montant en toutes lettres</w:t>
            </w:r>
          </w:p>
        </w:tc>
      </w:tr>
      <w:tr>
        <w:tc>
          <w:tcPr/>
          <w:p>
            <w:pPr>
              <w:pStyle w:val="Compact"/>
              <w:jc w:val="left"/>
            </w:pPr>
            <w:r>
              <w:t xml:space="preserve">Attestation de stage</w:t>
            </w:r>
          </w:p>
        </w:tc>
        <w:tc>
          <w:tcPr/>
          <w:p>
            <w:pPr>
              <w:pStyle w:val="Compact"/>
              <w:jc w:val="left"/>
            </w:pPr>
            <w:r>
              <w:t xml:space="preserve">Période totale, unités parcourues, durée par unité, appréciation de chaque rotation</w:t>
            </w:r>
          </w:p>
        </w:tc>
        <w:tc>
          <w:tcPr/>
          <w:p>
            <w:pPr>
              <w:pStyle w:val="Compact"/>
              <w:jc w:val="left"/>
            </w:pPr>
            <w:r>
              <w:t xml:space="preserve">Signée du Directeur National (décision D-22)</w:t>
            </w:r>
          </w:p>
        </w:tc>
      </w:tr>
      <w:tr>
        <w:tc>
          <w:tcPr/>
          <w:p>
            <w:pPr>
              <w:pStyle w:val="Compact"/>
              <w:jc w:val="left"/>
            </w:pPr>
            <w:r>
              <w:t xml:space="preserve">Arrêté ou décision</w:t>
            </w:r>
          </w:p>
        </w:tc>
        <w:tc>
          <w:tcPr/>
          <w:p>
            <w:pPr>
              <w:pStyle w:val="Compact"/>
              <w:jc w:val="left"/>
            </w:pPr>
            <w:r>
              <w:t xml:space="preserve">Visas, formule « décide », articles numérotés, date d’effet, article d’exécution et de versement au dossier</w:t>
            </w:r>
          </w:p>
        </w:tc>
        <w:tc>
          <w:tcPr/>
          <w:p>
            <w:pPr>
              <w:pStyle w:val="Compact"/>
              <w:jc w:val="left"/>
            </w:pPr>
            <w:r>
              <w:t xml:space="preserve">Forme réglementaire ; numérotation continue et non réutilisable</w:t>
            </w:r>
          </w:p>
        </w:tc>
      </w:tr>
      <w:tr>
        <w:tc>
          <w:tcPr/>
          <w:p>
            <w:pPr>
              <w:pStyle w:val="Compact"/>
              <w:jc w:val="left"/>
            </w:pPr>
            <w:r>
              <w:t xml:space="preserve">Ordre de mission</w:t>
            </w:r>
          </w:p>
        </w:tc>
        <w:tc>
          <w:tcPr/>
          <w:p>
            <w:pPr>
              <w:pStyle w:val="Compact"/>
              <w:jc w:val="left"/>
            </w:pPr>
            <w:r>
              <w:t xml:space="preserve">Agent, objet, période, indemnité journalière et totale, imputation budgétaire</w:t>
            </w:r>
          </w:p>
        </w:tc>
        <w:tc>
          <w:tcPr/>
          <w:p>
            <w:pPr>
              <w:pStyle w:val="Compact"/>
              <w:jc w:val="left"/>
            </w:pPr>
            <w:r>
              <w:t xml:space="preserve">Montant en toutes lettres ; alimente la liquidation (section A4.7)</w:t>
            </w:r>
          </w:p>
        </w:tc>
      </w:tr>
      <w:tr>
        <w:tc>
          <w:tcPr/>
          <w:p>
            <w:pPr>
              <w:pStyle w:val="Compact"/>
              <w:jc w:val="left"/>
            </w:pPr>
            <w:r>
              <w:t xml:space="preserve">Rapport d’activité</w:t>
            </w:r>
          </w:p>
        </w:tc>
        <w:tc>
          <w:tcPr/>
          <w:p>
            <w:pPr>
              <w:pStyle w:val="Compact"/>
              <w:jc w:val="left"/>
            </w:pPr>
            <w:r>
              <w:t xml:space="preserve">Avancement moyen des activités, tableau par activité, travaux achevés, tâches en retard, décisions de réunion non exécutées</w:t>
            </w:r>
          </w:p>
        </w:tc>
        <w:tc>
          <w:tcPr/>
          <w:p>
            <w:pPr>
              <w:pStyle w:val="Compact"/>
              <w:jc w:val="left"/>
            </w:pPr>
            <w:r>
              <w:t xml:space="preserve">Construit à partir des activités et des tâches, jamais ressaisi</w:t>
            </w:r>
          </w:p>
        </w:tc>
      </w:tr>
    </w:tbl>
    <w:p>
      <w:pPr>
        <w:pStyle w:val="BodyText"/>
      </w:pPr>
      <w:r>
        <w:t xml:space="preserve">Le montant en toutes lettres respecte les accords du français : « cinq cent mille » et non « cinq cents mille », « quatre-vingts mille » mais « quatre-vingt-un mille ».</w:t>
      </w:r>
    </w:p>
    <w:bookmarkEnd w:id="168"/>
    <w:bookmarkStart w:id="169" w:name="a5.5-logistique"/>
    <w:p>
      <w:pPr>
        <w:pStyle w:val="Heading3"/>
      </w:pPr>
      <w:r>
        <w:t xml:space="preserve">A5.5 Logistique</w:t>
      </w:r>
    </w:p>
    <w:p>
      <w:pPr>
        <w:pStyle w:val="FirstParagraph"/>
      </w:pPr>
      <w:r>
        <w:t xml:space="preserve">Domaine de priorité basse, inscrit pour éviter des développements parallèles ultérieurs : inventaire du matériel affecté à chaque agent et à chaque unité avec états successifs ; demandes de fournitures avec validation du chef d’unité puis du SAF ; suivi des véhicules (affectation, missions, consommation de carburant) ; réservation de salles, reliée aux réunions.</w:t>
      </w:r>
    </w:p>
    <w:bookmarkEnd w:id="169"/>
    <w:bookmarkEnd w:id="170"/>
    <w:bookmarkStart w:id="194" w:name="Xeeae5d9c66246b952fa501a9f98c54a868cce13"/>
    <w:p>
      <w:pPr>
        <w:pStyle w:val="Heading2"/>
      </w:pPr>
      <w:r>
        <w:t xml:space="preserve">A6. Circuits de référence et tableaux de bord</w:t>
      </w:r>
    </w:p>
    <w:p>
      <w:pPr>
        <w:pStyle w:val="FirstParagraph"/>
      </w:pPr>
      <w:r>
        <w:t xml:space="preserve">Les cinq circuits ci-dessous sont les processus métier de la Direction. Ils ne se réinventent pas au moment du développement.</w:t>
      </w:r>
    </w:p>
    <w:bookmarkStart w:id="171" w:name="a6.1-congé-et-absence"/>
    <w:p>
      <w:pPr>
        <w:pStyle w:val="Heading3"/>
      </w:pPr>
      <w:r>
        <w:t xml:space="preserve">A6.1 Congé et absence</w:t>
      </w:r>
    </w:p>
    <w:p>
      <w:pPr>
        <w:pStyle w:val="FirstParagraph"/>
      </w:pPr>
      <w:r>
        <w:t xml:space="preserve">Principe :</w:t>
      </w:r>
      <w:r>
        <w:t xml:space="preserve"> </w:t>
      </w:r>
      <w:r>
        <w:rPr>
          <w:bCs/>
          <w:b/>
        </w:rPr>
        <w:t xml:space="preserve">le chef hiérarchique donne un avis, le DRH prend la décision</w:t>
      </w:r>
      <w:r>
        <w:t xml:space="preserve">. Le service est ainsi informé et peut arbitrer la continuité, la décision finale revenant à qui détient le statut de l’agent et son solde.</w:t>
      </w:r>
    </w:p>
    <w:p>
      <w:pPr>
        <w:numPr>
          <w:ilvl w:val="0"/>
          <w:numId w:val="1038"/>
        </w:numPr>
        <w:pStyle w:val="Compact"/>
      </w:pPr>
      <w:r>
        <w:rPr>
          <w:bCs/>
          <w:b/>
        </w:rPr>
        <w:t xml:space="preserve">Agent</w:t>
      </w:r>
      <w:r>
        <w:t xml:space="preserve"> </w:t>
      </w:r>
      <w:r>
        <w:t xml:space="preserve">: brouillon → demande soumise. Notification au chef direct, et au DRH pour information.</w:t>
      </w:r>
    </w:p>
    <w:p>
      <w:pPr>
        <w:numPr>
          <w:ilvl w:val="0"/>
          <w:numId w:val="1038"/>
        </w:numPr>
        <w:pStyle w:val="Compact"/>
      </w:pPr>
      <w:r>
        <w:rPr>
          <w:bCs/>
          <w:b/>
        </w:rPr>
        <w:t xml:space="preserve">Chef de section ou de division</w:t>
      </w:r>
      <w:r>
        <w:t xml:space="preserve"> </w:t>
      </w:r>
      <w:r>
        <w:t xml:space="preserve">: avis favorable, ou avis défavorable motivé. Délai de 48 heures ouvrées ; passé ce délai, l’avis est réputé favorable et la demande poursuit son circuit.</w:t>
      </w:r>
    </w:p>
    <w:p>
      <w:pPr>
        <w:numPr>
          <w:ilvl w:val="0"/>
          <w:numId w:val="1038"/>
        </w:numPr>
        <w:pStyle w:val="Compact"/>
      </w:pPr>
      <w:r>
        <w:rPr>
          <w:bCs/>
          <w:b/>
        </w:rPr>
        <w:t xml:space="preserve">DRH</w:t>
      </w:r>
      <w:r>
        <w:t xml:space="preserve"> </w:t>
      </w:r>
      <w:r>
        <w:t xml:space="preserve">: approuvée, ou refusée avec motif obligatoire.</w:t>
      </w:r>
    </w:p>
    <w:p>
      <w:pPr>
        <w:numPr>
          <w:ilvl w:val="0"/>
          <w:numId w:val="1038"/>
        </w:numPr>
        <w:pStyle w:val="Compact"/>
      </w:pPr>
      <w:r>
        <w:t xml:space="preserve">Si approuvée : décompte du solde, inscription au planning, notification à l’agent, au chef d’unité et au SAF.</w:t>
      </w:r>
    </w:p>
    <w:p>
      <w:pPr>
        <w:numPr>
          <w:ilvl w:val="0"/>
          <w:numId w:val="1038"/>
        </w:numPr>
        <w:pStyle w:val="Compact"/>
      </w:pPr>
      <w:r>
        <w:rPr>
          <w:bCs/>
          <w:b/>
        </w:rPr>
        <w:t xml:space="preserve">Clôturée.</w:t>
      </w:r>
    </w:p>
    <w:p>
      <w:pPr>
        <w:pStyle w:val="FirstParagraph"/>
      </w:pPr>
      <w:r>
        <w:t xml:space="preserve">Variantes gérées : annulation avant le début, retour anticipé, report, prolongation. Règles associées : le motif médical et le certificat ne sont visibles que du DRH, le planning n’affichant que le type d’absence ; un solde insuffisant ne bloque pas la demande mais la signale, le DRH pouvant y déroger en motivant ; une mission suit le même circuit sans décompter le congé annuel et déclenche le cas échéant une indemnité ; en cas d’absence du chef d’unité, l’avis est donné par son suppléant.</w:t>
      </w:r>
    </w:p>
    <w:bookmarkEnd w:id="171"/>
    <w:bookmarkStart w:id="172" w:name="a6.2-campagne-de-paie"/>
    <w:p>
      <w:pPr>
        <w:pStyle w:val="Heading3"/>
      </w:pPr>
      <w:r>
        <w:t xml:space="preserve">A6.2 Campagne de paie</w:t>
      </w:r>
    </w:p>
    <w:p>
      <w:pPr>
        <w:pStyle w:val="FirstParagraph"/>
      </w:pPr>
      <w:r>
        <w:t xml:space="preserve">Création par le gestionnaire SAF (mois, liste des agents, éléments variables, instructions de la Direction à intégrer) → contrôle et soumission → validation par le chef SAF ou le DN selon le seuil → publication et génération des bulletins figés → notification individuelle → consultation par l’agent avec accusé horodaté → clôture.</w:t>
      </w:r>
    </w:p>
    <w:p>
      <w:pPr>
        <w:pStyle w:val="BodyText"/>
      </w:pPr>
      <w:r>
        <w:rPr>
          <w:bCs/>
          <w:b/>
        </w:rPr>
        <w:t xml:space="preserve">Une campagne publiée ne peut plus être modifiée.</w:t>
      </w:r>
      <w:r>
        <w:t xml:space="preserve"> </w:t>
      </w:r>
      <w:r>
        <w:t xml:space="preserve">Une erreur constatée après publication donne lieu à une campagne rectificative portant uniquement sur les agents concernés.</w:t>
      </w:r>
    </w:p>
    <w:bookmarkEnd w:id="172"/>
    <w:bookmarkStart w:id="173" w:name="a6.3-instruction-de-la-direction"/>
    <w:p>
      <w:pPr>
        <w:pStyle w:val="Heading3"/>
      </w:pPr>
      <w:r>
        <w:t xml:space="preserve">A6.3 Instruction de la Direction</w:t>
      </w:r>
    </w:p>
    <w:p>
      <w:pPr>
        <w:pStyle w:val="FirstParagraph"/>
      </w:pPr>
      <w:r>
        <w:t xml:space="preserve">Rédaction par le DN ou le DNA → Émise → accusé de prise en charge par le SAF ou les RH → Reçue puis Prise en compte → intégration à la campagne suivante sous forme de proposition, ou établissement de l’acte → validation par le chef SAF ou le DRH → Exécutée, avec référence de la campagne ou de l’acte → Classée ; ou Rejetée avec motif, notifiée à l’émetteur.</w:t>
      </w:r>
    </w:p>
    <w:p>
      <w:pPr>
        <w:pStyle w:val="BodyText"/>
      </w:pPr>
      <w:r>
        <w:t xml:space="preserve">Le destinataire n’exécute aucune mesure individuelle reçue par messagerie : il invite l’émetteur à produire l’instruction correspondante. Cette règle protège autant l’exécutant que la Direction.</w:t>
      </w:r>
    </w:p>
    <w:bookmarkEnd w:id="173"/>
    <w:bookmarkStart w:id="174" w:name="a6.4-courrier-entrant"/>
    <w:p>
      <w:pPr>
        <w:pStyle w:val="Heading3"/>
      </w:pPr>
      <w:r>
        <w:t xml:space="preserve">A6.4 Courrier entrant</w:t>
      </w:r>
    </w:p>
    <w:p>
      <w:pPr>
        <w:pStyle w:val="FirstParagraph"/>
      </w:pPr>
      <w:r>
        <w:t xml:space="preserve">Enregistrement et numérisation par l’agent du courrier → Enregistré → imputation par le DN ou le DNA à une unité ou à un agent, avec instruction et délai → Imputé → traitement, éventuellement converti en tâche → En traitement → réponse produite et expédiée → Traité → Classé.</w:t>
      </w:r>
    </w:p>
    <w:bookmarkEnd w:id="174"/>
    <w:bookmarkStart w:id="175" w:name="a6.5-rotation-dun-stagiaire"/>
    <w:p>
      <w:pPr>
        <w:pStyle w:val="Heading3"/>
      </w:pPr>
      <w:r>
        <w:t xml:space="preserve">A6.5 Rotation d’un stagiaire</w:t>
      </w:r>
    </w:p>
    <w:p>
      <w:pPr>
        <w:numPr>
          <w:ilvl w:val="0"/>
          <w:numId w:val="1039"/>
        </w:numPr>
        <w:pStyle w:val="Compact"/>
      </w:pPr>
      <w:r>
        <w:rPr>
          <w:bCs/>
          <w:b/>
        </w:rPr>
        <w:t xml:space="preserve">DRH</w:t>
      </w:r>
      <w:r>
        <w:t xml:space="preserve"> </w:t>
      </w:r>
      <w:r>
        <w:t xml:space="preserve">: enregistrement du stagiaire et saisie du plan de rotation (unités, ordre, durée en jours ouvrables). Création du compte à durée déterminée ; notification du plan complet au stagiaire et à toutes les unités concernées.</w:t>
      </w:r>
    </w:p>
    <w:p>
      <w:pPr>
        <w:numPr>
          <w:ilvl w:val="0"/>
          <w:numId w:val="1039"/>
        </w:numPr>
        <w:pStyle w:val="Compact"/>
      </w:pPr>
      <w:r>
        <w:rPr>
          <w:bCs/>
          <w:b/>
        </w:rPr>
        <w:t xml:space="preserve">Rotation n ouverte</w:t>
      </w:r>
      <w:r>
        <w:t xml:space="preserve"> </w:t>
      </w:r>
      <w:r>
        <w:t xml:space="preserve">dans l’unité A, dix jours ouvrables.</w:t>
      </w:r>
    </w:p>
    <w:p>
      <w:pPr>
        <w:numPr>
          <w:ilvl w:val="0"/>
          <w:numId w:val="1039"/>
        </w:numPr>
        <w:pStyle w:val="Compact"/>
      </w:pPr>
      <w:r>
        <w:rPr>
          <w:bCs/>
          <w:b/>
        </w:rPr>
        <w:t xml:space="preserve">J−2</w:t>
      </w:r>
      <w:r>
        <w:t xml:space="preserve"> </w:t>
      </w:r>
      <w:r>
        <w:t xml:space="preserve">: préavis au stagiaire, à l’unité A et à l’unité B, par application, courriel et WhatsApp si consenti.</w:t>
      </w:r>
    </w:p>
    <w:p>
      <w:pPr>
        <w:numPr>
          <w:ilvl w:val="0"/>
          <w:numId w:val="1039"/>
        </w:numPr>
        <w:pStyle w:val="Compact"/>
      </w:pPr>
      <w:r>
        <w:rPr>
          <w:bCs/>
          <w:b/>
        </w:rPr>
        <w:t xml:space="preserve">Jour J</w:t>
      </w:r>
      <w:r>
        <w:t xml:space="preserve"> </w:t>
      </w:r>
      <w:r>
        <w:t xml:space="preserve">: clôture de la rotation n ; fiche d’évaluation demandée à l’encadreur de l’unité A. Ouverture de la rotation n+1 dans l’unité B ; rappel à l’unité B et à son encadreur ; bascule des droits d’accès du stagiaire.</w:t>
      </w:r>
    </w:p>
    <w:p>
      <w:pPr>
        <w:numPr>
          <w:ilvl w:val="0"/>
          <w:numId w:val="1039"/>
        </w:numPr>
        <w:pStyle w:val="Compact"/>
      </w:pPr>
      <w:r>
        <w:rPr>
          <w:bCs/>
          <w:b/>
        </w:rPr>
        <w:t xml:space="preserve">J+1</w:t>
      </w:r>
      <w:r>
        <w:t xml:space="preserve"> </w:t>
      </w:r>
      <w:r>
        <w:t xml:space="preserve">: accusé de réception attendu de l’unité B ; à défaut, alerte au DRH.</w:t>
      </w:r>
    </w:p>
    <w:p>
      <w:pPr>
        <w:numPr>
          <w:ilvl w:val="0"/>
          <w:numId w:val="1039"/>
        </w:numPr>
        <w:pStyle w:val="Compact"/>
      </w:pPr>
      <w:r>
        <w:t xml:space="preserve">Répétition jusqu’à la dernière unité du plan.</w:t>
      </w:r>
    </w:p>
    <w:p>
      <w:pPr>
        <w:numPr>
          <w:ilvl w:val="0"/>
          <w:numId w:val="1039"/>
        </w:numPr>
        <w:pStyle w:val="Compact"/>
      </w:pPr>
      <w:r>
        <w:rPr>
          <w:bCs/>
          <w:b/>
        </w:rPr>
        <w:t xml:space="preserve">Fin de stage</w:t>
      </w:r>
      <w:r>
        <w:t xml:space="preserve"> </w:t>
      </w:r>
      <w:r>
        <w:t xml:space="preserve">: dépôt du rapport par le stagiaire, validation par l’encadreur principal au vu des fiches de rotation, transmission au DRH.</w:t>
      </w:r>
    </w:p>
    <w:p>
      <w:pPr>
        <w:numPr>
          <w:ilvl w:val="0"/>
          <w:numId w:val="1039"/>
        </w:numPr>
        <w:pStyle w:val="Compact"/>
      </w:pPr>
      <w:r>
        <w:rPr>
          <w:bCs/>
          <w:b/>
        </w:rPr>
        <w:t xml:space="preserve">DRH</w:t>
      </w:r>
      <w:r>
        <w:t xml:space="preserve"> </w:t>
      </w:r>
      <w:r>
        <w:t xml:space="preserve">: génération de l’attestation de stage, signature, remise. Clôture : extinction des accès, versement du dossier.</w:t>
      </w:r>
    </w:p>
    <w:p>
      <w:pPr>
        <w:pStyle w:val="FirstParagraph"/>
      </w:pPr>
      <w:r>
        <w:t xml:space="preserve">Deux règles encadrent ce circuit. L’historique des travaux d’un stagiaire le suit d’une unité à l’autre : à la bascule, il perd l’accès aux documents de l’unité quittée mais conserve la trace de ce qu’il y a produit. Et une absence supérieure à deux jours ouvrables sur une rotation déclenche une alerte au DRH, seul habilité à décaler le plan : la bascule n’est jamais reportée automatiquement, pour que le calendrier d’ensemble reste maîtrisé et que les unités suivantes ne soient pas averties à tort.</w:t>
      </w:r>
    </w:p>
    <w:bookmarkEnd w:id="175"/>
    <w:bookmarkStart w:id="176" w:name="a6.6-tableaux-de-bord-par-rôle"/>
    <w:p>
      <w:pPr>
        <w:pStyle w:val="Heading3"/>
      </w:pPr>
      <w:r>
        <w:t xml:space="preserve">A6.6 Tableaux de bord par rôle</w:t>
      </w:r>
    </w:p>
    <w:p>
      <w:pPr>
        <w:pStyle w:val="FirstParagraph"/>
      </w:pPr>
      <w:r>
        <w:t xml:space="preserve">Chaque rôle dispose d’un tableau de bord d’accueil. Il n’affiche jamais plus que ce que le rôle est habilité à voir : le DN voit qu’un agent est absent, pas le motif médical ; il voit qu’une campagne de paie a été publiée, pas les montants individuels.</w:t>
      </w:r>
    </w:p>
    <w:tbl>
      <w:tblPr>
        <w:tblStyle w:val="Table"/>
        <w:tblW w:type="dxa" w:w="9354"/>
        <w:tblLayout w:type="fixed"/>
        <w:tblLook w:firstRow="1" w:lastRow="0" w:firstColumn="0" w:lastColumn="0" w:noHBand="0" w:noVBand="0" w:val="0020"/>
        <w:jc w:val="start"/>
      </w:tblPr>
      <w:tblGrid>
        <w:gridCol w:w="2996"/>
        <w:gridCol w:w="6358"/>
      </w:tblGrid>
      <w:tr>
        <w:trPr>
          <w:tblHeader w:val="true"/>
        </w:trPr>
        <w:tc>
          <w:tcPr/>
          <w:p>
            <w:pPr>
              <w:pStyle w:val="Compact"/>
              <w:jc w:val="left"/>
            </w:pPr>
            <w:r>
              <w:t xml:space="preserve">Rôle</w:t>
            </w:r>
          </w:p>
        </w:tc>
        <w:tc>
          <w:tcPr/>
          <w:p>
            <w:pPr>
              <w:pStyle w:val="Compact"/>
              <w:jc w:val="left"/>
            </w:pPr>
            <w:r>
              <w:t xml:space="preserve">Contenu du tableau de bord</w:t>
            </w:r>
          </w:p>
        </w:tc>
      </w:tr>
      <w:tr>
        <w:tc>
          <w:tcPr/>
          <w:p>
            <w:pPr>
              <w:pStyle w:val="Compact"/>
              <w:jc w:val="left"/>
            </w:pPr>
            <w:r>
              <w:t xml:space="preserve">DN / DNA</w:t>
            </w:r>
          </w:p>
        </w:tc>
        <w:tc>
          <w:tcPr/>
          <w:p>
            <w:pPr>
              <w:pStyle w:val="Compact"/>
              <w:jc w:val="left"/>
            </w:pPr>
            <w:r>
              <w:t xml:space="preserve">Avancement global par division et par activité du plan de travail ; tâches en retard ; décisions de réunion non exécutées ; instructions émises et non exécutées, avec ancienneté ; absences du jour ; courriers en attente d’imputation ; simulations et rapports en attente de diffusion</w:t>
            </w:r>
          </w:p>
        </w:tc>
      </w:tr>
      <w:tr>
        <w:tc>
          <w:tcPr/>
          <w:p>
            <w:pPr>
              <w:pStyle w:val="Compact"/>
              <w:jc w:val="left"/>
            </w:pPr>
            <w:r>
              <w:t xml:space="preserve">Secrétariat de direction</w:t>
            </w:r>
          </w:p>
        </w:tc>
        <w:tc>
          <w:tcPr/>
          <w:p>
            <w:pPr>
              <w:pStyle w:val="Compact"/>
              <w:jc w:val="left"/>
            </w:pPr>
            <w:r>
              <w:t xml:space="preserve">Courriers à imputer et courriers en traitement avec leurs délais ; réunions à préparer ; instructions de la Direction non exécutées ; décisions de réunion à suivre.</w:t>
            </w:r>
            <w:r>
              <w:t xml:space="preserve"> </w:t>
            </w:r>
            <w:r>
              <w:rPr>
                <w:bCs/>
                <w:b/>
              </w:rPr>
              <w:t xml:space="preserve">Aucun objet protégé</w:t>
            </w:r>
            <w:r>
              <w:t xml:space="preserve">, quelle que soit la délégation</w:t>
            </w:r>
          </w:p>
        </w:tc>
      </w:tr>
      <w:tr>
        <w:tc>
          <w:tcPr/>
          <w:p>
            <w:pPr>
              <w:pStyle w:val="Compact"/>
              <w:jc w:val="left"/>
            </w:pPr>
            <w:r>
              <w:t xml:space="preserve">Chef de division</w:t>
            </w:r>
          </w:p>
        </w:tc>
        <w:tc>
          <w:tcPr/>
          <w:p>
            <w:pPr>
              <w:pStyle w:val="Compact"/>
              <w:jc w:val="left"/>
            </w:pPr>
            <w:r>
              <w:t xml:space="preserve">Charge et avancement par section et par agent ; tâches en retard de son périmètre ; demandes de congé en attente de son avis ; planning des absences de sa division ; documents récents de sa division ; activités du plan de travail dont il est responsable</w:t>
            </w:r>
          </w:p>
        </w:tc>
      </w:tr>
      <w:tr>
        <w:tc>
          <w:tcPr/>
          <w:p>
            <w:pPr>
              <w:pStyle w:val="Compact"/>
              <w:jc w:val="left"/>
            </w:pPr>
            <w:r>
              <w:t xml:space="preserve">Chef de section</w:t>
            </w:r>
          </w:p>
        </w:tc>
        <w:tc>
          <w:tcPr/>
          <w:p>
            <w:pPr>
              <w:pStyle w:val="Compact"/>
              <w:jc w:val="left"/>
            </w:pPr>
            <w:r>
              <w:t xml:space="preserve">Tâches de sa section par statut ; échéances à sept jours ; absences de ses agents ; demandes en attente de son avis</w:t>
            </w:r>
          </w:p>
        </w:tc>
      </w:tr>
      <w:tr>
        <w:tc>
          <w:tcPr/>
          <w:p>
            <w:pPr>
              <w:pStyle w:val="Compact"/>
              <w:jc w:val="left"/>
            </w:pPr>
            <w:r>
              <w:t xml:space="preserve">Chef de cellule</w:t>
            </w:r>
          </w:p>
        </w:tc>
        <w:tc>
          <w:tcPr/>
          <w:p>
            <w:pPr>
              <w:pStyle w:val="Compact"/>
              <w:jc w:val="left"/>
            </w:pPr>
            <w:r>
              <w:t xml:space="preserve">Même structure qu’un chef de division, à l’échelle de sa cellule</w:t>
            </w:r>
          </w:p>
        </w:tc>
      </w:tr>
      <w:tr>
        <w:tc>
          <w:tcPr/>
          <w:p>
            <w:pPr>
              <w:pStyle w:val="Compact"/>
              <w:jc w:val="left"/>
            </w:pPr>
            <w:r>
              <w:t xml:space="preserve">DRH</w:t>
            </w:r>
          </w:p>
        </w:tc>
        <w:tc>
          <w:tcPr/>
          <w:p>
            <w:pPr>
              <w:pStyle w:val="Compact"/>
              <w:jc w:val="left"/>
            </w:pPr>
            <w:r>
              <w:t xml:space="preserve">Demandes de congé et d’absence en attente de décision ; soldes par agent ; absences en cours et à venir, toutes divisions ; dossiers agents incomplets ; fins de contrat et de stage à échéance ; alertes réglementaires</w:t>
            </w:r>
          </w:p>
        </w:tc>
      </w:tr>
      <w:tr>
        <w:tc>
          <w:tcPr/>
          <w:p>
            <w:pPr>
              <w:pStyle w:val="Compact"/>
              <w:jc w:val="left"/>
            </w:pPr>
            <w:r>
              <w:t xml:space="preserve">Chef SAF et gestionnaire de paie</w:t>
            </w:r>
          </w:p>
        </w:tc>
        <w:tc>
          <w:tcPr/>
          <w:p>
            <w:pPr>
              <w:pStyle w:val="Compact"/>
              <w:jc w:val="left"/>
            </w:pPr>
            <w:r>
              <w:t xml:space="preserve">Campagne de paie en cours et son statut ; instructions de la Direction non exécutées ; bulletins publiés, consultés et non consultés ; missions à liquider ; demandes de fournitures en attente</w:t>
            </w:r>
          </w:p>
        </w:tc>
      </w:tr>
      <w:tr>
        <w:tc>
          <w:tcPr/>
          <w:p>
            <w:pPr>
              <w:pStyle w:val="Compact"/>
              <w:jc w:val="left"/>
            </w:pPr>
            <w:r>
              <w:t xml:space="preserve">Encadreur de stage</w:t>
            </w:r>
          </w:p>
        </w:tc>
        <w:tc>
          <w:tcPr/>
          <w:p>
            <w:pPr>
              <w:pStyle w:val="Compact"/>
              <w:jc w:val="left"/>
            </w:pPr>
            <w:r>
              <w:t xml:space="preserve">Stagiaires encadrés ; échéances ; rapports déposés en attente de validation</w:t>
            </w:r>
          </w:p>
        </w:tc>
      </w:tr>
      <w:tr>
        <w:tc>
          <w:tcPr/>
          <w:p>
            <w:pPr>
              <w:pStyle w:val="Compact"/>
              <w:jc w:val="left"/>
            </w:pPr>
            <w:r>
              <w:t xml:space="preserve">Agent</w:t>
            </w:r>
          </w:p>
        </w:tc>
        <w:tc>
          <w:tcPr/>
          <w:p>
            <w:pPr>
              <w:pStyle w:val="Compact"/>
              <w:jc w:val="left"/>
            </w:pPr>
            <w:r>
              <w:t xml:space="preserve">Mes tâches et mes échéances ; mes activités ; mon solde de congés ; mes demandes en cours ; mes bulletins ; annonces récentes ; réunions à venir</w:t>
            </w:r>
          </w:p>
        </w:tc>
      </w:tr>
      <w:tr>
        <w:tc>
          <w:tcPr/>
          <w:p>
            <w:pPr>
              <w:pStyle w:val="Compact"/>
              <w:jc w:val="left"/>
            </w:pPr>
            <w:r>
              <w:t xml:space="preserve">Administrateur CSID</w:t>
            </w:r>
          </w:p>
        </w:tc>
        <w:tc>
          <w:tcPr/>
          <w:p>
            <w:pPr>
              <w:pStyle w:val="Compact"/>
              <w:jc w:val="left"/>
            </w:pPr>
            <w:r>
              <w:t xml:space="preserve">Comptes en attente d’activation ; comptes à désactiver ; erreurs techniques ; volumétrie ; état des sauvegardes</w:t>
            </w:r>
          </w:p>
        </w:tc>
      </w:tr>
    </w:tbl>
    <w:bookmarkEnd w:id="176"/>
    <w:bookmarkStart w:id="177" w:name="a6.7-écrans-ajoutés-en-version-2.0"/>
    <w:p>
      <w:pPr>
        <w:pStyle w:val="Heading3"/>
      </w:pPr>
      <w:r>
        <w:t xml:space="preserve">A6.7 Écrans ajoutés en version 2.0</w:t>
      </w:r>
    </w:p>
    <w:tbl>
      <w:tblPr>
        <w:tblStyle w:val="Table"/>
        <w:tblW w:type="dxa" w:w="9354"/>
        <w:tblLayout w:type="fixed"/>
        <w:tblLook w:firstRow="1" w:lastRow="0" w:firstColumn="0" w:lastColumn="0" w:noHBand="0" w:noVBand="0" w:val="0020"/>
        <w:jc w:val="start"/>
      </w:tblPr>
      <w:tblGrid>
        <w:gridCol w:w="2777"/>
        <w:gridCol w:w="3833"/>
        <w:gridCol w:w="2744"/>
      </w:tblGrid>
      <w:tr>
        <w:trPr>
          <w:tblHeader w:val="true"/>
        </w:trPr>
        <w:tc>
          <w:tcPr/>
          <w:p>
            <w:pPr>
              <w:pStyle w:val="Compact"/>
              <w:jc w:val="left"/>
            </w:pPr>
            <w:r>
              <w:t xml:space="preserve">Écran</w:t>
            </w:r>
          </w:p>
        </w:tc>
        <w:tc>
          <w:tcPr/>
          <w:p>
            <w:pPr>
              <w:pStyle w:val="Compact"/>
              <w:jc w:val="left"/>
            </w:pPr>
            <w:r>
              <w:t xml:space="preserve">Objet</w:t>
            </w:r>
          </w:p>
        </w:tc>
        <w:tc>
          <w:tcPr/>
          <w:p>
            <w:pPr>
              <w:pStyle w:val="Compact"/>
              <w:jc w:val="left"/>
            </w:pPr>
            <w:r>
              <w:t xml:space="preserve">Rôle requis</w:t>
            </w:r>
          </w:p>
        </w:tc>
      </w:tr>
      <w:tr>
        <w:tc>
          <w:tcPr/>
          <w:p>
            <w:pPr>
              <w:pStyle w:val="Compact"/>
              <w:jc w:val="left"/>
            </w:pPr>
            <w:r>
              <w:t xml:space="preserve">Messagerie</w:t>
            </w:r>
          </w:p>
        </w:tc>
        <w:tc>
          <w:tcPr/>
          <w:p>
            <w:pPr>
              <w:pStyle w:val="Compact"/>
              <w:jc w:val="left"/>
            </w:pPr>
            <w:r>
              <w:t xml:space="preserve">Réception, envoi, pièces jointes, accusés de lecture, réponse (section A2.6)</w:t>
            </w:r>
          </w:p>
        </w:tc>
        <w:tc>
          <w:tcPr/>
          <w:p>
            <w:pPr>
              <w:pStyle w:val="Compact"/>
              <w:jc w:val="left"/>
            </w:pPr>
            <w:r>
              <w:t xml:space="preserve">Tout agent</w:t>
            </w:r>
          </w:p>
        </w:tc>
      </w:tr>
      <w:tr>
        <w:tc>
          <w:tcPr/>
          <w:p>
            <w:pPr>
              <w:pStyle w:val="Compact"/>
              <w:jc w:val="left"/>
            </w:pPr>
            <w:r>
              <w:t xml:space="preserve">Effectifs et alertes</w:t>
            </w:r>
          </w:p>
        </w:tc>
        <w:tc>
          <w:tcPr/>
          <w:p>
            <w:pPr>
              <w:pStyle w:val="Compact"/>
              <w:jc w:val="left"/>
            </w:pPr>
            <w:r>
              <w:t xml:space="preserve">Vue d’ensemble du personnel et échéances calculées (section A3.5)</w:t>
            </w:r>
          </w:p>
        </w:tc>
        <w:tc>
          <w:tcPr/>
          <w:p>
            <w:pPr>
              <w:pStyle w:val="Compact"/>
              <w:jc w:val="left"/>
            </w:pPr>
            <w:r>
              <w:t xml:space="preserve">DRH</w:t>
            </w:r>
          </w:p>
        </w:tc>
      </w:tr>
      <w:tr>
        <w:tc>
          <w:tcPr/>
          <w:p>
            <w:pPr>
              <w:pStyle w:val="Compact"/>
              <w:jc w:val="left"/>
            </w:pPr>
            <w:r>
              <w:t xml:space="preserve">Carrière et actes</w:t>
            </w:r>
          </w:p>
        </w:tc>
        <w:tc>
          <w:tcPr/>
          <w:p>
            <w:pPr>
              <w:pStyle w:val="Compact"/>
              <w:jc w:val="left"/>
            </w:pPr>
            <w:r>
              <w:t xml:space="preserve">Mouvements datés, instruction d’un acte, séquences de numérotation (section A3.6)</w:t>
            </w:r>
          </w:p>
        </w:tc>
        <w:tc>
          <w:tcPr/>
          <w:p>
            <w:pPr>
              <w:pStyle w:val="Compact"/>
              <w:jc w:val="left"/>
            </w:pPr>
            <w:r>
              <w:t xml:space="preserve">DRH</w:t>
            </w:r>
          </w:p>
        </w:tc>
      </w:tr>
      <w:tr>
        <w:tc>
          <w:tcPr/>
          <w:p>
            <w:pPr>
              <w:pStyle w:val="Compact"/>
              <w:jc w:val="left"/>
            </w:pPr>
            <w:r>
              <w:t xml:space="preserve">Paiements et missions</w:t>
            </w:r>
          </w:p>
        </w:tc>
        <w:tc>
          <w:tcPr/>
          <w:p>
            <w:pPr>
              <w:pStyle w:val="Compact"/>
              <w:jc w:val="left"/>
            </w:pPr>
            <w:r>
              <w:t xml:space="preserve">Ordres de paiement et liquidation des missions (sections A4.6 et A4.7)</w:t>
            </w:r>
          </w:p>
        </w:tc>
        <w:tc>
          <w:tcPr/>
          <w:p>
            <w:pPr>
              <w:pStyle w:val="Compact"/>
              <w:jc w:val="left"/>
            </w:pPr>
            <w:r>
              <w:t xml:space="preserve">Gestionnaire de paie, chef SAF</w:t>
            </w:r>
          </w:p>
        </w:tc>
      </w:tr>
      <w:tr>
        <w:tc>
          <w:tcPr/>
          <w:p>
            <w:pPr>
              <w:pStyle w:val="Compact"/>
              <w:jc w:val="left"/>
            </w:pPr>
            <w:r>
              <w:t xml:space="preserve">Budget et engagements</w:t>
            </w:r>
          </w:p>
        </w:tc>
        <w:tc>
          <w:tcPr/>
          <w:p>
            <w:pPr>
              <w:pStyle w:val="Compact"/>
              <w:jc w:val="left"/>
            </w:pPr>
            <w:r>
              <w:t xml:space="preserve">Suivi budgétaire de gestion (section A4.8)</w:t>
            </w:r>
          </w:p>
        </w:tc>
        <w:tc>
          <w:tcPr/>
          <w:p>
            <w:pPr>
              <w:pStyle w:val="Compact"/>
              <w:jc w:val="left"/>
            </w:pPr>
            <w:r>
              <w:t xml:space="preserve">Gestionnaire de paie, chef SAF</w:t>
            </w:r>
          </w:p>
        </w:tc>
      </w:tr>
      <w:tr>
        <w:tc>
          <w:tcPr/>
          <w:p>
            <w:pPr>
              <w:pStyle w:val="Compact"/>
              <w:jc w:val="left"/>
            </w:pPr>
            <w:r>
              <w:t xml:space="preserve">États financiers</w:t>
            </w:r>
          </w:p>
        </w:tc>
        <w:tc>
          <w:tcPr/>
          <w:p>
            <w:pPr>
              <w:pStyle w:val="Compact"/>
              <w:jc w:val="left"/>
            </w:pPr>
            <w:r>
              <w:t xml:space="preserve">Production, aperçu, export et transmission des quatre états (section A4.9)</w:t>
            </w:r>
          </w:p>
        </w:tc>
        <w:tc>
          <w:tcPr/>
          <w:p>
            <w:pPr>
              <w:pStyle w:val="Compact"/>
              <w:jc w:val="left"/>
            </w:pPr>
            <w:r>
              <w:t xml:space="preserve">Gestionnaire de paie, chef SAF</w:t>
            </w:r>
          </w:p>
        </w:tc>
      </w:tr>
      <w:tr>
        <w:tc>
          <w:tcPr/>
          <w:p>
            <w:pPr>
              <w:pStyle w:val="Compact"/>
              <w:jc w:val="left"/>
            </w:pPr>
            <w:r>
              <w:t xml:space="preserve">Aperçu de document</w:t>
            </w:r>
          </w:p>
        </w:tc>
        <w:tc>
          <w:tcPr/>
          <w:p>
            <w:pPr>
              <w:pStyle w:val="Compact"/>
              <w:jc w:val="left"/>
            </w:pPr>
            <w:r>
              <w:t xml:space="preserve">Prévisualisation avant impression de tout document généré (section A5.4)</w:t>
            </w:r>
          </w:p>
        </w:tc>
        <w:tc>
          <w:tcPr/>
          <w:p>
            <w:pPr>
              <w:pStyle w:val="Compact"/>
              <w:jc w:val="left"/>
            </w:pPr>
            <w:r>
              <w:t xml:space="preserve">Selon le document</w:t>
            </w:r>
          </w:p>
        </w:tc>
      </w:tr>
      <w:tr>
        <w:tc>
          <w:tcPr/>
          <w:p>
            <w:pPr>
              <w:pStyle w:val="Compact"/>
              <w:jc w:val="left"/>
            </w:pPr>
            <w:r>
              <w:t xml:space="preserve">Comptes et habilitations</w:t>
            </w:r>
          </w:p>
        </w:tc>
        <w:tc>
          <w:tcPr/>
          <w:p>
            <w:pPr>
              <w:pStyle w:val="Compact"/>
              <w:jc w:val="left"/>
            </w:pPr>
            <w:r>
              <w:t xml:space="preserve">Création, activation, suspension, désactivation, rôles, mutation (Partie 0, section 13.5)</w:t>
            </w:r>
          </w:p>
        </w:tc>
        <w:tc>
          <w:tcPr/>
          <w:p>
            <w:pPr>
              <w:pStyle w:val="Compact"/>
              <w:jc w:val="left"/>
            </w:pPr>
            <w:r>
              <w:t xml:space="preserve">Administrateur</w:t>
            </w:r>
          </w:p>
        </w:tc>
      </w:tr>
      <w:tr>
        <w:tc>
          <w:tcPr/>
          <w:p>
            <w:pPr>
              <w:pStyle w:val="Compact"/>
              <w:jc w:val="left"/>
            </w:pPr>
            <w:r>
              <w:t xml:space="preserve">Paramétrage et supervision</w:t>
            </w:r>
          </w:p>
        </w:tc>
        <w:tc>
          <w:tcPr/>
          <w:p>
            <w:pPr>
              <w:pStyle w:val="Compact"/>
              <w:jc w:val="left"/>
            </w:pPr>
            <w:r>
              <w:t xml:space="preserve">Réglages bornés, état des services, comptes à surveiller (Partie 0, sections 13.5 et 13.6)</w:t>
            </w:r>
          </w:p>
        </w:tc>
        <w:tc>
          <w:tcPr/>
          <w:p>
            <w:pPr>
              <w:pStyle w:val="Compact"/>
              <w:jc w:val="left"/>
            </w:pPr>
            <w:r>
              <w:t xml:space="preserve">Administrateur</w:t>
            </w:r>
          </w:p>
        </w:tc>
      </w:tr>
    </w:tbl>
    <w:bookmarkEnd w:id="177"/>
    <w:bookmarkStart w:id="193" w:name="a6.8-maquettes-de-référence"/>
    <w:p>
      <w:pPr>
        <w:pStyle w:val="Heading3"/>
      </w:pPr>
      <w:r>
        <w:t xml:space="preserve">A6.8 Maquettes de référence</w:t>
      </w:r>
    </w:p>
    <w:p>
      <w:pPr>
        <w:pStyle w:val="FirstParagraph"/>
      </w:pPr>
      <w:r>
        <w:t xml:space="preserve">Les maquettes ci-après sont</w:t>
      </w:r>
      <w:r>
        <w:t xml:space="preserve"> </w:t>
      </w:r>
      <w:r>
        <w:rPr>
          <w:bCs/>
          <w:b/>
        </w:rPr>
        <w:t xml:space="preserve">indicatives quant au style graphique</w:t>
      </w:r>
      <w:r>
        <w:t xml:space="preserve"> </w:t>
      </w:r>
      <w:r>
        <w:t xml:space="preserve">et</w:t>
      </w:r>
      <w:r>
        <w:t xml:space="preserve"> </w:t>
      </w:r>
      <w:r>
        <w:rPr>
          <w:bCs/>
          <w:b/>
        </w:rPr>
        <w:t xml:space="preserve">normatives quant au contenu affiché et à son cloisonnement</w:t>
      </w:r>
      <w:r>
        <w:t xml:space="preserve"> </w:t>
      </w:r>
      <w:r>
        <w:t xml:space="preserve">: les blocs figurant sur chaque écran, ainsi que l’absence des informations protégées au sens de la Partie 0, section 3.2, relèvent des exigences</w:t>
      </w:r>
      <w:r>
        <w:t xml:space="preserve"> </w:t>
      </w:r>
      <w:r>
        <w:rPr>
          <w:rStyle w:val="VerbatimChar"/>
        </w:rPr>
        <w:t xml:space="preserve">SIG-RF-TDB-01</w:t>
      </w:r>
      <w:r>
        <w:t xml:space="preserve"> </w:t>
      </w:r>
      <w:r>
        <w:t xml:space="preserve">à</w:t>
      </w:r>
      <w:r>
        <w:t xml:space="preserve"> </w:t>
      </w:r>
      <w:r>
        <w:rPr>
          <w:rStyle w:val="VerbatimChar"/>
        </w:rPr>
        <w:t xml:space="preserve">SIG-RF-TDB-09</w:t>
      </w:r>
      <w:r>
        <w:t xml:space="preserve"> </w:t>
      </w:r>
      <w:r>
        <w:t xml:space="preserve">et sont vérifiés aux critères d’acceptation de la section A9.1. Les données représentées sont fictives ; les en-têtes portent le nom du produit, NIMBA.</w:t>
      </w:r>
    </w:p>
    <w:p>
      <w:pPr>
        <w:pStyle w:val="BodyText"/>
      </w:pPr>
      <w:r>
        <w:t xml:space="preserve">Toutes les vues partagent la même ossature : barre latérale de navigation par module, barre supérieure (recherche, notifications, compte connecté), quatre indicateurs de tête, puis des cartes de travail. Ce qui change d’un rôle à l’autre n’est pas la mise en page mais</w:t>
      </w:r>
      <w:r>
        <w:t xml:space="preserve"> </w:t>
      </w:r>
      <w:r>
        <w:rPr>
          <w:bCs/>
          <w:b/>
        </w:rPr>
        <w:t xml:space="preserve">le périmètre des données et les actions disponibles</w:t>
      </w:r>
      <w:r>
        <w:t xml:space="preserve">.</w:t>
      </w:r>
    </w:p>
    <w:p>
      <w:pPr>
        <w:pStyle w:val="CaptionedFigure"/>
      </w:pPr>
      <w:r>
        <w:drawing>
          <wp:inline>
            <wp:extent cx="5759999" cy="3702857"/>
            <wp:effectExtent b="0" l="0" r="0" t="0"/>
            <wp:docPr descr="Figure 4 — Tableau de bord du Directeur National et du Directeur National Adjoint" title="" id="179" name="Picture"/>
            <a:graphic>
              <a:graphicData uri="http://schemas.openxmlformats.org/drawingml/2006/picture">
                <pic:pic>
                  <pic:nvPicPr>
                    <pic:cNvPr descr="media_v2/fig04-tdb-dn.png" id="180" name="Picture"/>
                    <pic:cNvPicPr>
                      <a:picLocks noChangeArrowheads="1" noChangeAspect="1"/>
                    </pic:cNvPicPr>
                  </pic:nvPicPr>
                  <pic:blipFill>
                    <a:blip r:embed="rId178"/>
                    <a:stretch>
                      <a:fillRect/>
                    </a:stretch>
                  </pic:blipFill>
                  <pic:spPr bwMode="auto">
                    <a:xfrm>
                      <a:off x="0" y="0"/>
                      <a:ext cx="5759999" cy="3702857"/>
                    </a:xfrm>
                    <a:prstGeom prst="rect">
                      <a:avLst/>
                    </a:prstGeom>
                    <a:noFill/>
                    <a:ln w="9525">
                      <a:noFill/>
                      <a:headEnd/>
                      <a:tailEnd/>
                    </a:ln>
                  </pic:spPr>
                </pic:pic>
              </a:graphicData>
            </a:graphic>
          </wp:inline>
        </w:drawing>
      </w:r>
    </w:p>
    <w:p>
      <w:pPr>
        <w:pStyle w:val="ImageCaption"/>
      </w:pPr>
      <w:r>
        <w:t xml:space="preserve">Figure 4 — Tableau de bord du Directeur National et du Directeur National Adjoint</w:t>
      </w:r>
    </w:p>
    <w:p>
      <w:pPr>
        <w:pStyle w:val="BodyText"/>
      </w:pPr>
      <w:r>
        <w:t xml:space="preserve">Lecture de l’écran : avancement du plan de travail par division, tâches en retard, décisions de réunion non exécutées et instructions émises non exécutées avec leur ancienneté, courriers en attente d’imputation, absences du jour. Le bandeau inférieur rappelle la règle applicable : ni montants individuels de paie, ni motifs médicaux, ni dossiers individuels à ce niveau. Les absences sont affichées par type, jamais par motif.</w:t>
      </w:r>
    </w:p>
    <w:p>
      <w:pPr>
        <w:pStyle w:val="CaptionedFigure"/>
      </w:pPr>
      <w:r>
        <w:drawing>
          <wp:inline>
            <wp:extent cx="5759999" cy="3702857"/>
            <wp:effectExtent b="0" l="0" r="0" t="0"/>
            <wp:docPr descr="Figure 5 — Tableau de bord d’un chef de division" title="" id="182" name="Picture"/>
            <a:graphic>
              <a:graphicData uri="http://schemas.openxmlformats.org/drawingml/2006/picture">
                <pic:pic>
                  <pic:nvPicPr>
                    <pic:cNvPr descr="media_v2/fig05-tdb-division.png" id="183" name="Picture"/>
                    <pic:cNvPicPr>
                      <a:picLocks noChangeArrowheads="1" noChangeAspect="1"/>
                    </pic:cNvPicPr>
                  </pic:nvPicPr>
                  <pic:blipFill>
                    <a:blip r:embed="rId181"/>
                    <a:stretch>
                      <a:fillRect/>
                    </a:stretch>
                  </pic:blipFill>
                  <pic:spPr bwMode="auto">
                    <a:xfrm>
                      <a:off x="0" y="0"/>
                      <a:ext cx="5759999" cy="3702857"/>
                    </a:xfrm>
                    <a:prstGeom prst="rect">
                      <a:avLst/>
                    </a:prstGeom>
                    <a:noFill/>
                    <a:ln w="9525">
                      <a:noFill/>
                      <a:headEnd/>
                      <a:tailEnd/>
                    </a:ln>
                  </pic:spPr>
                </pic:pic>
              </a:graphicData>
            </a:graphic>
          </wp:inline>
        </w:drawing>
      </w:r>
    </w:p>
    <w:p>
      <w:pPr>
        <w:pStyle w:val="ImageCaption"/>
      </w:pPr>
      <w:r>
        <w:t xml:space="preserve">Figure 5 — Tableau de bord d’un chef de division</w:t>
      </w:r>
    </w:p>
    <w:p>
      <w:pPr>
        <w:pStyle w:val="BodyText"/>
      </w:pPr>
      <w:r>
        <w:t xml:space="preserve">Lecture de l’écran : charge de travail par section et par agent, y compris les agents rattachés à la division sans section, tâches en retard, demandes de congé en attente d’</w:t>
      </w:r>
      <w:r>
        <w:rPr>
          <w:bCs/>
          <w:b/>
        </w:rPr>
        <w:t xml:space="preserve">avis</w:t>
      </w:r>
      <w:r>
        <w:t xml:space="preserve"> </w:t>
      </w:r>
      <w:r>
        <w:t xml:space="preserve">avec le délai de 48 heures ouvrées du circuit A6.1, planning hebdomadaire des absences limité au type. Les deux actions proposées sont « avis favorable » et « avis défavorable » : la décision appartient au DRH.</w:t>
      </w:r>
    </w:p>
    <w:p>
      <w:pPr>
        <w:pStyle w:val="CaptionedFigure"/>
      </w:pPr>
      <w:r>
        <w:drawing>
          <wp:inline>
            <wp:extent cx="5759999" cy="3702857"/>
            <wp:effectExtent b="0" l="0" r="0" t="0"/>
            <wp:docPr descr="Figure 6 — Tableau de bord d’un chef de section" title="" id="185" name="Picture"/>
            <a:graphic>
              <a:graphicData uri="http://schemas.openxmlformats.org/drawingml/2006/picture">
                <pic:pic>
                  <pic:nvPicPr>
                    <pic:cNvPr descr="media_v2/fig06-tdb-section.png" id="186" name="Picture"/>
                    <pic:cNvPicPr>
                      <a:picLocks noChangeArrowheads="1" noChangeAspect="1"/>
                    </pic:cNvPicPr>
                  </pic:nvPicPr>
                  <pic:blipFill>
                    <a:blip r:embed="rId184"/>
                    <a:stretch>
                      <a:fillRect/>
                    </a:stretch>
                  </pic:blipFill>
                  <pic:spPr bwMode="auto">
                    <a:xfrm>
                      <a:off x="0" y="0"/>
                      <a:ext cx="5759999" cy="3702857"/>
                    </a:xfrm>
                    <a:prstGeom prst="rect">
                      <a:avLst/>
                    </a:prstGeom>
                    <a:noFill/>
                    <a:ln w="9525">
                      <a:noFill/>
                      <a:headEnd/>
                      <a:tailEnd/>
                    </a:ln>
                  </pic:spPr>
                </pic:pic>
              </a:graphicData>
            </a:graphic>
          </wp:inline>
        </w:drawing>
      </w:r>
    </w:p>
    <w:p>
      <w:pPr>
        <w:pStyle w:val="ImageCaption"/>
      </w:pPr>
      <w:r>
        <w:t xml:space="preserve">Figure 6 — Tableau de bord d’un chef de section</w:t>
      </w:r>
    </w:p>
    <w:p>
      <w:pPr>
        <w:pStyle w:val="BodyText"/>
      </w:pPr>
      <w:r>
        <w:t xml:space="preserve">Lecture de l’écran : répartition des tâches de la seule section, vue Kanban par statut conforme au cycle de la section A2.2, échéances à sept jours, absences de la section. Aucune donnée d’une autre section n’est accessible, y compris par recherche.</w:t>
      </w:r>
    </w:p>
    <w:p>
      <w:pPr>
        <w:pStyle w:val="CaptionedFigure"/>
      </w:pPr>
      <w:r>
        <w:drawing>
          <wp:inline>
            <wp:extent cx="5759999" cy="3702857"/>
            <wp:effectExtent b="0" l="0" r="0" t="0"/>
            <wp:docPr descr="Figure 7 — Tableau de bord du DRH" title="" id="188" name="Picture"/>
            <a:graphic>
              <a:graphicData uri="http://schemas.openxmlformats.org/drawingml/2006/picture">
                <pic:pic>
                  <pic:nvPicPr>
                    <pic:cNvPr descr="media_v2/fig07-tdb-drh.png" id="189" name="Picture"/>
                    <pic:cNvPicPr>
                      <a:picLocks noChangeArrowheads="1" noChangeAspect="1"/>
                    </pic:cNvPicPr>
                  </pic:nvPicPr>
                  <pic:blipFill>
                    <a:blip r:embed="rId187"/>
                    <a:stretch>
                      <a:fillRect/>
                    </a:stretch>
                  </pic:blipFill>
                  <pic:spPr bwMode="auto">
                    <a:xfrm>
                      <a:off x="0" y="0"/>
                      <a:ext cx="5759999" cy="3702857"/>
                    </a:xfrm>
                    <a:prstGeom prst="rect">
                      <a:avLst/>
                    </a:prstGeom>
                    <a:noFill/>
                    <a:ln w="9525">
                      <a:noFill/>
                      <a:headEnd/>
                      <a:tailEnd/>
                    </a:ln>
                  </pic:spPr>
                </pic:pic>
              </a:graphicData>
            </a:graphic>
          </wp:inline>
        </w:drawing>
      </w:r>
    </w:p>
    <w:p>
      <w:pPr>
        <w:pStyle w:val="ImageCaption"/>
      </w:pPr>
      <w:r>
        <w:t xml:space="preserve">Figure 7 — Tableau de bord du DRH</w:t>
      </w:r>
    </w:p>
    <w:p>
      <w:pPr>
        <w:pStyle w:val="BodyText"/>
      </w:pPr>
      <w:r>
        <w:t xml:space="preserve">Lecture de l’écran : file des demandes en attente de décision avec l’avis déjà rendu par le chef d’unité, le solde de l’agent et les deux actions de décision ; alerte automatique lorsque le solde est insuffisant, la dérogation motivée restant possible ; consommation des congés par unité ; alertes de fin de contrat, de fin de stage, de dossier incomplet et de mutation à venir. Le DRH est le seul rôle habilité à ouvrir un justificatif médical.</w:t>
      </w:r>
    </w:p>
    <w:p>
      <w:pPr>
        <w:pStyle w:val="CaptionedFigure"/>
      </w:pPr>
      <w:r>
        <w:drawing>
          <wp:inline>
            <wp:extent cx="5759999" cy="3702857"/>
            <wp:effectExtent b="0" l="0" r="0" t="0"/>
            <wp:docPr descr="Figure 8 — Tableau de bord du SAF et du gestionnaire de paie" title="" id="191" name="Picture"/>
            <a:graphic>
              <a:graphicData uri="http://schemas.openxmlformats.org/drawingml/2006/picture">
                <pic:pic>
                  <pic:nvPicPr>
                    <pic:cNvPr descr="media_v2/fig08-tdb-saf.png" id="192" name="Picture"/>
                    <pic:cNvPicPr>
                      <a:picLocks noChangeArrowheads="1" noChangeAspect="1"/>
                    </pic:cNvPicPr>
                  </pic:nvPicPr>
                  <pic:blipFill>
                    <a:blip r:embed="rId190"/>
                    <a:stretch>
                      <a:fillRect/>
                    </a:stretch>
                  </pic:blipFill>
                  <pic:spPr bwMode="auto">
                    <a:xfrm>
                      <a:off x="0" y="0"/>
                      <a:ext cx="5759999" cy="3702857"/>
                    </a:xfrm>
                    <a:prstGeom prst="rect">
                      <a:avLst/>
                    </a:prstGeom>
                    <a:noFill/>
                    <a:ln w="9525">
                      <a:noFill/>
                      <a:headEnd/>
                      <a:tailEnd/>
                    </a:ln>
                  </pic:spPr>
                </pic:pic>
              </a:graphicData>
            </a:graphic>
          </wp:inline>
        </w:drawing>
      </w:r>
    </w:p>
    <w:p>
      <w:pPr>
        <w:pStyle w:val="ImageCaption"/>
      </w:pPr>
      <w:r>
        <w:t xml:space="preserve">Figure 8 — Tableau de bord du SAF et du gestionnaire de paie</w:t>
      </w:r>
    </w:p>
    <w:p>
      <w:pPr>
        <w:pStyle w:val="BodyText"/>
      </w:pPr>
      <w:r>
        <w:t xml:space="preserve">Lecture de l’écran : état d’avancement de la campagne de paie du mois selon le cycle de la section A6.2, avec l’autorité de validation attendue ; instructions de la Direction non encore exécutées, intégrables à la campagne suivante sous forme de propositions à valider ; suivi des bulletins publiés et consultés, avec possibilité de relance et d’impression assistée, toute impression étant journalisée.</w:t>
      </w:r>
    </w:p>
    <w:p>
      <w:pPr>
        <w:pStyle w:val="BodyText"/>
      </w:pPr>
      <w:r>
        <w:t xml:space="preserve">Deux écrans restent à maquetter lors de la conception détaillée : celui de l’agent et celui de l’encadreur de stage, dont les contenus sont définis au tableau de la section A6.6.</w:t>
      </w:r>
    </w:p>
    <w:bookmarkEnd w:id="193"/>
    <w:bookmarkEnd w:id="194"/>
    <w:bookmarkStart w:id="195" w:name="X1a3ec971e7af1eb93d0fef095b78d87873b5dc3"/>
    <w:p>
      <w:pPr>
        <w:pStyle w:val="Heading2"/>
      </w:pPr>
      <w:r>
        <w:t xml:space="preserve">A7. Matrice des notifications du domaine A</w:t>
      </w:r>
    </w:p>
    <w:p>
      <w:pPr>
        <w:pStyle w:val="FirstParagraph"/>
      </w:pPr>
      <w:r>
        <w:t xml:space="preserve">Référence unique des notifications du système, destinée à éviter les</w:t>
      </w:r>
      <w:r>
        <w:t xml:space="preserve"> </w:t>
      </w:r>
      <w:r>
        <w:t xml:space="preserve">oublis et à servir de base aux gabarits de messages. Canaux :</w:t>
      </w:r>
      <w:r>
        <w:t xml:space="preserve"> </w:t>
      </w:r>
      <w:r>
        <w:rPr>
          <w:bCs/>
          <w:b/>
        </w:rPr>
        <w:t xml:space="preserve">A</w:t>
      </w:r>
      <w:r>
        <w:t xml:space="preserve"> </w:t>
      </w:r>
      <w:r>
        <w:t xml:space="preserve">application ·</w:t>
      </w:r>
      <w:r>
        <w:t xml:space="preserve"> </w:t>
      </w:r>
      <w:r>
        <w:rPr>
          <w:bCs/>
          <w:b/>
        </w:rPr>
        <w:t xml:space="preserve">C</w:t>
      </w:r>
      <w:r>
        <w:t xml:space="preserve"> </w:t>
      </w:r>
      <w:r>
        <w:t xml:space="preserve">courriel ·</w:t>
      </w:r>
      <w:r>
        <w:t xml:space="preserve"> </w:t>
      </w:r>
      <w:r>
        <w:rPr>
          <w:bCs/>
          <w:b/>
        </w:rPr>
        <w:t xml:space="preserve">S</w:t>
      </w:r>
      <w:r>
        <w:t xml:space="preserve"> </w:t>
      </w:r>
      <w:r>
        <w:t xml:space="preserve">SMS ·</w:t>
      </w:r>
      <w:r>
        <w:t xml:space="preserve"> </w:t>
      </w:r>
      <w:r>
        <w:rPr>
          <w:bCs/>
          <w:b/>
        </w:rPr>
        <w:t xml:space="preserve">W</w:t>
      </w:r>
      <w:r>
        <w:t xml:space="preserve"> </w:t>
      </w:r>
      <w:r>
        <w:t xml:space="preserve">WhatsApp. Urgence :</w:t>
      </w:r>
      <w:r>
        <w:t xml:space="preserve"> </w:t>
      </w:r>
      <w:r>
        <w:rPr>
          <w:bCs/>
          <w:b/>
        </w:rPr>
        <w:t xml:space="preserve">I</w:t>
      </w:r>
      <w:r>
        <w:t xml:space="preserve"> </w:t>
      </w:r>
      <w:r>
        <w:t xml:space="preserve">immédiate ·</w:t>
      </w:r>
      <w:r>
        <w:t xml:space="preserve"> </w:t>
      </w:r>
      <w:r>
        <w:rPr>
          <w:bCs/>
          <w:b/>
        </w:rPr>
        <w:t xml:space="preserve">R</w:t>
      </w:r>
      <w:r>
        <w:t xml:space="preserve"> </w:t>
      </w:r>
      <w:r>
        <w:t xml:space="preserve">regroupée dans le résumé quotidien (SIG-RF-COM-10).</w:t>
      </w:r>
    </w:p>
    <w:tbl>
      <w:tblPr>
        <w:tblStyle w:val="Table"/>
        <w:tblW w:type="dxa" w:w="9354"/>
        <w:tblLayout w:type="fixed"/>
        <w:tblLook w:firstRow="1" w:lastRow="0" w:firstColumn="0" w:lastColumn="0" w:noHBand="0" w:noVBand="0" w:val="0020"/>
        <w:jc w:val="start"/>
      </w:tblPr>
      <w:tblGrid>
        <w:gridCol w:w="2558"/>
        <w:gridCol w:w="2459"/>
        <w:gridCol w:w="2197"/>
        <w:gridCol w:w="2140"/>
      </w:tblGrid>
      <w:tr>
        <w:trPr>
          <w:tblHeader w:val="true"/>
        </w:trPr>
        <w:tc>
          <w:tcPr/>
          <w:p>
            <w:pPr>
              <w:pStyle w:val="Compact"/>
              <w:jc w:val="left"/>
            </w:pPr>
            <w:r>
              <w:t xml:space="preserve">Événement</w:t>
            </w:r>
          </w:p>
        </w:tc>
        <w:tc>
          <w:tcPr/>
          <w:p>
            <w:pPr>
              <w:pStyle w:val="Compact"/>
              <w:jc w:val="left"/>
            </w:pPr>
            <w:r>
              <w:t xml:space="preserve">Destinataires</w:t>
            </w:r>
          </w:p>
        </w:tc>
        <w:tc>
          <w:tcPr/>
          <w:p>
            <w:pPr>
              <w:pStyle w:val="Compact"/>
              <w:jc w:val="left"/>
            </w:pPr>
            <w:r>
              <w:t xml:space="preserve">Canaux</w:t>
            </w:r>
          </w:p>
        </w:tc>
        <w:tc>
          <w:tcPr/>
          <w:p>
            <w:pPr>
              <w:pStyle w:val="Compact"/>
              <w:jc w:val="left"/>
            </w:pPr>
            <w:r>
              <w:t xml:space="preserve">Urgence</w:t>
            </w:r>
          </w:p>
        </w:tc>
      </w:tr>
      <w:tr>
        <w:tc>
          <w:tcPr/>
          <w:p>
            <w:pPr>
              <w:pStyle w:val="Compact"/>
              <w:jc w:val="left"/>
            </w:pPr>
            <w:r>
              <w:t xml:space="preserve">Tâche assignée</w:t>
            </w:r>
          </w:p>
        </w:tc>
        <w:tc>
          <w:tcPr/>
          <w:p>
            <w:pPr>
              <w:pStyle w:val="Compact"/>
              <w:jc w:val="left"/>
            </w:pPr>
            <w:r>
              <w:t xml:space="preserve">Responsable et co-responsables</w:t>
            </w:r>
          </w:p>
        </w:tc>
        <w:tc>
          <w:tcPr/>
          <w:p>
            <w:pPr>
              <w:pStyle w:val="Compact"/>
              <w:jc w:val="left"/>
            </w:pPr>
            <w:r>
              <w:t xml:space="preserve">A, C</w:t>
            </w:r>
          </w:p>
        </w:tc>
        <w:tc>
          <w:tcPr/>
          <w:p>
            <w:pPr>
              <w:pStyle w:val="Compact"/>
              <w:jc w:val="left"/>
            </w:pPr>
            <w:r>
              <w:t xml:space="preserve">R</w:t>
            </w:r>
          </w:p>
        </w:tc>
      </w:tr>
      <w:tr>
        <w:tc>
          <w:tcPr/>
          <w:p>
            <w:pPr>
              <w:pStyle w:val="Compact"/>
              <w:jc w:val="left"/>
            </w:pPr>
            <w:r>
              <w:t xml:space="preserve">Tâche urgente assignée</w:t>
            </w:r>
          </w:p>
        </w:tc>
        <w:tc>
          <w:tcPr/>
          <w:p>
            <w:pPr>
              <w:pStyle w:val="Compact"/>
              <w:jc w:val="left"/>
            </w:pPr>
            <w:r>
              <w:t xml:space="preserve">Responsable</w:t>
            </w:r>
          </w:p>
        </w:tc>
        <w:tc>
          <w:tcPr/>
          <w:p>
            <w:pPr>
              <w:pStyle w:val="Compact"/>
              <w:jc w:val="left"/>
            </w:pPr>
            <w:r>
              <w:t xml:space="preserve">A, C, S</w:t>
            </w:r>
          </w:p>
        </w:tc>
        <w:tc>
          <w:tcPr/>
          <w:p>
            <w:pPr>
              <w:pStyle w:val="Compact"/>
              <w:jc w:val="left"/>
            </w:pPr>
            <w:r>
              <w:t xml:space="preserve">I</w:t>
            </w:r>
          </w:p>
        </w:tc>
      </w:tr>
      <w:tr>
        <w:tc>
          <w:tcPr/>
          <w:p>
            <w:pPr>
              <w:pStyle w:val="Compact"/>
              <w:jc w:val="left"/>
            </w:pPr>
            <w:r>
              <w:t xml:space="preserve">Échéance de tâche à J−1</w:t>
            </w:r>
          </w:p>
        </w:tc>
        <w:tc>
          <w:tcPr/>
          <w:p>
            <w:pPr>
              <w:pStyle w:val="Compact"/>
              <w:jc w:val="left"/>
            </w:pPr>
            <w:r>
              <w:t xml:space="preserve">Responsable</w:t>
            </w:r>
          </w:p>
        </w:tc>
        <w:tc>
          <w:tcPr/>
          <w:p>
            <w:pPr>
              <w:pStyle w:val="Compact"/>
              <w:jc w:val="left"/>
            </w:pPr>
            <w:r>
              <w:t xml:space="preserve">A, C</w:t>
            </w:r>
          </w:p>
        </w:tc>
        <w:tc>
          <w:tcPr/>
          <w:p>
            <w:pPr>
              <w:pStyle w:val="Compact"/>
              <w:jc w:val="left"/>
            </w:pPr>
            <w:r>
              <w:t xml:space="preserve">R</w:t>
            </w:r>
          </w:p>
        </w:tc>
      </w:tr>
      <w:tr>
        <w:tc>
          <w:tcPr/>
          <w:p>
            <w:pPr>
              <w:pStyle w:val="Compact"/>
              <w:jc w:val="left"/>
            </w:pPr>
            <w:r>
              <w:t xml:space="preserve">Tâche en retard</w:t>
            </w:r>
          </w:p>
        </w:tc>
        <w:tc>
          <w:tcPr/>
          <w:p>
            <w:pPr>
              <w:pStyle w:val="Compact"/>
              <w:jc w:val="left"/>
            </w:pPr>
            <w:r>
              <w:t xml:space="preserve">Responsable et son chef direct</w:t>
            </w:r>
          </w:p>
        </w:tc>
        <w:tc>
          <w:tcPr/>
          <w:p>
            <w:pPr>
              <w:pStyle w:val="Compact"/>
              <w:jc w:val="left"/>
            </w:pPr>
            <w:r>
              <w:t xml:space="preserve">A, C</w:t>
            </w:r>
          </w:p>
        </w:tc>
        <w:tc>
          <w:tcPr/>
          <w:p>
            <w:pPr>
              <w:pStyle w:val="Compact"/>
              <w:jc w:val="left"/>
            </w:pPr>
            <w:r>
              <w:t xml:space="preserve">R</w:t>
            </w:r>
          </w:p>
        </w:tc>
      </w:tr>
      <w:tr>
        <w:tc>
          <w:tcPr/>
          <w:p>
            <w:pPr>
              <w:pStyle w:val="Compact"/>
              <w:jc w:val="left"/>
            </w:pPr>
            <w:r>
              <w:t xml:space="preserve">Tâche soumise pour validation</w:t>
            </w:r>
          </w:p>
        </w:tc>
        <w:tc>
          <w:tcPr/>
          <w:p>
            <w:pPr>
              <w:pStyle w:val="Compact"/>
              <w:jc w:val="left"/>
            </w:pPr>
            <w:r>
              <w:t xml:space="preserve">Créateur ou chef direct</w:t>
            </w:r>
          </w:p>
        </w:tc>
        <w:tc>
          <w:tcPr/>
          <w:p>
            <w:pPr>
              <w:pStyle w:val="Compact"/>
              <w:jc w:val="left"/>
            </w:pPr>
            <w:r>
              <w:t xml:space="preserve">A, C</w:t>
            </w:r>
          </w:p>
        </w:tc>
        <w:tc>
          <w:tcPr/>
          <w:p>
            <w:pPr>
              <w:pStyle w:val="Compact"/>
              <w:jc w:val="left"/>
            </w:pPr>
            <w:r>
              <w:t xml:space="preserve">R</w:t>
            </w:r>
          </w:p>
        </w:tc>
      </w:tr>
      <w:tr>
        <w:tc>
          <w:tcPr/>
          <w:p>
            <w:pPr>
              <w:pStyle w:val="Compact"/>
              <w:jc w:val="left"/>
            </w:pPr>
            <w:r>
              <w:t xml:space="preserve">Tâche rejetée</w:t>
            </w:r>
          </w:p>
        </w:tc>
        <w:tc>
          <w:tcPr/>
          <w:p>
            <w:pPr>
              <w:pStyle w:val="Compact"/>
              <w:jc w:val="left"/>
            </w:pPr>
            <w:r>
              <w:t xml:space="preserve">Responsable</w:t>
            </w:r>
          </w:p>
        </w:tc>
        <w:tc>
          <w:tcPr/>
          <w:p>
            <w:pPr>
              <w:pStyle w:val="Compact"/>
              <w:jc w:val="left"/>
            </w:pPr>
            <w:r>
              <w:t xml:space="preserve">A, C</w:t>
            </w:r>
          </w:p>
        </w:tc>
        <w:tc>
          <w:tcPr/>
          <w:p>
            <w:pPr>
              <w:pStyle w:val="Compact"/>
              <w:jc w:val="left"/>
            </w:pPr>
            <w:r>
              <w:t xml:space="preserve">I</w:t>
            </w:r>
          </w:p>
        </w:tc>
      </w:tr>
      <w:tr>
        <w:tc>
          <w:tcPr/>
          <w:p>
            <w:pPr>
              <w:pStyle w:val="Compact"/>
              <w:jc w:val="left"/>
            </w:pPr>
            <w:r>
              <w:t xml:space="preserve">Mention dans un commentaire</w:t>
            </w:r>
          </w:p>
        </w:tc>
        <w:tc>
          <w:tcPr/>
          <w:p>
            <w:pPr>
              <w:pStyle w:val="Compact"/>
              <w:jc w:val="left"/>
            </w:pPr>
            <w:r>
              <w:t xml:space="preserve">Personne mentionnée</w:t>
            </w:r>
          </w:p>
        </w:tc>
        <w:tc>
          <w:tcPr/>
          <w:p>
            <w:pPr>
              <w:pStyle w:val="Compact"/>
              <w:jc w:val="left"/>
            </w:pPr>
            <w:r>
              <w:t xml:space="preserve">A, C</w:t>
            </w:r>
          </w:p>
        </w:tc>
        <w:tc>
          <w:tcPr/>
          <w:p>
            <w:pPr>
              <w:pStyle w:val="Compact"/>
              <w:jc w:val="left"/>
            </w:pPr>
            <w:r>
              <w:t xml:space="preserve">R</w:t>
            </w:r>
          </w:p>
        </w:tc>
      </w:tr>
      <w:tr>
        <w:tc>
          <w:tcPr/>
          <w:p>
            <w:pPr>
              <w:pStyle w:val="Compact"/>
              <w:jc w:val="left"/>
            </w:pPr>
            <w:r>
              <w:t xml:space="preserve">Annonce diffusée</w:t>
            </w:r>
          </w:p>
        </w:tc>
        <w:tc>
          <w:tcPr/>
          <w:p>
            <w:pPr>
              <w:pStyle w:val="Compact"/>
              <w:jc w:val="left"/>
            </w:pPr>
            <w:r>
              <w:t xml:space="preserve">Périmètre ciblé</w:t>
            </w:r>
          </w:p>
        </w:tc>
        <w:tc>
          <w:tcPr/>
          <w:p>
            <w:pPr>
              <w:pStyle w:val="Compact"/>
              <w:jc w:val="left"/>
            </w:pPr>
            <w:r>
              <w:t xml:space="preserve">A, C</w:t>
            </w:r>
          </w:p>
        </w:tc>
        <w:tc>
          <w:tcPr/>
          <w:p>
            <w:pPr>
              <w:pStyle w:val="Compact"/>
              <w:jc w:val="left"/>
            </w:pPr>
            <w:r>
              <w:t xml:space="preserve">R</w:t>
            </w:r>
          </w:p>
        </w:tc>
      </w:tr>
      <w:tr>
        <w:tc>
          <w:tcPr/>
          <w:p>
            <w:pPr>
              <w:pStyle w:val="Compact"/>
              <w:jc w:val="left"/>
            </w:pPr>
            <w:r>
              <w:t xml:space="preserve">Annonce critique</w:t>
            </w:r>
          </w:p>
        </w:tc>
        <w:tc>
          <w:tcPr/>
          <w:p>
            <w:pPr>
              <w:pStyle w:val="Compact"/>
              <w:jc w:val="left"/>
            </w:pPr>
            <w:r>
              <w:t xml:space="preserve">Périmètre ciblé</w:t>
            </w:r>
          </w:p>
        </w:tc>
        <w:tc>
          <w:tcPr/>
          <w:p>
            <w:pPr>
              <w:pStyle w:val="Compact"/>
              <w:jc w:val="left"/>
            </w:pPr>
            <w:r>
              <w:t xml:space="preserve">A, C, S</w:t>
            </w:r>
          </w:p>
        </w:tc>
        <w:tc>
          <w:tcPr/>
          <w:p>
            <w:pPr>
              <w:pStyle w:val="Compact"/>
              <w:jc w:val="left"/>
            </w:pPr>
            <w:r>
              <w:t xml:space="preserve">I</w:t>
            </w:r>
          </w:p>
        </w:tc>
      </w:tr>
      <w:tr>
        <w:tc>
          <w:tcPr/>
          <w:p>
            <w:pPr>
              <w:pStyle w:val="Compact"/>
              <w:jc w:val="left"/>
            </w:pPr>
            <w:r>
              <w:t xml:space="preserve">Message direct reçu</w:t>
            </w:r>
          </w:p>
        </w:tc>
        <w:tc>
          <w:tcPr/>
          <w:p>
            <w:pPr>
              <w:pStyle w:val="Compact"/>
              <w:jc w:val="left"/>
            </w:pPr>
            <w:r>
              <w:t xml:space="preserve">Destinataire</w:t>
            </w:r>
          </w:p>
        </w:tc>
        <w:tc>
          <w:tcPr/>
          <w:p>
            <w:pPr>
              <w:pStyle w:val="Compact"/>
              <w:jc w:val="left"/>
            </w:pPr>
            <w:r>
              <w:t xml:space="preserve">A</w:t>
            </w:r>
          </w:p>
        </w:tc>
        <w:tc>
          <w:tcPr/>
          <w:p>
            <w:pPr>
              <w:pStyle w:val="Compact"/>
              <w:jc w:val="left"/>
            </w:pPr>
            <w:r>
              <w:t xml:space="preserve">I</w:t>
            </w:r>
          </w:p>
        </w:tc>
      </w:tr>
      <w:tr>
        <w:tc>
          <w:tcPr/>
          <w:p>
            <w:pPr>
              <w:pStyle w:val="Compact"/>
              <w:jc w:val="left"/>
            </w:pPr>
            <w:r>
              <w:t xml:space="preserve">Convocation à une réunion</w:t>
            </w:r>
          </w:p>
        </w:tc>
        <w:tc>
          <w:tcPr/>
          <w:p>
            <w:pPr>
              <w:pStyle w:val="Compact"/>
              <w:jc w:val="left"/>
            </w:pPr>
            <w:r>
              <w:t xml:space="preserve">Participants</w:t>
            </w:r>
          </w:p>
        </w:tc>
        <w:tc>
          <w:tcPr/>
          <w:p>
            <w:pPr>
              <w:pStyle w:val="Compact"/>
              <w:jc w:val="left"/>
            </w:pPr>
            <w:r>
              <w:t xml:space="preserve">A, C</w:t>
            </w:r>
          </w:p>
        </w:tc>
        <w:tc>
          <w:tcPr/>
          <w:p>
            <w:pPr>
              <w:pStyle w:val="Compact"/>
              <w:jc w:val="left"/>
            </w:pPr>
            <w:r>
              <w:t xml:space="preserve">I</w:t>
            </w:r>
          </w:p>
        </w:tc>
      </w:tr>
      <w:tr>
        <w:tc>
          <w:tcPr/>
          <w:p>
            <w:pPr>
              <w:pStyle w:val="Compact"/>
              <w:jc w:val="left"/>
            </w:pPr>
            <w:r>
              <w:t xml:space="preserve">Rappel de réunion à J−1</w:t>
            </w:r>
          </w:p>
        </w:tc>
        <w:tc>
          <w:tcPr/>
          <w:p>
            <w:pPr>
              <w:pStyle w:val="Compact"/>
              <w:jc w:val="left"/>
            </w:pPr>
            <w:r>
              <w:t xml:space="preserve">Participants</w:t>
            </w:r>
          </w:p>
        </w:tc>
        <w:tc>
          <w:tcPr/>
          <w:p>
            <w:pPr>
              <w:pStyle w:val="Compact"/>
              <w:jc w:val="left"/>
            </w:pPr>
            <w:r>
              <w:t xml:space="preserve">A, C</w:t>
            </w:r>
          </w:p>
        </w:tc>
        <w:tc>
          <w:tcPr/>
          <w:p>
            <w:pPr>
              <w:pStyle w:val="Compact"/>
              <w:jc w:val="left"/>
            </w:pPr>
            <w:r>
              <w:t xml:space="preserve">R</w:t>
            </w:r>
          </w:p>
        </w:tc>
      </w:tr>
      <w:tr>
        <w:tc>
          <w:tcPr/>
          <w:p>
            <w:pPr>
              <w:pStyle w:val="Compact"/>
              <w:jc w:val="left"/>
            </w:pPr>
            <w:r>
              <w:t xml:space="preserve">Décision convertie en action</w:t>
            </w:r>
          </w:p>
        </w:tc>
        <w:tc>
          <w:tcPr/>
          <w:p>
            <w:pPr>
              <w:pStyle w:val="Compact"/>
              <w:jc w:val="left"/>
            </w:pPr>
            <w:r>
              <w:t xml:space="preserve">Responsable désigné</w:t>
            </w:r>
          </w:p>
        </w:tc>
        <w:tc>
          <w:tcPr/>
          <w:p>
            <w:pPr>
              <w:pStyle w:val="Compact"/>
              <w:jc w:val="left"/>
            </w:pPr>
            <w:r>
              <w:t xml:space="preserve">A, C</w:t>
            </w:r>
          </w:p>
        </w:tc>
        <w:tc>
          <w:tcPr/>
          <w:p>
            <w:pPr>
              <w:pStyle w:val="Compact"/>
              <w:jc w:val="left"/>
            </w:pPr>
            <w:r>
              <w:t xml:space="preserve">R</w:t>
            </w:r>
          </w:p>
        </w:tc>
      </w:tr>
      <w:tr>
        <w:tc>
          <w:tcPr/>
          <w:p>
            <w:pPr>
              <w:pStyle w:val="Compact"/>
              <w:jc w:val="left"/>
            </w:pPr>
            <w:r>
              <w:t xml:space="preserve">Demande d’absence soumise</w:t>
            </w:r>
          </w:p>
        </w:tc>
        <w:tc>
          <w:tcPr/>
          <w:p>
            <w:pPr>
              <w:pStyle w:val="Compact"/>
              <w:jc w:val="left"/>
            </w:pPr>
            <w:r>
              <w:t xml:space="preserve">Chef d’unité, DRH en information</w:t>
            </w:r>
          </w:p>
        </w:tc>
        <w:tc>
          <w:tcPr/>
          <w:p>
            <w:pPr>
              <w:pStyle w:val="Compact"/>
              <w:jc w:val="left"/>
            </w:pPr>
            <w:r>
              <w:t xml:space="preserve">A, C</w:t>
            </w:r>
          </w:p>
        </w:tc>
        <w:tc>
          <w:tcPr/>
          <w:p>
            <w:pPr>
              <w:pStyle w:val="Compact"/>
              <w:jc w:val="left"/>
            </w:pPr>
            <w:r>
              <w:t xml:space="preserve">I</w:t>
            </w:r>
          </w:p>
        </w:tc>
      </w:tr>
      <w:tr>
        <w:tc>
          <w:tcPr/>
          <w:p>
            <w:pPr>
              <w:pStyle w:val="Compact"/>
              <w:jc w:val="left"/>
            </w:pPr>
            <w:r>
              <w:t xml:space="preserve">Avis non rendu à H−12 du délai</w:t>
            </w:r>
          </w:p>
        </w:tc>
        <w:tc>
          <w:tcPr/>
          <w:p>
            <w:pPr>
              <w:pStyle w:val="Compact"/>
              <w:jc w:val="left"/>
            </w:pPr>
            <w:r>
              <w:t xml:space="preserve">Chef d’unité</w:t>
            </w:r>
          </w:p>
        </w:tc>
        <w:tc>
          <w:tcPr/>
          <w:p>
            <w:pPr>
              <w:pStyle w:val="Compact"/>
              <w:jc w:val="left"/>
            </w:pPr>
            <w:r>
              <w:t xml:space="preserve">A, C</w:t>
            </w:r>
          </w:p>
        </w:tc>
        <w:tc>
          <w:tcPr/>
          <w:p>
            <w:pPr>
              <w:pStyle w:val="Compact"/>
              <w:jc w:val="left"/>
            </w:pPr>
            <w:r>
              <w:t xml:space="preserve">I</w:t>
            </w:r>
          </w:p>
        </w:tc>
      </w:tr>
      <w:tr>
        <w:tc>
          <w:tcPr/>
          <w:p>
            <w:pPr>
              <w:pStyle w:val="Compact"/>
              <w:jc w:val="left"/>
            </w:pPr>
            <w:r>
              <w:t xml:space="preserve">Demande approuvée ou refusée</w:t>
            </w:r>
          </w:p>
        </w:tc>
        <w:tc>
          <w:tcPr/>
          <w:p>
            <w:pPr>
              <w:pStyle w:val="Compact"/>
              <w:jc w:val="left"/>
            </w:pPr>
            <w:r>
              <w:t xml:space="preserve">Agent, chef d’unité, SAF</w:t>
            </w:r>
          </w:p>
        </w:tc>
        <w:tc>
          <w:tcPr/>
          <w:p>
            <w:pPr>
              <w:pStyle w:val="Compact"/>
              <w:jc w:val="left"/>
            </w:pPr>
            <w:r>
              <w:t xml:space="preserve">A, C</w:t>
            </w:r>
          </w:p>
        </w:tc>
        <w:tc>
          <w:tcPr/>
          <w:p>
            <w:pPr>
              <w:pStyle w:val="Compact"/>
              <w:jc w:val="left"/>
            </w:pPr>
            <w:r>
              <w:t xml:space="preserve">I</w:t>
            </w:r>
          </w:p>
        </w:tc>
      </w:tr>
      <w:tr>
        <w:tc>
          <w:tcPr/>
          <w:p>
            <w:pPr>
              <w:pStyle w:val="Compact"/>
              <w:jc w:val="left"/>
            </w:pPr>
            <w:r>
              <w:t xml:space="preserve">Absence débutant le jour même</w:t>
            </w:r>
          </w:p>
        </w:tc>
        <w:tc>
          <w:tcPr/>
          <w:p>
            <w:pPr>
              <w:pStyle w:val="Compact"/>
              <w:jc w:val="left"/>
            </w:pPr>
            <w:r>
              <w:t xml:space="preserve">Chef d’unité</w:t>
            </w:r>
          </w:p>
        </w:tc>
        <w:tc>
          <w:tcPr/>
          <w:p>
            <w:pPr>
              <w:pStyle w:val="Compact"/>
              <w:jc w:val="left"/>
            </w:pPr>
            <w:r>
              <w:t xml:space="preserve">A</w:t>
            </w:r>
          </w:p>
        </w:tc>
        <w:tc>
          <w:tcPr/>
          <w:p>
            <w:pPr>
              <w:pStyle w:val="Compact"/>
              <w:jc w:val="left"/>
            </w:pPr>
            <w:r>
              <w:t xml:space="preserve">R</w:t>
            </w:r>
          </w:p>
        </w:tc>
      </w:tr>
      <w:tr>
        <w:tc>
          <w:tcPr/>
          <w:p>
            <w:pPr>
              <w:pStyle w:val="Compact"/>
              <w:jc w:val="left"/>
            </w:pPr>
            <w:r>
              <w:t xml:space="preserve">Rotation de stage à J−2</w:t>
            </w:r>
          </w:p>
        </w:tc>
        <w:tc>
          <w:tcPr/>
          <w:p>
            <w:pPr>
              <w:pStyle w:val="Compact"/>
              <w:jc w:val="left"/>
            </w:pPr>
            <w:r>
              <w:t xml:space="preserve">Stagiaire, unité quittée, unité d’accueil</w:t>
            </w:r>
          </w:p>
        </w:tc>
        <w:tc>
          <w:tcPr/>
          <w:p>
            <w:pPr>
              <w:pStyle w:val="Compact"/>
              <w:jc w:val="left"/>
            </w:pPr>
            <w:r>
              <w:t xml:space="preserve">A, C, W</w:t>
            </w:r>
          </w:p>
        </w:tc>
        <w:tc>
          <w:tcPr/>
          <w:p>
            <w:pPr>
              <w:pStyle w:val="Compact"/>
              <w:jc w:val="left"/>
            </w:pPr>
            <w:r>
              <w:t xml:space="preserve">I</w:t>
            </w:r>
          </w:p>
        </w:tc>
      </w:tr>
      <w:tr>
        <w:tc>
          <w:tcPr/>
          <w:p>
            <w:pPr>
              <w:pStyle w:val="Compact"/>
              <w:jc w:val="left"/>
            </w:pPr>
            <w:r>
              <w:t xml:space="preserve">Clôture de rotation</w:t>
            </w:r>
          </w:p>
        </w:tc>
        <w:tc>
          <w:tcPr/>
          <w:p>
            <w:pPr>
              <w:pStyle w:val="Compact"/>
              <w:jc w:val="left"/>
            </w:pPr>
            <w:r>
              <w:t xml:space="preserve">Stagiaire, encadreur sortant</w:t>
            </w:r>
          </w:p>
        </w:tc>
        <w:tc>
          <w:tcPr/>
          <w:p>
            <w:pPr>
              <w:pStyle w:val="Compact"/>
              <w:jc w:val="left"/>
            </w:pPr>
            <w:r>
              <w:t xml:space="preserve">A, C, W</w:t>
            </w:r>
          </w:p>
        </w:tc>
        <w:tc>
          <w:tcPr/>
          <w:p>
            <w:pPr>
              <w:pStyle w:val="Compact"/>
              <w:jc w:val="left"/>
            </w:pPr>
            <w:r>
              <w:t xml:space="preserve">I</w:t>
            </w:r>
          </w:p>
        </w:tc>
      </w:tr>
      <w:tr>
        <w:tc>
          <w:tcPr/>
          <w:p>
            <w:pPr>
              <w:pStyle w:val="Compact"/>
              <w:jc w:val="left"/>
            </w:pPr>
            <w:r>
              <w:t xml:space="preserve">Accueil en rotation</w:t>
            </w:r>
          </w:p>
        </w:tc>
        <w:tc>
          <w:tcPr/>
          <w:p>
            <w:pPr>
              <w:pStyle w:val="Compact"/>
              <w:jc w:val="left"/>
            </w:pPr>
            <w:r>
              <w:t xml:space="preserve">Unité d’accueil et son encadreur</w:t>
            </w:r>
          </w:p>
        </w:tc>
        <w:tc>
          <w:tcPr/>
          <w:p>
            <w:pPr>
              <w:pStyle w:val="Compact"/>
              <w:jc w:val="left"/>
            </w:pPr>
            <w:r>
              <w:t xml:space="preserve">A, C, W</w:t>
            </w:r>
          </w:p>
        </w:tc>
        <w:tc>
          <w:tcPr/>
          <w:p>
            <w:pPr>
              <w:pStyle w:val="Compact"/>
              <w:jc w:val="left"/>
            </w:pPr>
            <w:r>
              <w:t xml:space="preserve">I</w:t>
            </w:r>
          </w:p>
        </w:tc>
      </w:tr>
      <w:tr>
        <w:tc>
          <w:tcPr/>
          <w:p>
            <w:pPr>
              <w:pStyle w:val="Compact"/>
              <w:jc w:val="left"/>
            </w:pPr>
            <w:r>
              <w:t xml:space="preserve">Accusé de réception non reçu à J+1</w:t>
            </w:r>
          </w:p>
        </w:tc>
        <w:tc>
          <w:tcPr/>
          <w:p>
            <w:pPr>
              <w:pStyle w:val="Compact"/>
              <w:jc w:val="left"/>
            </w:pPr>
            <w:r>
              <w:t xml:space="preserve">DRH</w:t>
            </w:r>
          </w:p>
        </w:tc>
        <w:tc>
          <w:tcPr/>
          <w:p>
            <w:pPr>
              <w:pStyle w:val="Compact"/>
              <w:jc w:val="left"/>
            </w:pPr>
            <w:r>
              <w:t xml:space="preserve">A, C</w:t>
            </w:r>
          </w:p>
        </w:tc>
        <w:tc>
          <w:tcPr/>
          <w:p>
            <w:pPr>
              <w:pStyle w:val="Compact"/>
              <w:jc w:val="left"/>
            </w:pPr>
            <w:r>
              <w:t xml:space="preserve">I</w:t>
            </w:r>
          </w:p>
        </w:tc>
      </w:tr>
      <w:tr>
        <w:tc>
          <w:tcPr/>
          <w:p>
            <w:pPr>
              <w:pStyle w:val="Compact"/>
              <w:jc w:val="left"/>
            </w:pPr>
            <w:r>
              <w:t xml:space="preserve">Fiche d’évaluation attendue</w:t>
            </w:r>
          </w:p>
        </w:tc>
        <w:tc>
          <w:tcPr/>
          <w:p>
            <w:pPr>
              <w:pStyle w:val="Compact"/>
              <w:jc w:val="left"/>
            </w:pPr>
            <w:r>
              <w:t xml:space="preserve">Encadreur sortant</w:t>
            </w:r>
          </w:p>
        </w:tc>
        <w:tc>
          <w:tcPr/>
          <w:p>
            <w:pPr>
              <w:pStyle w:val="Compact"/>
              <w:jc w:val="left"/>
            </w:pPr>
            <w:r>
              <w:t xml:space="preserve">A, C</w:t>
            </w:r>
          </w:p>
        </w:tc>
        <w:tc>
          <w:tcPr/>
          <w:p>
            <w:pPr>
              <w:pStyle w:val="Compact"/>
              <w:jc w:val="left"/>
            </w:pPr>
            <w:r>
              <w:t xml:space="preserve">R</w:t>
            </w:r>
          </w:p>
        </w:tc>
      </w:tr>
      <w:tr>
        <w:tc>
          <w:tcPr/>
          <w:p>
            <w:pPr>
              <w:pStyle w:val="Compact"/>
              <w:jc w:val="left"/>
            </w:pPr>
            <w:r>
              <w:t xml:space="preserve">Rapport de stage déposé</w:t>
            </w:r>
          </w:p>
        </w:tc>
        <w:tc>
          <w:tcPr/>
          <w:p>
            <w:pPr>
              <w:pStyle w:val="Compact"/>
              <w:jc w:val="left"/>
            </w:pPr>
            <w:r>
              <w:t xml:space="preserve">Encadreur principal</w:t>
            </w:r>
          </w:p>
        </w:tc>
        <w:tc>
          <w:tcPr/>
          <w:p>
            <w:pPr>
              <w:pStyle w:val="Compact"/>
              <w:jc w:val="left"/>
            </w:pPr>
            <w:r>
              <w:t xml:space="preserve">A, C</w:t>
            </w:r>
          </w:p>
        </w:tc>
        <w:tc>
          <w:tcPr/>
          <w:p>
            <w:pPr>
              <w:pStyle w:val="Compact"/>
              <w:jc w:val="left"/>
            </w:pPr>
            <w:r>
              <w:t xml:space="preserve">R</w:t>
            </w:r>
          </w:p>
        </w:tc>
      </w:tr>
      <w:tr>
        <w:tc>
          <w:tcPr/>
          <w:p>
            <w:pPr>
              <w:pStyle w:val="Compact"/>
              <w:jc w:val="left"/>
            </w:pPr>
            <w:r>
              <w:t xml:space="preserve">Attestation générée</w:t>
            </w:r>
          </w:p>
        </w:tc>
        <w:tc>
          <w:tcPr/>
          <w:p>
            <w:pPr>
              <w:pStyle w:val="Compact"/>
              <w:jc w:val="left"/>
            </w:pPr>
            <w:r>
              <w:t xml:space="preserve">Stagiaire, DRH</w:t>
            </w:r>
          </w:p>
        </w:tc>
        <w:tc>
          <w:tcPr/>
          <w:p>
            <w:pPr>
              <w:pStyle w:val="Compact"/>
              <w:jc w:val="left"/>
            </w:pPr>
            <w:r>
              <w:t xml:space="preserve">A, C</w:t>
            </w:r>
          </w:p>
        </w:tc>
        <w:tc>
          <w:tcPr/>
          <w:p>
            <w:pPr>
              <w:pStyle w:val="Compact"/>
              <w:jc w:val="left"/>
            </w:pPr>
            <w:r>
              <w:t xml:space="preserve">I</w:t>
            </w:r>
          </w:p>
        </w:tc>
      </w:tr>
      <w:tr>
        <w:tc>
          <w:tcPr/>
          <w:p>
            <w:pPr>
              <w:pStyle w:val="Compact"/>
              <w:jc w:val="left"/>
            </w:pPr>
            <w:r>
              <w:t xml:space="preserve">Bulletin de paie disponible</w:t>
            </w:r>
          </w:p>
        </w:tc>
        <w:tc>
          <w:tcPr/>
          <w:p>
            <w:pPr>
              <w:pStyle w:val="Compact"/>
              <w:jc w:val="left"/>
            </w:pPr>
            <w:r>
              <w:t xml:space="preserve">Agent concerné</w:t>
            </w:r>
          </w:p>
        </w:tc>
        <w:tc>
          <w:tcPr/>
          <w:p>
            <w:pPr>
              <w:pStyle w:val="Compact"/>
              <w:jc w:val="left"/>
            </w:pPr>
            <w:r>
              <w:t xml:space="preserve">A, C</w:t>
            </w:r>
          </w:p>
        </w:tc>
        <w:tc>
          <w:tcPr/>
          <w:p>
            <w:pPr>
              <w:pStyle w:val="Compact"/>
              <w:jc w:val="left"/>
            </w:pPr>
            <w:r>
              <w:t xml:space="preserve">I</w:t>
            </w:r>
          </w:p>
        </w:tc>
      </w:tr>
      <w:tr>
        <w:tc>
          <w:tcPr/>
          <w:p>
            <w:pPr>
              <w:pStyle w:val="Compact"/>
              <w:jc w:val="left"/>
            </w:pPr>
            <w:r>
              <w:t xml:space="preserve">Campagne à valider</w:t>
            </w:r>
          </w:p>
        </w:tc>
        <w:tc>
          <w:tcPr/>
          <w:p>
            <w:pPr>
              <w:pStyle w:val="Compact"/>
              <w:jc w:val="left"/>
            </w:pPr>
            <w:r>
              <w:t xml:space="preserve">Chef SAF</w:t>
            </w:r>
          </w:p>
        </w:tc>
        <w:tc>
          <w:tcPr/>
          <w:p>
            <w:pPr>
              <w:pStyle w:val="Compact"/>
              <w:jc w:val="left"/>
            </w:pPr>
            <w:r>
              <w:t xml:space="preserve">A, C</w:t>
            </w:r>
          </w:p>
        </w:tc>
        <w:tc>
          <w:tcPr/>
          <w:p>
            <w:pPr>
              <w:pStyle w:val="Compact"/>
              <w:jc w:val="left"/>
            </w:pPr>
            <w:r>
              <w:t xml:space="preserve">I</w:t>
            </w:r>
          </w:p>
        </w:tc>
      </w:tr>
      <w:tr>
        <w:tc>
          <w:tcPr/>
          <w:p>
            <w:pPr>
              <w:pStyle w:val="Compact"/>
              <w:jc w:val="left"/>
            </w:pPr>
            <w:r>
              <w:t xml:space="preserve">Instruction émise</w:t>
            </w:r>
          </w:p>
        </w:tc>
        <w:tc>
          <w:tcPr/>
          <w:p>
            <w:pPr>
              <w:pStyle w:val="Compact"/>
              <w:jc w:val="left"/>
            </w:pPr>
            <w:r>
              <w:t xml:space="preserve">Destinataire (SAF ou RH)</w:t>
            </w:r>
          </w:p>
        </w:tc>
        <w:tc>
          <w:tcPr/>
          <w:p>
            <w:pPr>
              <w:pStyle w:val="Compact"/>
              <w:jc w:val="left"/>
            </w:pPr>
            <w:r>
              <w:t xml:space="preserve">A, C</w:t>
            </w:r>
          </w:p>
        </w:tc>
        <w:tc>
          <w:tcPr/>
          <w:p>
            <w:pPr>
              <w:pStyle w:val="Compact"/>
              <w:jc w:val="left"/>
            </w:pPr>
            <w:r>
              <w:t xml:space="preserve">I</w:t>
            </w:r>
          </w:p>
        </w:tc>
      </w:tr>
      <w:tr>
        <w:tc>
          <w:tcPr/>
          <w:p>
            <w:pPr>
              <w:pStyle w:val="Compact"/>
              <w:jc w:val="left"/>
            </w:pPr>
            <w:r>
              <w:t xml:space="preserve">Instruction non exécutée depuis 7 jours</w:t>
            </w:r>
          </w:p>
        </w:tc>
        <w:tc>
          <w:tcPr/>
          <w:p>
            <w:pPr>
              <w:pStyle w:val="Compact"/>
              <w:jc w:val="left"/>
            </w:pPr>
            <w:r>
              <w:t xml:space="preserve">Émetteur et destinataire</w:t>
            </w:r>
          </w:p>
        </w:tc>
        <w:tc>
          <w:tcPr/>
          <w:p>
            <w:pPr>
              <w:pStyle w:val="Compact"/>
              <w:jc w:val="left"/>
            </w:pPr>
            <w:r>
              <w:t xml:space="preserve">A, C</w:t>
            </w:r>
          </w:p>
        </w:tc>
        <w:tc>
          <w:tcPr/>
          <w:p>
            <w:pPr>
              <w:pStyle w:val="Compact"/>
              <w:jc w:val="left"/>
            </w:pPr>
            <w:r>
              <w:t xml:space="preserve">R</w:t>
            </w:r>
          </w:p>
        </w:tc>
      </w:tr>
      <w:tr>
        <w:tc>
          <w:tcPr/>
          <w:p>
            <w:pPr>
              <w:pStyle w:val="Compact"/>
              <w:jc w:val="left"/>
            </w:pPr>
            <w:r>
              <w:t xml:space="preserve">Courrier imputé</w:t>
            </w:r>
          </w:p>
        </w:tc>
        <w:tc>
          <w:tcPr/>
          <w:p>
            <w:pPr>
              <w:pStyle w:val="Compact"/>
              <w:jc w:val="left"/>
            </w:pPr>
            <w:r>
              <w:t xml:space="preserve">Unité ou agent destinataire</w:t>
            </w:r>
          </w:p>
        </w:tc>
        <w:tc>
          <w:tcPr/>
          <w:p>
            <w:pPr>
              <w:pStyle w:val="Compact"/>
              <w:jc w:val="left"/>
            </w:pPr>
            <w:r>
              <w:t xml:space="preserve">A, C</w:t>
            </w:r>
          </w:p>
        </w:tc>
        <w:tc>
          <w:tcPr/>
          <w:p>
            <w:pPr>
              <w:pStyle w:val="Compact"/>
              <w:jc w:val="left"/>
            </w:pPr>
            <w:r>
              <w:t xml:space="preserve">I</w:t>
            </w:r>
          </w:p>
        </w:tc>
      </w:tr>
      <w:tr>
        <w:tc>
          <w:tcPr/>
          <w:p>
            <w:pPr>
              <w:pStyle w:val="Compact"/>
              <w:jc w:val="left"/>
            </w:pPr>
            <w:r>
              <w:t xml:space="preserve">Courrier non traité dans le délai</w:t>
            </w:r>
          </w:p>
        </w:tc>
        <w:tc>
          <w:tcPr/>
          <w:p>
            <w:pPr>
              <w:pStyle w:val="Compact"/>
              <w:jc w:val="left"/>
            </w:pPr>
            <w:r>
              <w:t xml:space="preserve">Destinataire et son chef</w:t>
            </w:r>
          </w:p>
        </w:tc>
        <w:tc>
          <w:tcPr/>
          <w:p>
            <w:pPr>
              <w:pStyle w:val="Compact"/>
              <w:jc w:val="left"/>
            </w:pPr>
            <w:r>
              <w:t xml:space="preserve">A, C</w:t>
            </w:r>
          </w:p>
        </w:tc>
        <w:tc>
          <w:tcPr/>
          <w:p>
            <w:pPr>
              <w:pStyle w:val="Compact"/>
              <w:jc w:val="left"/>
            </w:pPr>
            <w:r>
              <w:t xml:space="preserve">R</w:t>
            </w:r>
          </w:p>
        </w:tc>
      </w:tr>
      <w:tr>
        <w:tc>
          <w:tcPr/>
          <w:p>
            <w:pPr>
              <w:pStyle w:val="Compact"/>
              <w:jc w:val="left"/>
            </w:pPr>
            <w:r>
              <w:t xml:space="preserve">Note de service publiée</w:t>
            </w:r>
          </w:p>
        </w:tc>
        <w:tc>
          <w:tcPr/>
          <w:p>
            <w:pPr>
              <w:pStyle w:val="Compact"/>
              <w:jc w:val="left"/>
            </w:pPr>
            <w:r>
              <w:t xml:space="preserve">Périmètre ciblé</w:t>
            </w:r>
          </w:p>
        </w:tc>
        <w:tc>
          <w:tcPr/>
          <w:p>
            <w:pPr>
              <w:pStyle w:val="Compact"/>
              <w:jc w:val="left"/>
            </w:pPr>
            <w:r>
              <w:t xml:space="preserve">A, C</w:t>
            </w:r>
          </w:p>
        </w:tc>
        <w:tc>
          <w:tcPr/>
          <w:p>
            <w:pPr>
              <w:pStyle w:val="Compact"/>
              <w:jc w:val="left"/>
            </w:pPr>
            <w:r>
              <w:t xml:space="preserve">I</w:t>
            </w:r>
          </w:p>
        </w:tc>
      </w:tr>
      <w:tr>
        <w:tc>
          <w:tcPr/>
          <w:p>
            <w:pPr>
              <w:pStyle w:val="Compact"/>
              <w:jc w:val="left"/>
            </w:pPr>
            <w:r>
              <w:t xml:space="preserve">Fin de contrat ou de stage à J−15</w:t>
            </w:r>
          </w:p>
        </w:tc>
        <w:tc>
          <w:tcPr/>
          <w:p>
            <w:pPr>
              <w:pStyle w:val="Compact"/>
              <w:jc w:val="left"/>
            </w:pPr>
            <w:r>
              <w:t xml:space="preserve">DRH</w:t>
            </w:r>
          </w:p>
        </w:tc>
        <w:tc>
          <w:tcPr/>
          <w:p>
            <w:pPr>
              <w:pStyle w:val="Compact"/>
              <w:jc w:val="left"/>
            </w:pPr>
            <w:r>
              <w:t xml:space="preserve">A, C</w:t>
            </w:r>
          </w:p>
        </w:tc>
        <w:tc>
          <w:tcPr/>
          <w:p>
            <w:pPr>
              <w:pStyle w:val="Compact"/>
              <w:jc w:val="left"/>
            </w:pPr>
            <w:r>
              <w:t xml:space="preserve">R</w:t>
            </w:r>
          </w:p>
        </w:tc>
      </w:tr>
      <w:tr>
        <w:tc>
          <w:tcPr/>
          <w:p>
            <w:pPr>
              <w:pStyle w:val="Compact"/>
              <w:jc w:val="left"/>
            </w:pPr>
            <w:r>
              <w:t xml:space="preserve">Compte créé ou réactivé</w:t>
            </w:r>
          </w:p>
        </w:tc>
        <w:tc>
          <w:tcPr/>
          <w:p>
            <w:pPr>
              <w:pStyle w:val="Compact"/>
              <w:jc w:val="left"/>
            </w:pPr>
            <w:r>
              <w:t xml:space="preserve">Agent concerné</w:t>
            </w:r>
          </w:p>
        </w:tc>
        <w:tc>
          <w:tcPr/>
          <w:p>
            <w:pPr>
              <w:pStyle w:val="Compact"/>
              <w:jc w:val="left"/>
            </w:pPr>
            <w:r>
              <w:t xml:space="preserve">C</w:t>
            </w:r>
          </w:p>
        </w:tc>
        <w:tc>
          <w:tcPr/>
          <w:p>
            <w:pPr>
              <w:pStyle w:val="Compact"/>
              <w:jc w:val="left"/>
            </w:pPr>
            <w:r>
              <w:t xml:space="preserve">I</w:t>
            </w:r>
          </w:p>
        </w:tc>
      </w:tr>
      <w:tr>
        <w:tc>
          <w:tcPr/>
          <w:p>
            <w:pPr>
              <w:pStyle w:val="Compact"/>
              <w:jc w:val="left"/>
            </w:pPr>
            <w:r>
              <w:t xml:space="preserve">Maintenance programmée</w:t>
            </w:r>
          </w:p>
        </w:tc>
        <w:tc>
          <w:tcPr/>
          <w:p>
            <w:pPr>
              <w:pStyle w:val="Compact"/>
              <w:jc w:val="left"/>
            </w:pPr>
            <w:r>
              <w:t xml:space="preserve">Tous</w:t>
            </w:r>
          </w:p>
        </w:tc>
        <w:tc>
          <w:tcPr/>
          <w:p>
            <w:pPr>
              <w:pStyle w:val="Compact"/>
              <w:jc w:val="left"/>
            </w:pPr>
            <w:r>
              <w:t xml:space="preserve">A, C</w:t>
            </w:r>
          </w:p>
        </w:tc>
        <w:tc>
          <w:tcPr/>
          <w:p>
            <w:pPr>
              <w:pStyle w:val="Compact"/>
              <w:jc w:val="left"/>
            </w:pPr>
            <w:r>
              <w:t xml:space="preserve">R</w:t>
            </w:r>
          </w:p>
        </w:tc>
      </w:tr>
    </w:tbl>
    <w:p>
      <w:pPr>
        <w:pStyle w:val="BodyText"/>
      </w:pPr>
      <w:r>
        <w:rPr>
          <w:bCs/>
          <w:b/>
        </w:rPr>
        <w:t xml:space="preserve">Deux règles de civilité, sans lesquelles les agents désactiveront</w:t>
      </w:r>
      <w:r>
        <w:rPr>
          <w:bCs/>
          <w:b/>
        </w:rPr>
        <w:t xml:space="preserve"> </w:t>
      </w:r>
      <w:r>
        <w:rPr>
          <w:bCs/>
          <w:b/>
        </w:rPr>
        <w:t xml:space="preserve">leurs notifications dès la deuxième semaine.</w:t>
      </w:r>
      <w:r>
        <w:t xml:space="preserve"> </w:t>
      </w:r>
      <w:r>
        <w:t xml:space="preserve">Les notifications</w:t>
      </w:r>
      <w:r>
        <w:t xml:space="preserve"> </w:t>
      </w:r>
      <w:r>
        <w:t xml:space="preserve">marquées R sont regroupées en un résumé quotidien unique, envoyé à une</w:t>
      </w:r>
      <w:r>
        <w:t xml:space="preserve"> </w:t>
      </w:r>
      <w:r>
        <w:t xml:space="preserve">heure paramétrable. Les notifications marquées I sont envoyées</w:t>
      </w:r>
      <w:r>
        <w:t xml:space="preserve"> </w:t>
      </w:r>
      <w:r>
        <w:t xml:space="preserve">immédiatement, mais uniquement à l’intérieur d’une plage horaire</w:t>
      </w:r>
      <w:r>
        <w:t xml:space="preserve"> </w:t>
      </w:r>
      <w:r>
        <w:t xml:space="preserve">paramétrable, exception faite des annonces critiques. Chaque agent peut</w:t>
      </w:r>
      <w:r>
        <w:t xml:space="preserve"> </w:t>
      </w:r>
      <w:r>
        <w:t xml:space="preserve">désactiver les canaux secondaires (courriel, SMS, WhatsApp), jamais le</w:t>
      </w:r>
      <w:r>
        <w:t xml:space="preserve"> </w:t>
      </w:r>
      <w:r>
        <w:t xml:space="preserve">canal applicatif, qui reste le canal de référence.</w:t>
      </w:r>
    </w:p>
    <w:bookmarkEnd w:id="195"/>
    <w:bookmarkStart w:id="216" w:name="Xabbb164d9fbd2717befdeaf83726b82fa86b2cf"/>
    <w:p>
      <w:pPr>
        <w:pStyle w:val="Heading2"/>
      </w:pPr>
      <w:r>
        <w:t xml:space="preserve">A8. Exigences fonctionnelles du domaine A</w:t>
      </w:r>
    </w:p>
    <w:p>
      <w:pPr>
        <w:pStyle w:val="FirstParagraph"/>
      </w:pPr>
      <w:r>
        <w:t xml:space="preserve">Chaque exigence porte un identifiant unique, une priorité MoSCoW et le lot au plus tard duquel elle doit être satisfaite. Les identifiants du cahier SI v3.1 sont conservés à l’identique, préfixés</w:t>
      </w:r>
      <w:r>
        <w:t xml:space="preserve"> </w:t>
      </w:r>
      <w:r>
        <w:rPr>
          <w:rStyle w:val="VerbatimChar"/>
        </w:rPr>
        <w:t xml:space="preserve">SIG-</w:t>
      </w:r>
      <w:r>
        <w:t xml:space="preserve">. Les lots ont en revanche été renumérotés selon le lotissement en huit lots de la Partie 0, section 12.</w:t>
      </w:r>
    </w:p>
    <w:tbl>
      <w:tblPr>
        <w:tblStyle w:val="Table"/>
        <w:tblW w:type="dxa" w:w="9354"/>
        <w:tblLayout w:type="fixed"/>
        <w:tblLook w:firstRow="1" w:lastRow="0" w:firstColumn="0" w:lastColumn="0" w:noHBand="0" w:noVBand="0" w:val="0020"/>
        <w:jc w:val="start"/>
      </w:tblPr>
      <w:tblGrid>
        <w:gridCol w:w="3722"/>
        <w:gridCol w:w="3104"/>
        <w:gridCol w:w="2528"/>
      </w:tblGrid>
      <w:tr>
        <w:trPr>
          <w:tblHeader w:val="true"/>
        </w:trPr>
        <w:tc>
          <w:tcPr/>
          <w:p>
            <w:pPr>
              <w:pStyle w:val="Compact"/>
              <w:jc w:val="left"/>
            </w:pPr>
            <w:r>
              <w:t xml:space="preserve">Groupe</w:t>
            </w:r>
          </w:p>
        </w:tc>
        <w:tc>
          <w:tcPr/>
          <w:p>
            <w:pPr>
              <w:pStyle w:val="Compact"/>
              <w:jc w:val="left"/>
            </w:pPr>
            <w:r>
              <w:t xml:space="preserve">Objet</w:t>
            </w:r>
          </w:p>
        </w:tc>
        <w:tc>
          <w:tcPr/>
          <w:p>
            <w:pPr>
              <w:pStyle w:val="Compact"/>
              <w:jc w:val="left"/>
            </w:pPr>
            <w:r>
              <w:t xml:space="preserve">Lot</w:t>
            </w:r>
          </w:p>
        </w:tc>
      </w:tr>
      <w:tr>
        <w:tc>
          <w:tcPr/>
          <w:p>
            <w:pPr>
              <w:pStyle w:val="Compact"/>
              <w:jc w:val="left"/>
            </w:pPr>
            <w:r>
              <w:rPr>
                <w:rStyle w:val="VerbatimChar"/>
              </w:rPr>
              <w:t xml:space="preserve">SIG-RF-ORG</w:t>
            </w:r>
          </w:p>
        </w:tc>
        <w:tc>
          <w:tcPr/>
          <w:p>
            <w:pPr>
              <w:pStyle w:val="Compact"/>
              <w:jc w:val="left"/>
            </w:pPr>
            <w:r>
              <w:t xml:space="preserve">Référentiel organisationnel</w:t>
            </w:r>
          </w:p>
        </w:tc>
        <w:tc>
          <w:tcPr/>
          <w:p>
            <w:pPr>
              <w:pStyle w:val="Compact"/>
              <w:jc w:val="left"/>
            </w:pPr>
            <w:r>
              <w:t xml:space="preserve">0</w:t>
            </w:r>
          </w:p>
        </w:tc>
      </w:tr>
      <w:tr>
        <w:tc>
          <w:tcPr/>
          <w:p>
            <w:pPr>
              <w:pStyle w:val="Compact"/>
              <w:jc w:val="left"/>
            </w:pPr>
            <w:r>
              <w:rPr>
                <w:rStyle w:val="VerbatimChar"/>
              </w:rPr>
              <w:t xml:space="preserve">SIG-RF-PER</w:t>
            </w:r>
          </w:p>
        </w:tc>
        <w:tc>
          <w:tcPr/>
          <w:p>
            <w:pPr>
              <w:pStyle w:val="Compact"/>
              <w:jc w:val="left"/>
            </w:pPr>
            <w:r>
              <w:t xml:space="preserve">Personnel et dossier agent</w:t>
            </w:r>
          </w:p>
        </w:tc>
        <w:tc>
          <w:tcPr/>
          <w:p>
            <w:pPr>
              <w:pStyle w:val="Compact"/>
              <w:jc w:val="left"/>
            </w:pPr>
            <w:r>
              <w:t xml:space="preserve">0</w:t>
            </w:r>
          </w:p>
        </w:tc>
      </w:tr>
      <w:tr>
        <w:tc>
          <w:tcPr/>
          <w:p>
            <w:pPr>
              <w:pStyle w:val="Compact"/>
              <w:jc w:val="left"/>
            </w:pPr>
            <w:r>
              <w:rPr>
                <w:rStyle w:val="VerbatimChar"/>
              </w:rPr>
              <w:t xml:space="preserve">SIG-RF-PTA</w:t>
            </w:r>
          </w:p>
        </w:tc>
        <w:tc>
          <w:tcPr/>
          <w:p>
            <w:pPr>
              <w:pStyle w:val="Compact"/>
              <w:jc w:val="left"/>
            </w:pPr>
            <w:r>
              <w:t xml:space="preserve">Plan de travail et activités</w:t>
            </w:r>
          </w:p>
        </w:tc>
        <w:tc>
          <w:tcPr/>
          <w:p>
            <w:pPr>
              <w:pStyle w:val="Compact"/>
              <w:jc w:val="left"/>
            </w:pPr>
            <w:r>
              <w:t xml:space="preserve">1</w:t>
            </w:r>
          </w:p>
        </w:tc>
      </w:tr>
      <w:tr>
        <w:tc>
          <w:tcPr/>
          <w:p>
            <w:pPr>
              <w:pStyle w:val="Compact"/>
              <w:jc w:val="left"/>
            </w:pPr>
            <w:r>
              <w:rPr>
                <w:rStyle w:val="VerbatimChar"/>
              </w:rPr>
              <w:t xml:space="preserve">SIG-RF-TAC</w:t>
            </w:r>
          </w:p>
        </w:tc>
        <w:tc>
          <w:tcPr/>
          <w:p>
            <w:pPr>
              <w:pStyle w:val="Compact"/>
              <w:jc w:val="left"/>
            </w:pPr>
            <w:r>
              <w:t xml:space="preserve">Tâches et sous-tâches</w:t>
            </w:r>
          </w:p>
        </w:tc>
        <w:tc>
          <w:tcPr/>
          <w:p>
            <w:pPr>
              <w:pStyle w:val="Compact"/>
              <w:jc w:val="left"/>
            </w:pPr>
            <w:r>
              <w:t xml:space="preserve">1</w:t>
            </w:r>
          </w:p>
        </w:tc>
      </w:tr>
      <w:tr>
        <w:tc>
          <w:tcPr/>
          <w:p>
            <w:pPr>
              <w:pStyle w:val="Compact"/>
              <w:jc w:val="left"/>
            </w:pPr>
            <w:r>
              <w:rPr>
                <w:rStyle w:val="VerbatimChar"/>
              </w:rPr>
              <w:t xml:space="preserve">SIG-RF-RUN</w:t>
            </w:r>
          </w:p>
        </w:tc>
        <w:tc>
          <w:tcPr/>
          <w:p>
            <w:pPr>
              <w:pStyle w:val="Compact"/>
              <w:jc w:val="left"/>
            </w:pPr>
            <w:r>
              <w:t xml:space="preserve">Réunions, décisions et actions</w:t>
            </w:r>
          </w:p>
        </w:tc>
        <w:tc>
          <w:tcPr/>
          <w:p>
            <w:pPr>
              <w:pStyle w:val="Compact"/>
              <w:jc w:val="left"/>
            </w:pPr>
            <w:r>
              <w:t xml:space="preserve">1</w:t>
            </w:r>
          </w:p>
        </w:tc>
      </w:tr>
      <w:tr>
        <w:tc>
          <w:tcPr/>
          <w:p>
            <w:pPr>
              <w:pStyle w:val="Compact"/>
              <w:jc w:val="left"/>
            </w:pPr>
            <w:r>
              <w:rPr>
                <w:rStyle w:val="VerbatimChar"/>
              </w:rPr>
              <w:t xml:space="preserve">SIG-RF-COM</w:t>
            </w:r>
          </w:p>
        </w:tc>
        <w:tc>
          <w:tcPr/>
          <w:p>
            <w:pPr>
              <w:pStyle w:val="Compact"/>
              <w:jc w:val="left"/>
            </w:pPr>
            <w:r>
              <w:t xml:space="preserve">Communication, annonces, sondages, suggestions</w:t>
            </w:r>
          </w:p>
        </w:tc>
        <w:tc>
          <w:tcPr/>
          <w:p>
            <w:pPr>
              <w:pStyle w:val="Compact"/>
              <w:jc w:val="left"/>
            </w:pPr>
            <w:r>
              <w:t xml:space="preserve">1</w:t>
            </w:r>
          </w:p>
        </w:tc>
      </w:tr>
      <w:tr>
        <w:tc>
          <w:tcPr/>
          <w:p>
            <w:pPr>
              <w:pStyle w:val="Compact"/>
              <w:jc w:val="left"/>
            </w:pPr>
            <w:r>
              <w:rPr>
                <w:rStyle w:val="VerbatimChar"/>
              </w:rPr>
              <w:t xml:space="preserve">SIG-RF-GED</w:t>
            </w:r>
          </w:p>
        </w:tc>
        <w:tc>
          <w:tcPr/>
          <w:p>
            <w:pPr>
              <w:pStyle w:val="Compact"/>
              <w:jc w:val="left"/>
            </w:pPr>
            <w:r>
              <w:t xml:space="preserve">Documentation et archivage</w:t>
            </w:r>
          </w:p>
        </w:tc>
        <w:tc>
          <w:tcPr/>
          <w:p>
            <w:pPr>
              <w:pStyle w:val="Compact"/>
              <w:jc w:val="left"/>
            </w:pPr>
            <w:r>
              <w:t xml:space="preserve">0 et 3</w:t>
            </w:r>
          </w:p>
        </w:tc>
      </w:tr>
      <w:tr>
        <w:tc>
          <w:tcPr/>
          <w:p>
            <w:pPr>
              <w:pStyle w:val="Compact"/>
              <w:jc w:val="left"/>
            </w:pPr>
            <w:r>
              <w:rPr>
                <w:rStyle w:val="VerbatimChar"/>
              </w:rPr>
              <w:t xml:space="preserve">SIG-RF-TMP</w:t>
            </w:r>
          </w:p>
        </w:tc>
        <w:tc>
          <w:tcPr/>
          <w:p>
            <w:pPr>
              <w:pStyle w:val="Compact"/>
              <w:jc w:val="left"/>
            </w:pPr>
            <w:r>
              <w:t xml:space="preserve">Temps et absences</w:t>
            </w:r>
          </w:p>
        </w:tc>
        <w:tc>
          <w:tcPr/>
          <w:p>
            <w:pPr>
              <w:pStyle w:val="Compact"/>
              <w:jc w:val="left"/>
            </w:pPr>
            <w:r>
              <w:t xml:space="preserve">3</w:t>
            </w:r>
          </w:p>
        </w:tc>
      </w:tr>
      <w:tr>
        <w:tc>
          <w:tcPr/>
          <w:p>
            <w:pPr>
              <w:pStyle w:val="Compact"/>
              <w:jc w:val="left"/>
            </w:pPr>
            <w:r>
              <w:rPr>
                <w:rStyle w:val="VerbatimChar"/>
              </w:rPr>
              <w:t xml:space="preserve">SIG-RF-STG</w:t>
            </w:r>
          </w:p>
        </w:tc>
        <w:tc>
          <w:tcPr/>
          <w:p>
            <w:pPr>
              <w:pStyle w:val="Compact"/>
              <w:jc w:val="left"/>
            </w:pPr>
            <w:r>
              <w:t xml:space="preserve">Stages et formation</w:t>
            </w:r>
          </w:p>
        </w:tc>
        <w:tc>
          <w:tcPr/>
          <w:p>
            <w:pPr>
              <w:pStyle w:val="Compact"/>
              <w:jc w:val="left"/>
            </w:pPr>
            <w:r>
              <w:t xml:space="preserve">3</w:t>
            </w:r>
          </w:p>
        </w:tc>
      </w:tr>
      <w:tr>
        <w:tc>
          <w:tcPr/>
          <w:p>
            <w:pPr>
              <w:pStyle w:val="Compact"/>
              <w:jc w:val="left"/>
            </w:pPr>
            <w:r>
              <w:rPr>
                <w:rStyle w:val="VerbatimChar"/>
              </w:rPr>
              <w:t xml:space="preserve">SIG-RF-PAI</w:t>
            </w:r>
          </w:p>
        </w:tc>
        <w:tc>
          <w:tcPr/>
          <w:p>
            <w:pPr>
              <w:pStyle w:val="Compact"/>
              <w:jc w:val="left"/>
            </w:pPr>
            <w:r>
              <w:t xml:space="preserve">Rémunération</w:t>
            </w:r>
          </w:p>
        </w:tc>
        <w:tc>
          <w:tcPr/>
          <w:p>
            <w:pPr>
              <w:pStyle w:val="Compact"/>
              <w:jc w:val="left"/>
            </w:pPr>
            <w:r>
              <w:t xml:space="preserve">5</w:t>
            </w:r>
          </w:p>
        </w:tc>
      </w:tr>
      <w:tr>
        <w:tc>
          <w:tcPr/>
          <w:p>
            <w:pPr>
              <w:pStyle w:val="Compact"/>
              <w:jc w:val="left"/>
            </w:pPr>
            <w:r>
              <w:rPr>
                <w:rStyle w:val="VerbatimChar"/>
              </w:rPr>
              <w:t xml:space="preserve">SIG-RF-INS</w:t>
            </w:r>
          </w:p>
        </w:tc>
        <w:tc>
          <w:tcPr/>
          <w:p>
            <w:pPr>
              <w:pStyle w:val="Compact"/>
              <w:jc w:val="left"/>
            </w:pPr>
            <w:r>
              <w:t xml:space="preserve">Instructions de la Direction</w:t>
            </w:r>
          </w:p>
        </w:tc>
        <w:tc>
          <w:tcPr/>
          <w:p>
            <w:pPr>
              <w:pStyle w:val="Compact"/>
              <w:jc w:val="left"/>
            </w:pPr>
            <w:r>
              <w:t xml:space="preserve">5</w:t>
            </w:r>
          </w:p>
        </w:tc>
      </w:tr>
      <w:tr>
        <w:tc>
          <w:tcPr/>
          <w:p>
            <w:pPr>
              <w:pStyle w:val="Compact"/>
              <w:jc w:val="left"/>
            </w:pPr>
            <w:r>
              <w:rPr>
                <w:rStyle w:val="VerbatimChar"/>
              </w:rPr>
              <w:t xml:space="preserve">SIG-RF-CRR</w:t>
            </w:r>
          </w:p>
        </w:tc>
        <w:tc>
          <w:tcPr/>
          <w:p>
            <w:pPr>
              <w:pStyle w:val="Compact"/>
              <w:jc w:val="left"/>
            </w:pPr>
            <w:r>
              <w:t xml:space="preserve">Courrier</w:t>
            </w:r>
          </w:p>
        </w:tc>
        <w:tc>
          <w:tcPr/>
          <w:p>
            <w:pPr>
              <w:pStyle w:val="Compact"/>
              <w:jc w:val="left"/>
            </w:pPr>
            <w:r>
              <w:t xml:space="preserve">5</w:t>
            </w:r>
          </w:p>
        </w:tc>
      </w:tr>
      <w:tr>
        <w:tc>
          <w:tcPr/>
          <w:p>
            <w:pPr>
              <w:pStyle w:val="Compact"/>
              <w:jc w:val="left"/>
            </w:pPr>
            <w:r>
              <w:rPr>
                <w:rStyle w:val="VerbatimChar"/>
              </w:rPr>
              <w:t xml:space="preserve">SIG-RF-ACT</w:t>
            </w:r>
          </w:p>
        </w:tc>
        <w:tc>
          <w:tcPr/>
          <w:p>
            <w:pPr>
              <w:pStyle w:val="Compact"/>
              <w:jc w:val="left"/>
            </w:pPr>
            <w:r>
              <w:t xml:space="preserve">Actes, visa et numérotation</w:t>
            </w:r>
          </w:p>
        </w:tc>
        <w:tc>
          <w:tcPr/>
          <w:p>
            <w:pPr>
              <w:pStyle w:val="Compact"/>
              <w:jc w:val="left"/>
            </w:pPr>
            <w:r>
              <w:t xml:space="preserve">5</w:t>
            </w:r>
          </w:p>
        </w:tc>
      </w:tr>
      <w:tr>
        <w:tc>
          <w:tcPr/>
          <w:p>
            <w:pPr>
              <w:pStyle w:val="Compact"/>
              <w:jc w:val="left"/>
            </w:pPr>
            <w:r>
              <w:rPr>
                <w:rStyle w:val="VerbatimChar"/>
              </w:rPr>
              <w:t xml:space="preserve">SIG-RF-LOG</w:t>
            </w:r>
          </w:p>
        </w:tc>
        <w:tc>
          <w:tcPr/>
          <w:p>
            <w:pPr>
              <w:pStyle w:val="Compact"/>
              <w:jc w:val="left"/>
            </w:pPr>
            <w:r>
              <w:t xml:space="preserve">Logistique</w:t>
            </w:r>
          </w:p>
        </w:tc>
        <w:tc>
          <w:tcPr/>
          <w:p>
            <w:pPr>
              <w:pStyle w:val="Compact"/>
              <w:jc w:val="left"/>
            </w:pPr>
            <w:r>
              <w:t xml:space="preserve">5</w:t>
            </w:r>
          </w:p>
        </w:tc>
      </w:tr>
      <w:tr>
        <w:tc>
          <w:tcPr/>
          <w:p>
            <w:pPr>
              <w:pStyle w:val="Compact"/>
              <w:jc w:val="left"/>
            </w:pPr>
            <w:r>
              <w:rPr>
                <w:rStyle w:val="VerbatimChar"/>
              </w:rPr>
              <w:t xml:space="preserve">SIG-RF-FIN</w:t>
            </w:r>
          </w:p>
        </w:tc>
        <w:tc>
          <w:tcPr/>
          <w:p>
            <w:pPr>
              <w:pStyle w:val="Compact"/>
              <w:jc w:val="left"/>
            </w:pPr>
            <w:r>
              <w:t xml:space="preserve">Ordres de paiement, missions, suivi budgétaire, états financiers</w:t>
            </w:r>
          </w:p>
        </w:tc>
        <w:tc>
          <w:tcPr/>
          <w:p>
            <w:pPr>
              <w:pStyle w:val="Compact"/>
              <w:jc w:val="left"/>
            </w:pPr>
            <w:r>
              <w:t xml:space="preserve">5</w:t>
            </w:r>
          </w:p>
        </w:tc>
      </w:tr>
      <w:tr>
        <w:tc>
          <w:tcPr/>
          <w:p>
            <w:pPr>
              <w:pStyle w:val="Compact"/>
              <w:jc w:val="left"/>
            </w:pPr>
            <w:r>
              <w:rPr>
                <w:rStyle w:val="VerbatimChar"/>
              </w:rPr>
              <w:t xml:space="preserve">SIG-RF-CAR</w:t>
            </w:r>
          </w:p>
        </w:tc>
        <w:tc>
          <w:tcPr/>
          <w:p>
            <w:pPr>
              <w:pStyle w:val="Compact"/>
              <w:jc w:val="left"/>
            </w:pPr>
            <w:r>
              <w:t xml:space="preserve">Effectifs, carrière et actes des ressources humaines</w:t>
            </w:r>
          </w:p>
        </w:tc>
        <w:tc>
          <w:tcPr/>
          <w:p>
            <w:pPr>
              <w:pStyle w:val="Compact"/>
              <w:jc w:val="left"/>
            </w:pPr>
            <w:r>
              <w:t xml:space="preserve">3</w:t>
            </w:r>
          </w:p>
        </w:tc>
      </w:tr>
      <w:tr>
        <w:tc>
          <w:tcPr/>
          <w:p>
            <w:pPr>
              <w:pStyle w:val="Compact"/>
              <w:jc w:val="left"/>
            </w:pPr>
            <w:r>
              <w:rPr>
                <w:rStyle w:val="VerbatimChar"/>
              </w:rPr>
              <w:t xml:space="preserve">SIG-RF-MSG</w:t>
            </w:r>
          </w:p>
        </w:tc>
        <w:tc>
          <w:tcPr/>
          <w:p>
            <w:pPr>
              <w:pStyle w:val="Compact"/>
              <w:jc w:val="left"/>
            </w:pPr>
            <w:r>
              <w:t xml:space="preserve">Messagerie, transmission de documents, recherche transverse</w:t>
            </w:r>
          </w:p>
        </w:tc>
        <w:tc>
          <w:tcPr/>
          <w:p>
            <w:pPr>
              <w:pStyle w:val="Compact"/>
              <w:jc w:val="left"/>
            </w:pPr>
            <w:r>
              <w:t xml:space="preserve">1</w:t>
            </w:r>
          </w:p>
        </w:tc>
      </w:tr>
      <w:tr>
        <w:tc>
          <w:tcPr/>
          <w:p>
            <w:pPr>
              <w:pStyle w:val="Compact"/>
              <w:jc w:val="left"/>
            </w:pPr>
            <w:r>
              <w:rPr>
                <w:rStyle w:val="VerbatimChar"/>
              </w:rPr>
              <w:t xml:space="preserve">SIG-RF-DOC</w:t>
            </w:r>
          </w:p>
        </w:tc>
        <w:tc>
          <w:tcPr/>
          <w:p>
            <w:pPr>
              <w:pStyle w:val="Compact"/>
              <w:jc w:val="left"/>
            </w:pPr>
            <w:r>
              <w:t xml:space="preserve">Documents administratifs générés et leur aperçu</w:t>
            </w:r>
          </w:p>
        </w:tc>
        <w:tc>
          <w:tcPr/>
          <w:p>
            <w:pPr>
              <w:pStyle w:val="Compact"/>
              <w:jc w:val="left"/>
            </w:pPr>
            <w:r>
              <w:t xml:space="preserve">3 et 5</w:t>
            </w:r>
          </w:p>
        </w:tc>
      </w:tr>
      <w:tr>
        <w:tc>
          <w:tcPr/>
          <w:p>
            <w:pPr>
              <w:pStyle w:val="Compact"/>
              <w:jc w:val="left"/>
            </w:pPr>
            <w:r>
              <w:rPr>
                <w:rStyle w:val="VerbatimChar"/>
              </w:rPr>
              <w:t xml:space="preserve">SIG-RF-TDB</w:t>
            </w:r>
          </w:p>
        </w:tc>
        <w:tc>
          <w:tcPr/>
          <w:p>
            <w:pPr>
              <w:pStyle w:val="Compact"/>
              <w:jc w:val="left"/>
            </w:pPr>
            <w:r>
              <w:t xml:space="preserve">Tableaux de bord</w:t>
            </w:r>
          </w:p>
        </w:tc>
        <w:tc>
          <w:tcPr/>
          <w:p>
            <w:pPr>
              <w:pStyle w:val="Compact"/>
              <w:jc w:val="left"/>
            </w:pPr>
            <w:r>
              <w:t xml:space="preserve">1 puis incrémental</w:t>
            </w:r>
          </w:p>
        </w:tc>
      </w:tr>
      <w:tr>
        <w:tc>
          <w:tcPr/>
          <w:p>
            <w:pPr>
              <w:pStyle w:val="Compact"/>
              <w:jc w:val="left"/>
            </w:pPr>
            <w:r>
              <w:rPr>
                <w:rStyle w:val="VerbatimChar"/>
              </w:rPr>
              <w:t xml:space="preserve">SIG-RF-REP</w:t>
            </w:r>
          </w:p>
        </w:tc>
        <w:tc>
          <w:tcPr/>
          <w:p>
            <w:pPr>
              <w:pStyle w:val="Compact"/>
              <w:jc w:val="left"/>
            </w:pPr>
            <w:r>
              <w:t xml:space="preserve">Reprise de l’existant</w:t>
            </w:r>
          </w:p>
        </w:tc>
        <w:tc>
          <w:tcPr/>
          <w:p>
            <w:pPr>
              <w:pStyle w:val="Compact"/>
              <w:jc w:val="left"/>
            </w:pPr>
            <w:r>
              <w:t xml:space="preserve">0</w:t>
            </w:r>
          </w:p>
        </w:tc>
      </w:tr>
    </w:tbl>
    <w:p>
      <w:pPr>
        <w:pStyle w:val="BodyText"/>
      </w:pPr>
      <w:r>
        <w:t xml:space="preserve">Les groupes</w:t>
      </w:r>
      <w:r>
        <w:t xml:space="preserve"> </w:t>
      </w:r>
      <w:r>
        <w:rPr>
          <w:rStyle w:val="VerbatimChar"/>
        </w:rPr>
        <w:t xml:space="preserve">RF-SEC</w:t>
      </w:r>
      <w:r>
        <w:t xml:space="preserve"> </w:t>
      </w:r>
      <w:r>
        <w:t xml:space="preserve">(comptes, sécurité et audit) et</w:t>
      </w:r>
      <w:r>
        <w:t xml:space="preserve"> </w:t>
      </w:r>
      <w:r>
        <w:rPr>
          <w:rStyle w:val="VerbatimChar"/>
        </w:rPr>
        <w:t xml:space="preserve">RF-CPL</w:t>
      </w:r>
      <w:r>
        <w:t xml:space="preserve"> </w:t>
      </w:r>
      <w:r>
        <w:t xml:space="preserve">(restitution et export) du cahier source ne figurent pas ici : leurs exigences ont été absorbées par la Partie 0, sections 4, 5, 10.2 et 10.10, et figurent dans la table de correspondance (Partie 0, section 15.2).</w:t>
      </w:r>
    </w:p>
    <w:bookmarkStart w:id="196" w:name="Xc9fe787520793bbb3bed8595f8a7cbcdcba6420"/>
    <w:p>
      <w:pPr>
        <w:pStyle w:val="Heading3"/>
      </w:pPr>
      <w:r>
        <w:t xml:space="preserve">A8.1 Référentiel organisationnel (SIG-RF-ORG)</w:t>
      </w:r>
    </w:p>
    <w:tbl>
      <w:tblPr>
        <w:tblStyle w:val="Table"/>
        <w:tblW w:type="dxa" w:w="9354"/>
        <w:tblLayout w:type="fixed"/>
        <w:tblLook w:firstRow="1" w:lastRow="0" w:firstColumn="0" w:lastColumn="0" w:noHBand="0" w:noVBand="0" w:val="0020"/>
        <w:jc w:val="start"/>
      </w:tblPr>
      <w:tblGrid>
        <w:gridCol w:w="2186"/>
        <w:gridCol w:w="3076"/>
        <w:gridCol w:w="2081"/>
        <w:gridCol w:w="2011"/>
      </w:tblGrid>
      <w:tr>
        <w:trPr>
          <w:tblHeader w:val="true"/>
        </w:trPr>
        <w:tc>
          <w:tcPr/>
          <w:p>
            <w:pPr>
              <w:pStyle w:val="Compact"/>
              <w:jc w:val="left"/>
            </w:pPr>
            <w:r>
              <w:t xml:space="preserve">ID</w:t>
            </w:r>
          </w:p>
        </w:tc>
        <w:tc>
          <w:tcPr/>
          <w:p>
            <w:pPr>
              <w:pStyle w:val="Compact"/>
              <w:jc w:val="left"/>
            </w:pPr>
            <w:r>
              <w:t xml:space="preserve">Exigence</w:t>
            </w:r>
          </w:p>
        </w:tc>
        <w:tc>
          <w:tcPr/>
          <w:p>
            <w:pPr>
              <w:pStyle w:val="Compact"/>
              <w:jc w:val="left"/>
            </w:pPr>
            <w:r>
              <w:t xml:space="preserve">Priorité</w:t>
            </w:r>
          </w:p>
        </w:tc>
        <w:tc>
          <w:tcPr/>
          <w:p>
            <w:pPr>
              <w:pStyle w:val="Compact"/>
              <w:jc w:val="left"/>
            </w:pPr>
            <w:r>
              <w:t xml:space="preserve">Lot</w:t>
            </w:r>
          </w:p>
        </w:tc>
      </w:tr>
      <w:tr>
        <w:tc>
          <w:tcPr/>
          <w:p>
            <w:pPr>
              <w:pStyle w:val="Compact"/>
              <w:jc w:val="left"/>
            </w:pPr>
            <w:r>
              <w:t xml:space="preserve">SIG-RF-ORG-01</w:t>
            </w:r>
          </w:p>
        </w:tc>
        <w:tc>
          <w:tcPr/>
          <w:p>
            <w:pPr>
              <w:pStyle w:val="Compact"/>
              <w:jc w:val="left"/>
            </w:pPr>
            <w:r>
              <w:t xml:space="preserve">Modèle d’unité organisationnelle générique et récursif (Direction, Division, Section, Cellule, Instance)</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SIG-RF-ORG-02</w:t>
            </w:r>
          </w:p>
        </w:tc>
        <w:tc>
          <w:tcPr/>
          <w:p>
            <w:pPr>
              <w:pStyle w:val="Compact"/>
              <w:jc w:val="left"/>
            </w:pPr>
            <w:r>
              <w:t xml:space="preserve">Rattachement d’un compte à une unité de tout niveau, sans obligation de section</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SIG-RF-ORG-03</w:t>
            </w:r>
          </w:p>
        </w:tc>
        <w:tc>
          <w:tcPr/>
          <w:p>
            <w:pPr>
              <w:pStyle w:val="Compact"/>
              <w:jc w:val="left"/>
            </w:pPr>
            <w:r>
              <w:t xml:space="preserve">Désignation d’un responsable et d’un suppléant daté par unité</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SIG-RF-ORG-04</w:t>
            </w:r>
          </w:p>
        </w:tc>
        <w:tc>
          <w:tcPr/>
          <w:p>
            <w:pPr>
              <w:pStyle w:val="Compact"/>
              <w:jc w:val="left"/>
            </w:pPr>
            <w:r>
              <w:t xml:space="preserve">Historisation des créations, fermetures et réorganisations d’unités</w:t>
            </w:r>
          </w:p>
        </w:tc>
        <w:tc>
          <w:tcPr/>
          <w:p>
            <w:pPr>
              <w:pStyle w:val="Compact"/>
              <w:jc w:val="left"/>
            </w:pPr>
            <w:r>
              <w:t xml:space="preserve">SHOULD</w:t>
            </w:r>
          </w:p>
        </w:tc>
        <w:tc>
          <w:tcPr/>
          <w:p>
            <w:pPr>
              <w:pStyle w:val="Compact"/>
              <w:jc w:val="left"/>
            </w:pPr>
            <w:r>
              <w:t xml:space="preserve">0</w:t>
            </w:r>
          </w:p>
        </w:tc>
      </w:tr>
      <w:tr>
        <w:tc>
          <w:tcPr/>
          <w:p>
            <w:pPr>
              <w:pStyle w:val="Compact"/>
              <w:jc w:val="left"/>
            </w:pPr>
            <w:r>
              <w:t xml:space="preserve">SIG-RF-ORG-05</w:t>
            </w:r>
          </w:p>
        </w:tc>
        <w:tc>
          <w:tcPr/>
          <w:p>
            <w:pPr>
              <w:pStyle w:val="Compact"/>
              <w:jc w:val="left"/>
            </w:pPr>
            <w:r>
              <w:t xml:space="preserve">Représentation interactive de l’organigramme</w:t>
            </w:r>
          </w:p>
        </w:tc>
        <w:tc>
          <w:tcPr/>
          <w:p>
            <w:pPr>
              <w:pStyle w:val="Compact"/>
              <w:jc w:val="left"/>
            </w:pPr>
            <w:r>
              <w:t xml:space="preserve">SHOULD</w:t>
            </w:r>
          </w:p>
        </w:tc>
        <w:tc>
          <w:tcPr/>
          <w:p>
            <w:pPr>
              <w:pStyle w:val="Compact"/>
              <w:jc w:val="left"/>
            </w:pPr>
            <w:r>
              <w:t xml:space="preserve">1</w:t>
            </w:r>
          </w:p>
        </w:tc>
      </w:tr>
    </w:tbl>
    <w:bookmarkEnd w:id="196"/>
    <w:bookmarkStart w:id="197" w:name="a8.2-personnel-sig-rf-per"/>
    <w:p>
      <w:pPr>
        <w:pStyle w:val="Heading3"/>
      </w:pPr>
      <w:r>
        <w:t xml:space="preserve">A8.2 Personnel (SIG-RF-PER)</w:t>
      </w:r>
    </w:p>
    <w:tbl>
      <w:tblPr>
        <w:tblStyle w:val="Table"/>
        <w:tblW w:type="dxa" w:w="9354"/>
        <w:tblLayout w:type="fixed"/>
        <w:tblLook w:firstRow="1" w:lastRow="0" w:firstColumn="0" w:lastColumn="0" w:noHBand="0" w:noVBand="0" w:val="0020"/>
        <w:jc w:val="start"/>
      </w:tblPr>
      <w:tblGrid>
        <w:gridCol w:w="2205"/>
        <w:gridCol w:w="3052"/>
        <w:gridCol w:w="2080"/>
        <w:gridCol w:w="2017"/>
      </w:tblGrid>
      <w:tr>
        <w:trPr>
          <w:tblHeader w:val="true"/>
        </w:trPr>
        <w:tc>
          <w:tcPr/>
          <w:p>
            <w:pPr>
              <w:pStyle w:val="Compact"/>
              <w:jc w:val="left"/>
            </w:pPr>
            <w:r>
              <w:t xml:space="preserve">ID</w:t>
            </w:r>
          </w:p>
        </w:tc>
        <w:tc>
          <w:tcPr/>
          <w:p>
            <w:pPr>
              <w:pStyle w:val="Compact"/>
              <w:jc w:val="left"/>
            </w:pPr>
            <w:r>
              <w:t xml:space="preserve">Exigence</w:t>
            </w:r>
          </w:p>
        </w:tc>
        <w:tc>
          <w:tcPr/>
          <w:p>
            <w:pPr>
              <w:pStyle w:val="Compact"/>
              <w:jc w:val="left"/>
            </w:pPr>
            <w:r>
              <w:t xml:space="preserve">Priorité</w:t>
            </w:r>
          </w:p>
        </w:tc>
        <w:tc>
          <w:tcPr/>
          <w:p>
            <w:pPr>
              <w:pStyle w:val="Compact"/>
              <w:jc w:val="left"/>
            </w:pPr>
            <w:r>
              <w:t xml:space="preserve">Lot</w:t>
            </w:r>
          </w:p>
        </w:tc>
      </w:tr>
      <w:tr>
        <w:tc>
          <w:tcPr/>
          <w:p>
            <w:pPr>
              <w:pStyle w:val="Compact"/>
              <w:jc w:val="left"/>
            </w:pPr>
            <w:r>
              <w:t xml:space="preserve">SIG-RF-PER-01</w:t>
            </w:r>
          </w:p>
        </w:tc>
        <w:tc>
          <w:tcPr/>
          <w:p>
            <w:pPr>
              <w:pStyle w:val="Compact"/>
              <w:jc w:val="left"/>
            </w:pPr>
            <w:r>
              <w:t xml:space="preserve">Dossier agent distinct du compte utilisateur, survivant au départ</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SIG-RF-PER-02</w:t>
            </w:r>
          </w:p>
        </w:tc>
        <w:tc>
          <w:tcPr/>
          <w:p>
            <w:pPr>
              <w:pStyle w:val="Compact"/>
              <w:jc w:val="left"/>
            </w:pPr>
            <w:r>
              <w:t xml:space="preserve">Champs administratifs : matricule, statut, grade, échelon, ancienneté, fonction, unité</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SIG-RF-PER-03</w:t>
            </w:r>
          </w:p>
        </w:tc>
        <w:tc>
          <w:tcPr/>
          <w:p>
            <w:pPr>
              <w:pStyle w:val="Compact"/>
              <w:jc w:val="left"/>
            </w:pPr>
            <w:r>
              <w:t xml:space="preserve">Pièces du dossier avec accès restreint (DRH, gestionnaire RH, agent concerné)</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SIG-RF-PER-04</w:t>
            </w:r>
          </w:p>
        </w:tc>
        <w:tc>
          <w:tcPr/>
          <w:p>
            <w:pPr>
              <w:pStyle w:val="Compact"/>
              <w:jc w:val="left"/>
            </w:pPr>
            <w:r>
              <w:t xml:space="preserve">Historique daté des mouvements (affectation, mutation, promotion)</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SIG-RF-PER-05</w:t>
            </w:r>
          </w:p>
        </w:tc>
        <w:tc>
          <w:tcPr/>
          <w:p>
            <w:pPr>
              <w:pStyle w:val="Compact"/>
              <w:jc w:val="left"/>
            </w:pPr>
            <w:r>
              <w:t xml:space="preserve">Annuaire n’exposant que les données professionnelles</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SIG-RF-PER-06</w:t>
            </w:r>
          </w:p>
        </w:tc>
        <w:tc>
          <w:tcPr/>
          <w:p>
            <w:pPr>
              <w:pStyle w:val="Compact"/>
              <w:jc w:val="left"/>
            </w:pPr>
            <w:r>
              <w:t xml:space="preserve">Fiche de poste rattachée à la fonction</w:t>
            </w:r>
          </w:p>
        </w:tc>
        <w:tc>
          <w:tcPr/>
          <w:p>
            <w:pPr>
              <w:pStyle w:val="Compact"/>
              <w:jc w:val="left"/>
            </w:pPr>
            <w:r>
              <w:t xml:space="preserve">SHOULD</w:t>
            </w:r>
          </w:p>
        </w:tc>
        <w:tc>
          <w:tcPr/>
          <w:p>
            <w:pPr>
              <w:pStyle w:val="Compact"/>
              <w:jc w:val="left"/>
            </w:pPr>
            <w:r>
              <w:t xml:space="preserve">3</w:t>
            </w:r>
          </w:p>
        </w:tc>
      </w:tr>
      <w:tr>
        <w:tc>
          <w:tcPr/>
          <w:p>
            <w:pPr>
              <w:pStyle w:val="Compact"/>
              <w:jc w:val="left"/>
            </w:pPr>
            <w:r>
              <w:t xml:space="preserve">SIG-RF-PER-07</w:t>
            </w:r>
          </w:p>
        </w:tc>
        <w:tc>
          <w:tcPr/>
          <w:p>
            <w:pPr>
              <w:pStyle w:val="Compact"/>
              <w:jc w:val="left"/>
            </w:pPr>
            <w:r>
              <w:t xml:space="preserve">Alertes RH : dossiers incomplets, fins de contrat, fins de stage</w:t>
            </w:r>
          </w:p>
        </w:tc>
        <w:tc>
          <w:tcPr/>
          <w:p>
            <w:pPr>
              <w:pStyle w:val="Compact"/>
              <w:jc w:val="left"/>
            </w:pPr>
            <w:r>
              <w:t xml:space="preserve">SHOULD</w:t>
            </w:r>
          </w:p>
        </w:tc>
        <w:tc>
          <w:tcPr/>
          <w:p>
            <w:pPr>
              <w:pStyle w:val="Compact"/>
              <w:jc w:val="left"/>
            </w:pPr>
            <w:r>
              <w:t xml:space="preserve">3</w:t>
            </w:r>
          </w:p>
        </w:tc>
      </w:tr>
      <w:tr>
        <w:tc>
          <w:tcPr/>
          <w:p>
            <w:pPr>
              <w:pStyle w:val="Compact"/>
              <w:jc w:val="left"/>
            </w:pPr>
            <w:r>
              <w:t xml:space="preserve">SIG-RF-PER-08</w:t>
            </w:r>
          </w:p>
        </w:tc>
        <w:tc>
          <w:tcPr/>
          <w:p>
            <w:pPr>
              <w:pStyle w:val="Compact"/>
              <w:jc w:val="left"/>
            </w:pPr>
            <w:r>
              <w:t xml:space="preserve">Objet Stagiaire à durée déterminée avec extinction automatique des accès</w:t>
            </w:r>
          </w:p>
        </w:tc>
        <w:tc>
          <w:tcPr/>
          <w:p>
            <w:pPr>
              <w:pStyle w:val="Compact"/>
              <w:jc w:val="left"/>
            </w:pPr>
            <w:r>
              <w:t xml:space="preserve">MUST</w:t>
            </w:r>
          </w:p>
        </w:tc>
        <w:tc>
          <w:tcPr/>
          <w:p>
            <w:pPr>
              <w:pStyle w:val="Compact"/>
              <w:jc w:val="left"/>
            </w:pPr>
            <w:r>
              <w:t xml:space="preserve">3</w:t>
            </w:r>
          </w:p>
        </w:tc>
      </w:tr>
    </w:tbl>
    <w:bookmarkEnd w:id="197"/>
    <w:bookmarkStart w:id="198" w:name="X5b21fcfc84e4454ae12c6faf5a400818f6f48ea"/>
    <w:p>
      <w:pPr>
        <w:pStyle w:val="Heading3"/>
      </w:pPr>
      <w:r>
        <w:t xml:space="preserve">A8.3 Plan de travail et activités (SIG-RF-PTA)</w:t>
      </w:r>
    </w:p>
    <w:tbl>
      <w:tblPr>
        <w:tblStyle w:val="Table"/>
        <w:tblW w:type="dxa" w:w="9354"/>
        <w:tblLayout w:type="fixed"/>
        <w:tblLook w:firstRow="1" w:lastRow="0" w:firstColumn="0" w:lastColumn="0" w:noHBand="0" w:noVBand="0" w:val="0020"/>
        <w:jc w:val="start"/>
      </w:tblPr>
      <w:tblGrid>
        <w:gridCol w:w="2217"/>
        <w:gridCol w:w="2989"/>
        <w:gridCol w:w="2108"/>
        <w:gridCol w:w="2040"/>
      </w:tblGrid>
      <w:tr>
        <w:trPr>
          <w:tblHeader w:val="true"/>
        </w:trPr>
        <w:tc>
          <w:tcPr/>
          <w:p>
            <w:pPr>
              <w:pStyle w:val="Compact"/>
              <w:jc w:val="left"/>
            </w:pPr>
            <w:r>
              <w:t xml:space="preserve">ID</w:t>
            </w:r>
          </w:p>
        </w:tc>
        <w:tc>
          <w:tcPr/>
          <w:p>
            <w:pPr>
              <w:pStyle w:val="Compact"/>
              <w:jc w:val="left"/>
            </w:pPr>
            <w:r>
              <w:t xml:space="preserve">Exigence</w:t>
            </w:r>
          </w:p>
        </w:tc>
        <w:tc>
          <w:tcPr/>
          <w:p>
            <w:pPr>
              <w:pStyle w:val="Compact"/>
              <w:jc w:val="left"/>
            </w:pPr>
            <w:r>
              <w:t xml:space="preserve">Priorité</w:t>
            </w:r>
          </w:p>
        </w:tc>
        <w:tc>
          <w:tcPr/>
          <w:p>
            <w:pPr>
              <w:pStyle w:val="Compact"/>
              <w:jc w:val="left"/>
            </w:pPr>
            <w:r>
              <w:t xml:space="preserve">Lot</w:t>
            </w:r>
          </w:p>
        </w:tc>
      </w:tr>
      <w:tr>
        <w:tc>
          <w:tcPr/>
          <w:p>
            <w:pPr>
              <w:pStyle w:val="Compact"/>
              <w:jc w:val="left"/>
            </w:pPr>
            <w:r>
              <w:t xml:space="preserve">SIG-RF-PTA-01</w:t>
            </w:r>
          </w:p>
        </w:tc>
        <w:tc>
          <w:tcPr/>
          <w:p>
            <w:pPr>
              <w:pStyle w:val="Compact"/>
              <w:jc w:val="left"/>
            </w:pPr>
            <w:r>
              <w:t xml:space="preserve">Plan de travail annuel par division, décliné en activités datées</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SIG-RF-PTA-02</w:t>
            </w:r>
          </w:p>
        </w:tc>
        <w:tc>
          <w:tcPr/>
          <w:p>
            <w:pPr>
              <w:pStyle w:val="Compact"/>
              <w:jc w:val="left"/>
            </w:pPr>
            <w:r>
              <w:t xml:space="preserve">Rattachement d’une tâche à une activité du plan de travail</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SIG-RF-PTA-03</w:t>
            </w:r>
          </w:p>
        </w:tc>
        <w:tc>
          <w:tcPr/>
          <w:p>
            <w:pPr>
              <w:pStyle w:val="Compact"/>
              <w:jc w:val="left"/>
            </w:pPr>
            <w:r>
              <w:t xml:space="preserve">Calcul de l’avancement d’une activité à partir de ses tâches</w:t>
            </w:r>
          </w:p>
        </w:tc>
        <w:tc>
          <w:tcPr/>
          <w:p>
            <w:pPr>
              <w:pStyle w:val="Compact"/>
              <w:jc w:val="left"/>
            </w:pPr>
            <w:r>
              <w:t xml:space="preserve">SHOULD</w:t>
            </w:r>
          </w:p>
        </w:tc>
        <w:tc>
          <w:tcPr/>
          <w:p>
            <w:pPr>
              <w:pStyle w:val="Compact"/>
              <w:jc w:val="left"/>
            </w:pPr>
            <w:r>
              <w:t xml:space="preserve">1</w:t>
            </w:r>
          </w:p>
        </w:tc>
      </w:tr>
      <w:tr>
        <w:tc>
          <w:tcPr/>
          <w:p>
            <w:pPr>
              <w:pStyle w:val="Compact"/>
              <w:jc w:val="left"/>
            </w:pPr>
            <w:r>
              <w:t xml:space="preserve">SIG-RF-PTA-04</w:t>
            </w:r>
          </w:p>
        </w:tc>
        <w:tc>
          <w:tcPr/>
          <w:p>
            <w:pPr>
              <w:pStyle w:val="Compact"/>
              <w:jc w:val="left"/>
            </w:pPr>
            <w:r>
              <w:t xml:space="preserve">Génération du rapport d’activité par agent, unité et Direction sur une période choisie</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SIG-RF-PTA-05</w:t>
            </w:r>
          </w:p>
        </w:tc>
        <w:tc>
          <w:tcPr/>
          <w:p>
            <w:pPr>
              <w:pStyle w:val="Compact"/>
              <w:jc w:val="left"/>
            </w:pPr>
            <w:r>
              <w:t xml:space="preserve">Comparaison réalisé / programmé par activité</w:t>
            </w:r>
          </w:p>
        </w:tc>
        <w:tc>
          <w:tcPr/>
          <w:p>
            <w:pPr>
              <w:pStyle w:val="Compact"/>
              <w:jc w:val="left"/>
            </w:pPr>
            <w:r>
              <w:t xml:space="preserve">COULD</w:t>
            </w:r>
          </w:p>
        </w:tc>
        <w:tc>
          <w:tcPr/>
          <w:p>
            <w:pPr>
              <w:pStyle w:val="Compact"/>
              <w:jc w:val="left"/>
            </w:pPr>
            <w:r>
              <w:t xml:space="preserve">5</w:t>
            </w:r>
          </w:p>
        </w:tc>
      </w:tr>
    </w:tbl>
    <w:bookmarkEnd w:id="198"/>
    <w:bookmarkStart w:id="199" w:name="a8.4-tâches-sig-rf-tac"/>
    <w:p>
      <w:pPr>
        <w:pStyle w:val="Heading3"/>
      </w:pPr>
      <w:r>
        <w:t xml:space="preserve">A8.4 Tâches (SIG-RF-TAC)</w:t>
      </w:r>
    </w:p>
    <w:tbl>
      <w:tblPr>
        <w:tblStyle w:val="Table"/>
        <w:tblW w:type="dxa" w:w="9354"/>
        <w:tblLayout w:type="fixed"/>
        <w:tblLook w:firstRow="1" w:lastRow="0" w:firstColumn="0" w:lastColumn="0" w:noHBand="0" w:noVBand="0" w:val="0020"/>
        <w:jc w:val="start"/>
      </w:tblPr>
      <w:tblGrid>
        <w:gridCol w:w="2253"/>
        <w:gridCol w:w="2868"/>
        <w:gridCol w:w="2185"/>
        <w:gridCol w:w="2048"/>
      </w:tblGrid>
      <w:tr>
        <w:trPr>
          <w:tblHeader w:val="true"/>
        </w:trPr>
        <w:tc>
          <w:tcPr/>
          <w:p>
            <w:pPr>
              <w:pStyle w:val="Compact"/>
              <w:jc w:val="left"/>
            </w:pPr>
            <w:r>
              <w:t xml:space="preserve">ID</w:t>
            </w:r>
          </w:p>
        </w:tc>
        <w:tc>
          <w:tcPr/>
          <w:p>
            <w:pPr>
              <w:pStyle w:val="Compact"/>
              <w:jc w:val="left"/>
            </w:pPr>
            <w:r>
              <w:t xml:space="preserve">Exigence</w:t>
            </w:r>
          </w:p>
        </w:tc>
        <w:tc>
          <w:tcPr/>
          <w:p>
            <w:pPr>
              <w:pStyle w:val="Compact"/>
              <w:jc w:val="left"/>
            </w:pPr>
            <w:r>
              <w:t xml:space="preserve">Priorité</w:t>
            </w:r>
          </w:p>
        </w:tc>
        <w:tc>
          <w:tcPr/>
          <w:p>
            <w:pPr>
              <w:pStyle w:val="Compact"/>
              <w:jc w:val="left"/>
            </w:pPr>
            <w:r>
              <w:t xml:space="preserve">Lot</w:t>
            </w:r>
          </w:p>
        </w:tc>
      </w:tr>
      <w:tr>
        <w:tc>
          <w:tcPr/>
          <w:p>
            <w:pPr>
              <w:pStyle w:val="Compact"/>
              <w:jc w:val="left"/>
            </w:pPr>
            <w:r>
              <w:t xml:space="preserve">SIG-RF-TAC-01</w:t>
            </w:r>
          </w:p>
        </w:tc>
        <w:tc>
          <w:tcPr/>
          <w:p>
            <w:pPr>
              <w:pStyle w:val="Compact"/>
              <w:jc w:val="left"/>
            </w:pPr>
            <w:r>
              <w:t xml:space="preserve">Création et assignation de tâches en cascade selon la hiérarchie</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SIG-RF-TAC-02</w:t>
            </w:r>
          </w:p>
        </w:tc>
        <w:tc>
          <w:tcPr/>
          <w:p>
            <w:pPr>
              <w:pStyle w:val="Compact"/>
              <w:jc w:val="left"/>
            </w:pPr>
            <w:r>
              <w:t xml:space="preserve">Support de la co-responsabilité multi-utilisateurs sur une même tâche</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SIG-RF-TAC-03</w:t>
            </w:r>
          </w:p>
        </w:tc>
        <w:tc>
          <w:tcPr/>
          <w:p>
            <w:pPr>
              <w:pStyle w:val="Compact"/>
              <w:jc w:val="left"/>
            </w:pPr>
            <w:r>
              <w:t xml:space="preserve">Workflow de statut avec soumission, validation et rejet</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SIG-RF-TAC-04</w:t>
            </w:r>
          </w:p>
        </w:tc>
        <w:tc>
          <w:tcPr/>
          <w:p>
            <w:pPr>
              <w:pStyle w:val="Compact"/>
              <w:jc w:val="left"/>
            </w:pPr>
            <w:r>
              <w:t xml:space="preserve">Sous-tâches avec statut et progression calculée</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SIG-RF-TAC-05</w:t>
            </w:r>
          </w:p>
        </w:tc>
        <w:tc>
          <w:tcPr/>
          <w:p>
            <w:pPr>
              <w:pStyle w:val="Compact"/>
              <w:jc w:val="left"/>
            </w:pPr>
            <w:r>
              <w:t xml:space="preserve">Pièces jointes sur les tâches</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SIG-RF-TAC-06</w:t>
            </w:r>
          </w:p>
        </w:tc>
        <w:tc>
          <w:tcPr/>
          <w:p>
            <w:pPr>
              <w:pStyle w:val="Compact"/>
              <w:jc w:val="left"/>
            </w:pPr>
            <w:r>
              <w:t xml:space="preserve">Priorités et alertes automatiques avant échéance</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SIG-RF-TAC-07</w:t>
            </w:r>
          </w:p>
        </w:tc>
        <w:tc>
          <w:tcPr/>
          <w:p>
            <w:pPr>
              <w:pStyle w:val="Compact"/>
              <w:jc w:val="left"/>
            </w:pPr>
            <w:r>
              <w:t xml:space="preserve">Niveaux de confidentialité sur les tâches</w:t>
            </w:r>
          </w:p>
        </w:tc>
        <w:tc>
          <w:tcPr/>
          <w:p>
            <w:pPr>
              <w:pStyle w:val="Compact"/>
              <w:jc w:val="left"/>
            </w:pPr>
            <w:r>
              <w:rPr>
                <w:bCs/>
                <w:b/>
              </w:rPr>
              <w:t xml:space="preserve">MUST</w:t>
            </w:r>
            <w:r>
              <w:t xml:space="preserve"> </w:t>
            </w:r>
            <w:r>
              <w:t xml:space="preserve">(relevé de SHOULD en v2.0)</w:t>
            </w:r>
          </w:p>
        </w:tc>
        <w:tc>
          <w:tcPr/>
          <w:p>
            <w:pPr>
              <w:pStyle w:val="Compact"/>
              <w:jc w:val="left"/>
            </w:pPr>
            <w:r>
              <w:t xml:space="preserve">1</w:t>
            </w:r>
          </w:p>
        </w:tc>
      </w:tr>
      <w:tr>
        <w:tc>
          <w:tcPr/>
          <w:p>
            <w:pPr>
              <w:pStyle w:val="Compact"/>
              <w:jc w:val="left"/>
            </w:pPr>
            <w:r>
              <w:t xml:space="preserve">SIG-RF-TAC-08</w:t>
            </w:r>
          </w:p>
        </w:tc>
        <w:tc>
          <w:tcPr/>
          <w:p>
            <w:pPr>
              <w:pStyle w:val="Compact"/>
              <w:jc w:val="left"/>
            </w:pPr>
            <w:r>
              <w:t xml:space="preserve">Fil de commentaires avec mentions</w:t>
            </w:r>
          </w:p>
        </w:tc>
        <w:tc>
          <w:tcPr/>
          <w:p>
            <w:pPr>
              <w:pStyle w:val="Compact"/>
              <w:jc w:val="left"/>
            </w:pPr>
            <w:r>
              <w:t xml:space="preserve">SHOULD</w:t>
            </w:r>
          </w:p>
        </w:tc>
        <w:tc>
          <w:tcPr/>
          <w:p>
            <w:pPr>
              <w:pStyle w:val="Compact"/>
              <w:jc w:val="left"/>
            </w:pPr>
            <w:r>
              <w:t xml:space="preserve">1</w:t>
            </w:r>
          </w:p>
        </w:tc>
      </w:tr>
      <w:tr>
        <w:tc>
          <w:tcPr/>
          <w:p>
            <w:pPr>
              <w:pStyle w:val="Compact"/>
              <w:jc w:val="left"/>
            </w:pPr>
            <w:r>
              <w:t xml:space="preserve">SIG-RF-TAC-09</w:t>
            </w:r>
          </w:p>
        </w:tc>
        <w:tc>
          <w:tcPr/>
          <w:p>
            <w:pPr>
              <w:pStyle w:val="Compact"/>
              <w:jc w:val="left"/>
            </w:pPr>
            <w:r>
              <w:t xml:space="preserve">Tâches récurrentes</w:t>
            </w:r>
          </w:p>
        </w:tc>
        <w:tc>
          <w:tcPr/>
          <w:p>
            <w:pPr>
              <w:pStyle w:val="Compact"/>
              <w:jc w:val="left"/>
            </w:pPr>
            <w:r>
              <w:t xml:space="preserve">SHOULD</w:t>
            </w:r>
          </w:p>
        </w:tc>
        <w:tc>
          <w:tcPr/>
          <w:p>
            <w:pPr>
              <w:pStyle w:val="Compact"/>
              <w:jc w:val="left"/>
            </w:pPr>
            <w:r>
              <w:t xml:space="preserve">1</w:t>
            </w:r>
          </w:p>
        </w:tc>
      </w:tr>
      <w:tr>
        <w:tc>
          <w:tcPr/>
          <w:p>
            <w:pPr>
              <w:pStyle w:val="Compact"/>
              <w:jc w:val="left"/>
            </w:pPr>
            <w:r>
              <w:t xml:space="preserve">SIG-RF-TAC-10</w:t>
            </w:r>
          </w:p>
        </w:tc>
        <w:tc>
          <w:tcPr/>
          <w:p>
            <w:pPr>
              <w:pStyle w:val="Compact"/>
              <w:jc w:val="left"/>
            </w:pPr>
            <w:r>
              <w:t xml:space="preserve">Vue Calendrier et vue Kanban</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SIG-RF-TAC-11</w:t>
            </w:r>
          </w:p>
        </w:tc>
        <w:tc>
          <w:tcPr/>
          <w:p>
            <w:pPr>
              <w:pStyle w:val="Compact"/>
              <w:jc w:val="left"/>
            </w:pPr>
            <w:r>
              <w:t xml:space="preserve">Recherche avancée avec filtres et favoris</w:t>
            </w:r>
          </w:p>
        </w:tc>
        <w:tc>
          <w:tcPr/>
          <w:p>
            <w:pPr>
              <w:pStyle w:val="Compact"/>
              <w:jc w:val="left"/>
            </w:pPr>
            <w:r>
              <w:t xml:space="preserve">SHOULD</w:t>
            </w:r>
          </w:p>
        </w:tc>
        <w:tc>
          <w:tcPr/>
          <w:p>
            <w:pPr>
              <w:pStyle w:val="Compact"/>
              <w:jc w:val="left"/>
            </w:pPr>
            <w:r>
              <w:t xml:space="preserve">1</w:t>
            </w:r>
          </w:p>
        </w:tc>
      </w:tr>
      <w:tr>
        <w:tc>
          <w:tcPr/>
          <w:p>
            <w:pPr>
              <w:pStyle w:val="Compact"/>
              <w:jc w:val="left"/>
            </w:pPr>
            <w:r>
              <w:t xml:space="preserve">SIG-RF-TAC-12</w:t>
            </w:r>
          </w:p>
        </w:tc>
        <w:tc>
          <w:tcPr/>
          <w:p>
            <w:pPr>
              <w:pStyle w:val="Compact"/>
              <w:jc w:val="left"/>
            </w:pPr>
            <w:r>
              <w:t xml:space="preserve">Tableau de bord d’avancement, global et par périmètre</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SIG-RF-TAC-13</w:t>
            </w:r>
          </w:p>
        </w:tc>
        <w:tc>
          <w:tcPr/>
          <w:p>
            <w:pPr>
              <w:pStyle w:val="Compact"/>
              <w:jc w:val="left"/>
            </w:pPr>
            <w:r>
              <w:t xml:space="preserve">Regroupement de tâches en projets ou dossiers</w:t>
            </w:r>
          </w:p>
        </w:tc>
        <w:tc>
          <w:tcPr/>
          <w:p>
            <w:pPr>
              <w:pStyle w:val="Compact"/>
              <w:jc w:val="left"/>
            </w:pPr>
            <w:r>
              <w:t xml:space="preserve">SHOULD</w:t>
            </w:r>
          </w:p>
        </w:tc>
        <w:tc>
          <w:tcPr/>
          <w:p>
            <w:pPr>
              <w:pStyle w:val="Compact"/>
              <w:jc w:val="left"/>
            </w:pPr>
            <w:r>
              <w:t xml:space="preserve">1</w:t>
            </w:r>
          </w:p>
        </w:tc>
      </w:tr>
      <w:tr>
        <w:tc>
          <w:tcPr/>
          <w:p>
            <w:pPr>
              <w:pStyle w:val="Compact"/>
              <w:jc w:val="left"/>
            </w:pPr>
            <w:r>
              <w:t xml:space="preserve">SIG-RF-TAC-14</w:t>
            </w:r>
          </w:p>
        </w:tc>
        <w:tc>
          <w:tcPr/>
          <w:p>
            <w:pPr>
              <w:pStyle w:val="Compact"/>
              <w:jc w:val="left"/>
            </w:pPr>
            <w:r>
              <w:t xml:space="preserve">Suppression logique uniquement, avec conservation dans le journal d’audit</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SIG-RF-TAC-15</w:t>
            </w:r>
          </w:p>
        </w:tc>
        <w:tc>
          <w:tcPr/>
          <w:p>
            <w:pPr>
              <w:pStyle w:val="Compact"/>
              <w:jc w:val="left"/>
            </w:pPr>
            <w:r>
              <w:t xml:space="preserve">Réassignation automatique des tâches en cours lors d’un départ ou d’une mutation</w:t>
            </w:r>
          </w:p>
        </w:tc>
        <w:tc>
          <w:tcPr/>
          <w:p>
            <w:pPr>
              <w:pStyle w:val="Compact"/>
              <w:jc w:val="left"/>
            </w:pPr>
            <w:r>
              <w:t xml:space="preserve">SHOULD</w:t>
            </w:r>
          </w:p>
        </w:tc>
        <w:tc>
          <w:tcPr/>
          <w:p>
            <w:pPr>
              <w:pStyle w:val="Compact"/>
              <w:jc w:val="left"/>
            </w:pPr>
            <w:r>
              <w:t xml:space="preserve">3</w:t>
            </w:r>
          </w:p>
        </w:tc>
      </w:tr>
    </w:tbl>
    <w:bookmarkEnd w:id="199"/>
    <w:bookmarkStart w:id="200" w:name="a8.5-réunions-et-décisions-sig-rf-run"/>
    <w:p>
      <w:pPr>
        <w:pStyle w:val="Heading3"/>
      </w:pPr>
      <w:r>
        <w:t xml:space="preserve">A8.5 Réunions et décisions (SIG-RF-RUN)</w:t>
      </w:r>
    </w:p>
    <w:tbl>
      <w:tblPr>
        <w:tblStyle w:val="Table"/>
        <w:tblW w:type="dxa" w:w="9354"/>
        <w:tblLayout w:type="fixed"/>
        <w:tblLook w:firstRow="1" w:lastRow="0" w:firstColumn="0" w:lastColumn="0" w:noHBand="0" w:noVBand="0" w:val="0020"/>
        <w:jc w:val="start"/>
      </w:tblPr>
      <w:tblGrid>
        <w:gridCol w:w="2219"/>
        <w:gridCol w:w="3003"/>
        <w:gridCol w:w="2096"/>
        <w:gridCol w:w="2036"/>
      </w:tblGrid>
      <w:tr>
        <w:trPr>
          <w:tblHeader w:val="true"/>
        </w:trPr>
        <w:tc>
          <w:tcPr/>
          <w:p>
            <w:pPr>
              <w:pStyle w:val="Compact"/>
              <w:jc w:val="left"/>
            </w:pPr>
            <w:r>
              <w:t xml:space="preserve">ID</w:t>
            </w:r>
          </w:p>
        </w:tc>
        <w:tc>
          <w:tcPr/>
          <w:p>
            <w:pPr>
              <w:pStyle w:val="Compact"/>
              <w:jc w:val="left"/>
            </w:pPr>
            <w:r>
              <w:t xml:space="preserve">Exigence</w:t>
            </w:r>
          </w:p>
        </w:tc>
        <w:tc>
          <w:tcPr/>
          <w:p>
            <w:pPr>
              <w:pStyle w:val="Compact"/>
              <w:jc w:val="left"/>
            </w:pPr>
            <w:r>
              <w:t xml:space="preserve">Priorité</w:t>
            </w:r>
          </w:p>
        </w:tc>
        <w:tc>
          <w:tcPr/>
          <w:p>
            <w:pPr>
              <w:pStyle w:val="Compact"/>
              <w:jc w:val="left"/>
            </w:pPr>
            <w:r>
              <w:t xml:space="preserve">Lot</w:t>
            </w:r>
          </w:p>
        </w:tc>
      </w:tr>
      <w:tr>
        <w:tc>
          <w:tcPr/>
          <w:p>
            <w:pPr>
              <w:pStyle w:val="Compact"/>
              <w:jc w:val="left"/>
            </w:pPr>
            <w:r>
              <w:t xml:space="preserve">SIG-RF-RUN-01</w:t>
            </w:r>
          </w:p>
        </w:tc>
        <w:tc>
          <w:tcPr/>
          <w:p>
            <w:pPr>
              <w:pStyle w:val="Compact"/>
              <w:jc w:val="left"/>
            </w:pPr>
            <w:r>
              <w:t xml:space="preserve">Création d’une réunion avec participants, date, lieu, ordre du jour, documents</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SIG-RF-RUN-02</w:t>
            </w:r>
          </w:p>
        </w:tc>
        <w:tc>
          <w:tcPr/>
          <w:p>
            <w:pPr>
              <w:pStyle w:val="Compact"/>
              <w:jc w:val="left"/>
            </w:pPr>
            <w:r>
              <w:t xml:space="preserve">Convocation, confirmation de présence et rappels</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SIG-RF-RUN-03</w:t>
            </w:r>
          </w:p>
        </w:tc>
        <w:tc>
          <w:tcPr/>
          <w:p>
            <w:pPr>
              <w:pStyle w:val="Compact"/>
              <w:jc w:val="left"/>
            </w:pPr>
            <w:r>
              <w:t xml:space="preserve">Compte rendu rédigé dans le système avec relevé de décisions</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SIG-RF-RUN-04</w:t>
            </w:r>
          </w:p>
        </w:tc>
        <w:tc>
          <w:tcPr/>
          <w:p>
            <w:pPr>
              <w:pStyle w:val="Compact"/>
              <w:jc w:val="left"/>
            </w:pPr>
            <w:r>
              <w:t xml:space="preserve">Conversion d’une décision en action suivie, avec lien vers la réunion d’origine</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SIG-RF-RUN-05</w:t>
            </w:r>
          </w:p>
        </w:tc>
        <w:tc>
          <w:tcPr/>
          <w:p>
            <w:pPr>
              <w:pStyle w:val="Compact"/>
              <w:jc w:val="left"/>
            </w:pPr>
            <w:r>
              <w:t xml:space="preserve">Suivi des décisions non exécutées dans les tableaux de bord</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SIG-RF-RUN-06</w:t>
            </w:r>
          </w:p>
        </w:tc>
        <w:tc>
          <w:tcPr/>
          <w:p>
            <w:pPr>
              <w:pStyle w:val="Compact"/>
              <w:jc w:val="left"/>
            </w:pPr>
            <w:r>
              <w:t xml:space="preserve">Réservation de salle reliée au module logistique</w:t>
            </w:r>
          </w:p>
        </w:tc>
        <w:tc>
          <w:tcPr/>
          <w:p>
            <w:pPr>
              <w:pStyle w:val="Compact"/>
              <w:jc w:val="left"/>
            </w:pPr>
            <w:r>
              <w:t xml:space="preserve">COULD</w:t>
            </w:r>
          </w:p>
        </w:tc>
        <w:tc>
          <w:tcPr/>
          <w:p>
            <w:pPr>
              <w:pStyle w:val="Compact"/>
              <w:jc w:val="left"/>
            </w:pPr>
            <w:r>
              <w:t xml:space="preserve">5</w:t>
            </w:r>
          </w:p>
        </w:tc>
      </w:tr>
    </w:tbl>
    <w:bookmarkEnd w:id="200"/>
    <w:bookmarkStart w:id="201" w:name="a8.6-communication-sig-rf-com"/>
    <w:p>
      <w:pPr>
        <w:pStyle w:val="Heading3"/>
      </w:pPr>
      <w:r>
        <w:t xml:space="preserve">A8.6 Communication (SIG-RF-COM)</w:t>
      </w:r>
    </w:p>
    <w:tbl>
      <w:tblPr>
        <w:tblStyle w:val="Table"/>
        <w:tblW w:type="dxa" w:w="9354"/>
        <w:tblLayout w:type="fixed"/>
        <w:tblLook w:firstRow="1" w:lastRow="0" w:firstColumn="0" w:lastColumn="0" w:noHBand="0" w:noVBand="0" w:val="0020"/>
        <w:jc w:val="start"/>
      </w:tblPr>
      <w:tblGrid>
        <w:gridCol w:w="2186"/>
        <w:gridCol w:w="3116"/>
        <w:gridCol w:w="2059"/>
        <w:gridCol w:w="1993"/>
      </w:tblGrid>
      <w:tr>
        <w:trPr>
          <w:tblHeader w:val="true"/>
        </w:trPr>
        <w:tc>
          <w:tcPr/>
          <w:p>
            <w:pPr>
              <w:pStyle w:val="Compact"/>
              <w:jc w:val="left"/>
            </w:pPr>
            <w:r>
              <w:t xml:space="preserve">ID</w:t>
            </w:r>
          </w:p>
        </w:tc>
        <w:tc>
          <w:tcPr/>
          <w:p>
            <w:pPr>
              <w:pStyle w:val="Compact"/>
              <w:jc w:val="left"/>
            </w:pPr>
            <w:r>
              <w:t xml:space="preserve">Exigence</w:t>
            </w:r>
          </w:p>
        </w:tc>
        <w:tc>
          <w:tcPr/>
          <w:p>
            <w:pPr>
              <w:pStyle w:val="Compact"/>
              <w:jc w:val="left"/>
            </w:pPr>
            <w:r>
              <w:t xml:space="preserve">Priorité</w:t>
            </w:r>
          </w:p>
        </w:tc>
        <w:tc>
          <w:tcPr/>
          <w:p>
            <w:pPr>
              <w:pStyle w:val="Compact"/>
              <w:jc w:val="left"/>
            </w:pPr>
            <w:r>
              <w:t xml:space="preserve">Lot</w:t>
            </w:r>
          </w:p>
        </w:tc>
      </w:tr>
      <w:tr>
        <w:tc>
          <w:tcPr/>
          <w:p>
            <w:pPr>
              <w:pStyle w:val="Compact"/>
              <w:jc w:val="left"/>
            </w:pPr>
            <w:r>
              <w:t xml:space="preserve">SIG-RF-COM-01</w:t>
            </w:r>
          </w:p>
        </w:tc>
        <w:tc>
          <w:tcPr/>
          <w:p>
            <w:pPr>
              <w:pStyle w:val="Compact"/>
              <w:jc w:val="left"/>
            </w:pPr>
            <w:r>
              <w:t xml:space="preserve">Messagerie directe avec fichiers et accusés de lecture</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SIG-RF-COM-02</w:t>
            </w:r>
          </w:p>
        </w:tc>
        <w:tc>
          <w:tcPr/>
          <w:p>
            <w:pPr>
              <w:pStyle w:val="Compact"/>
              <w:jc w:val="left"/>
            </w:pPr>
            <w:r>
              <w:t xml:space="preserve">Annonces ciblées en cascade hiérarchique</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SIG-RF-COM-03</w:t>
            </w:r>
          </w:p>
        </w:tc>
        <w:tc>
          <w:tcPr/>
          <w:p>
            <w:pPr>
              <w:pStyle w:val="Compact"/>
              <w:jc w:val="left"/>
            </w:pPr>
            <w:r>
              <w:t xml:space="preserve">Notifications dans l’application et par courriel</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SIG-RF-COM-04</w:t>
            </w:r>
          </w:p>
        </w:tc>
        <w:tc>
          <w:tcPr/>
          <w:p>
            <w:pPr>
              <w:pStyle w:val="Compact"/>
              <w:jc w:val="left"/>
            </w:pPr>
            <w:r>
              <w:t xml:space="preserve">Notifications SMS pour les cas urgents définis</w:t>
            </w:r>
          </w:p>
        </w:tc>
        <w:tc>
          <w:tcPr/>
          <w:p>
            <w:pPr>
              <w:pStyle w:val="Compact"/>
              <w:jc w:val="left"/>
            </w:pPr>
            <w:r>
              <w:t xml:space="preserve">SHOULD</w:t>
            </w:r>
          </w:p>
        </w:tc>
        <w:tc>
          <w:tcPr/>
          <w:p>
            <w:pPr>
              <w:pStyle w:val="Compact"/>
              <w:jc w:val="left"/>
            </w:pPr>
            <w:r>
              <w:t xml:space="preserve">3</w:t>
            </w:r>
          </w:p>
        </w:tc>
      </w:tr>
      <w:tr>
        <w:tc>
          <w:tcPr/>
          <w:p>
            <w:pPr>
              <w:pStyle w:val="Compact"/>
              <w:jc w:val="left"/>
            </w:pPr>
            <w:r>
              <w:t xml:space="preserve">SIG-RF-COM-05</w:t>
            </w:r>
          </w:p>
        </w:tc>
        <w:tc>
          <w:tcPr/>
          <w:p>
            <w:pPr>
              <w:pStyle w:val="Compact"/>
              <w:jc w:val="left"/>
            </w:pPr>
            <w:r>
              <w:t xml:space="preserve">Historisation des échanges selon le référentiel de conservation (annexe 4) — remplace la conservation indéfinie de la v1.1</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SIG-RF-COM-06</w:t>
            </w:r>
          </w:p>
        </w:tc>
        <w:tc>
          <w:tcPr/>
          <w:p>
            <w:pPr>
              <w:pStyle w:val="Compact"/>
              <w:jc w:val="left"/>
            </w:pPr>
            <w:r>
              <w:t xml:space="preserve">Blocage des actes de gestion par messagerie : rappel de la règle et proposition de création de l’objet tracé approprié</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SIG-RF-COM-07</w:t>
            </w:r>
          </w:p>
        </w:tc>
        <w:tc>
          <w:tcPr/>
          <w:p>
            <w:pPr>
              <w:pStyle w:val="Compact"/>
              <w:jc w:val="left"/>
            </w:pPr>
            <w:r>
              <w:t xml:space="preserve">Sondages à choix simple avec résultats en temps réel</w:t>
            </w:r>
          </w:p>
        </w:tc>
        <w:tc>
          <w:tcPr/>
          <w:p>
            <w:pPr>
              <w:pStyle w:val="Compact"/>
              <w:jc w:val="left"/>
            </w:pPr>
            <w:r>
              <w:t xml:space="preserve">COULD</w:t>
            </w:r>
          </w:p>
        </w:tc>
        <w:tc>
          <w:tcPr/>
          <w:p>
            <w:pPr>
              <w:pStyle w:val="Compact"/>
              <w:jc w:val="left"/>
            </w:pPr>
            <w:r>
              <w:t xml:space="preserve">5</w:t>
            </w:r>
          </w:p>
        </w:tc>
      </w:tr>
      <w:tr>
        <w:tc>
          <w:tcPr/>
          <w:p>
            <w:pPr>
              <w:pStyle w:val="Compact"/>
              <w:jc w:val="left"/>
            </w:pPr>
            <w:r>
              <w:t xml:space="preserve">SIG-RF-COM-08</w:t>
            </w:r>
          </w:p>
        </w:tc>
        <w:tc>
          <w:tcPr/>
          <w:p>
            <w:pPr>
              <w:pStyle w:val="Compact"/>
              <w:jc w:val="left"/>
            </w:pPr>
            <w:r>
              <w:t xml:space="preserve">Boîte à suggestions avec option d’anonymat effective</w:t>
            </w:r>
          </w:p>
        </w:tc>
        <w:tc>
          <w:tcPr/>
          <w:p>
            <w:pPr>
              <w:pStyle w:val="Compact"/>
              <w:jc w:val="left"/>
            </w:pPr>
            <w:r>
              <w:t xml:space="preserve">COULD</w:t>
            </w:r>
          </w:p>
        </w:tc>
        <w:tc>
          <w:tcPr/>
          <w:p>
            <w:pPr>
              <w:pStyle w:val="Compact"/>
              <w:jc w:val="left"/>
            </w:pPr>
            <w:r>
              <w:t xml:space="preserve">5</w:t>
            </w:r>
          </w:p>
        </w:tc>
      </w:tr>
      <w:tr>
        <w:tc>
          <w:tcPr/>
          <w:p>
            <w:pPr>
              <w:pStyle w:val="Compact"/>
              <w:jc w:val="left"/>
            </w:pPr>
            <w:r>
              <w:t xml:space="preserve">SIG-RF-COM-09</w:t>
            </w:r>
          </w:p>
        </w:tc>
        <w:tc>
          <w:tcPr/>
          <w:p>
            <w:pPr>
              <w:pStyle w:val="Compact"/>
              <w:jc w:val="left"/>
            </w:pPr>
            <w:r>
              <w:t xml:space="preserve">Canal WhatsApp par l’interface officielle pour organisations, modèles déclarés, canal de repli obligatoire</w:t>
            </w:r>
          </w:p>
        </w:tc>
        <w:tc>
          <w:tcPr/>
          <w:p>
            <w:pPr>
              <w:pStyle w:val="Compact"/>
              <w:jc w:val="left"/>
            </w:pPr>
            <w:r>
              <w:t xml:space="preserve">SHOULD</w:t>
            </w:r>
          </w:p>
        </w:tc>
        <w:tc>
          <w:tcPr/>
          <w:p>
            <w:pPr>
              <w:pStyle w:val="Compact"/>
              <w:jc w:val="left"/>
            </w:pPr>
            <w:r>
              <w:t xml:space="preserve">3</w:t>
            </w:r>
          </w:p>
        </w:tc>
      </w:tr>
      <w:tr>
        <w:tc>
          <w:tcPr/>
          <w:p>
            <w:pPr>
              <w:pStyle w:val="Compact"/>
              <w:jc w:val="left"/>
            </w:pPr>
            <w:r>
              <w:t xml:space="preserve">SIG-RF-COM-10</w:t>
            </w:r>
          </w:p>
        </w:tc>
        <w:tc>
          <w:tcPr/>
          <w:p>
            <w:pPr>
              <w:pStyle w:val="Compact"/>
              <w:jc w:val="left"/>
            </w:pPr>
            <w:r>
              <w:t xml:space="preserve">Regroupement des notifications non urgentes en un résumé quotidien unique</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SIG-RF-COM-11</w:t>
            </w:r>
          </w:p>
        </w:tc>
        <w:tc>
          <w:tcPr/>
          <w:p>
            <w:pPr>
              <w:pStyle w:val="Compact"/>
              <w:jc w:val="left"/>
            </w:pPr>
            <w:r>
              <w:t xml:space="preserve">Plage horaire d’envoi paramétrable, hors urgences</w:t>
            </w:r>
          </w:p>
        </w:tc>
        <w:tc>
          <w:tcPr/>
          <w:p>
            <w:pPr>
              <w:pStyle w:val="Compact"/>
              <w:jc w:val="left"/>
            </w:pPr>
            <w:r>
              <w:t xml:space="preserve">SHOULD</w:t>
            </w:r>
          </w:p>
        </w:tc>
        <w:tc>
          <w:tcPr/>
          <w:p>
            <w:pPr>
              <w:pStyle w:val="Compact"/>
              <w:jc w:val="left"/>
            </w:pPr>
            <w:r>
              <w:t xml:space="preserve">1</w:t>
            </w:r>
          </w:p>
        </w:tc>
      </w:tr>
    </w:tbl>
    <w:bookmarkEnd w:id="201"/>
    <w:bookmarkStart w:id="202" w:name="a8.7-documentation-et-ged-sig-rf-ged"/>
    <w:p>
      <w:pPr>
        <w:pStyle w:val="Heading3"/>
      </w:pPr>
      <w:r>
        <w:t xml:space="preserve">A8.7 Documentation et GED (SIG-RF-GED)</w:t>
      </w:r>
    </w:p>
    <w:tbl>
      <w:tblPr>
        <w:tblStyle w:val="Table"/>
        <w:tblW w:type="dxa" w:w="9354"/>
        <w:tblLayout w:type="fixed"/>
        <w:tblLook w:firstRow="1" w:lastRow="0" w:firstColumn="0" w:lastColumn="0" w:noHBand="0" w:noVBand="0" w:val="0020"/>
        <w:jc w:val="start"/>
      </w:tblPr>
      <w:tblGrid>
        <w:gridCol w:w="2243"/>
        <w:gridCol w:w="2948"/>
        <w:gridCol w:w="2116"/>
        <w:gridCol w:w="2047"/>
      </w:tblGrid>
      <w:tr>
        <w:trPr>
          <w:tblHeader w:val="true"/>
        </w:trPr>
        <w:tc>
          <w:tcPr/>
          <w:p>
            <w:pPr>
              <w:pStyle w:val="Compact"/>
              <w:jc w:val="left"/>
            </w:pPr>
            <w:r>
              <w:t xml:space="preserve">ID</w:t>
            </w:r>
          </w:p>
        </w:tc>
        <w:tc>
          <w:tcPr/>
          <w:p>
            <w:pPr>
              <w:pStyle w:val="Compact"/>
              <w:jc w:val="left"/>
            </w:pPr>
            <w:r>
              <w:t xml:space="preserve">Exigence</w:t>
            </w:r>
          </w:p>
        </w:tc>
        <w:tc>
          <w:tcPr/>
          <w:p>
            <w:pPr>
              <w:pStyle w:val="Compact"/>
              <w:jc w:val="left"/>
            </w:pPr>
            <w:r>
              <w:t xml:space="preserve">Priorité</w:t>
            </w:r>
          </w:p>
        </w:tc>
        <w:tc>
          <w:tcPr/>
          <w:p>
            <w:pPr>
              <w:pStyle w:val="Compact"/>
              <w:jc w:val="left"/>
            </w:pPr>
            <w:r>
              <w:t xml:space="preserve">Lot</w:t>
            </w:r>
          </w:p>
        </w:tc>
      </w:tr>
      <w:tr>
        <w:tc>
          <w:tcPr/>
          <w:p>
            <w:pPr>
              <w:pStyle w:val="Compact"/>
              <w:jc w:val="left"/>
            </w:pPr>
            <w:r>
              <w:t xml:space="preserve">SIG-RF-GED-01</w:t>
            </w:r>
          </w:p>
        </w:tc>
        <w:tc>
          <w:tcPr/>
          <w:p>
            <w:pPr>
              <w:pStyle w:val="Compact"/>
              <w:jc w:val="left"/>
            </w:pPr>
            <w:r>
              <w:t xml:space="preserve">Espace privé par unité pour les documents de travail</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SIG-RF-GED-02</w:t>
            </w:r>
          </w:p>
        </w:tc>
        <w:tc>
          <w:tcPr/>
          <w:p>
            <w:pPr>
              <w:pStyle w:val="Compact"/>
              <w:jc w:val="left"/>
            </w:pPr>
            <w:r>
              <w:t xml:space="preserve">Espace de publication institutionnelle</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SIG-RF-GED-03</w:t>
            </w:r>
          </w:p>
        </w:tc>
        <w:tc>
          <w:tcPr/>
          <w:p>
            <w:pPr>
              <w:pStyle w:val="Compact"/>
              <w:jc w:val="left"/>
            </w:pPr>
            <w:r>
              <w:t xml:space="preserve">Gestion de versions avec marquage « Final »</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SIG-RF-GED-04</w:t>
            </w:r>
          </w:p>
        </w:tc>
        <w:tc>
          <w:tcPr/>
          <w:p>
            <w:pPr>
              <w:pStyle w:val="Compact"/>
              <w:jc w:val="left"/>
            </w:pPr>
            <w:r>
              <w:t xml:space="preserve">Classement par catégories fixes et dossiers libres</w:t>
            </w:r>
          </w:p>
        </w:tc>
        <w:tc>
          <w:tcPr/>
          <w:p>
            <w:pPr>
              <w:pStyle w:val="Compact"/>
              <w:jc w:val="left"/>
            </w:pPr>
            <w:r>
              <w:t xml:space="preserve">SHOULD</w:t>
            </w:r>
          </w:p>
        </w:tc>
        <w:tc>
          <w:tcPr/>
          <w:p>
            <w:pPr>
              <w:pStyle w:val="Compact"/>
              <w:jc w:val="left"/>
            </w:pPr>
            <w:r>
              <w:t xml:space="preserve">3</w:t>
            </w:r>
          </w:p>
        </w:tc>
      </w:tr>
      <w:tr>
        <w:tc>
          <w:tcPr/>
          <w:p>
            <w:pPr>
              <w:pStyle w:val="Compact"/>
              <w:jc w:val="left"/>
            </w:pPr>
            <w:r>
              <w:t xml:space="preserve">SIG-RF-GED-05</w:t>
            </w:r>
          </w:p>
        </w:tc>
        <w:tc>
          <w:tcPr/>
          <w:p>
            <w:pPr>
              <w:pStyle w:val="Compact"/>
              <w:jc w:val="left"/>
            </w:pPr>
            <w:r>
              <w:t xml:space="preserve">Recherche par filtres (unité, date, type)</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SIG-RF-GED-06</w:t>
            </w:r>
          </w:p>
        </w:tc>
        <w:tc>
          <w:tcPr/>
          <w:p>
            <w:pPr>
              <w:pStyle w:val="Compact"/>
              <w:jc w:val="left"/>
            </w:pPr>
            <w:r>
              <w:t xml:space="preserve">Recherche en texte intégral avec OCR sur PDF scannés</w:t>
            </w:r>
          </w:p>
        </w:tc>
        <w:tc>
          <w:tcPr/>
          <w:p>
            <w:pPr>
              <w:pStyle w:val="Compact"/>
              <w:jc w:val="left"/>
            </w:pPr>
            <w:r>
              <w:t xml:space="preserve">SHOULD</w:t>
            </w:r>
          </w:p>
        </w:tc>
        <w:tc>
          <w:tcPr/>
          <w:p>
            <w:pPr>
              <w:pStyle w:val="Compact"/>
              <w:jc w:val="left"/>
            </w:pPr>
            <w:r>
              <w:t xml:space="preserve">3</w:t>
            </w:r>
          </w:p>
        </w:tc>
      </w:tr>
      <w:tr>
        <w:tc>
          <w:tcPr/>
          <w:p>
            <w:pPr>
              <w:pStyle w:val="Compact"/>
              <w:jc w:val="left"/>
            </w:pPr>
            <w:r>
              <w:t xml:space="preserve">SIG-RF-GED-07</w:t>
            </w:r>
          </w:p>
        </w:tc>
        <w:tc>
          <w:tcPr/>
          <w:p>
            <w:pPr>
              <w:pStyle w:val="Compact"/>
              <w:jc w:val="left"/>
            </w:pPr>
            <w:r>
              <w:t xml:space="preserve">Métadonnées obligatoires à l’enregistrement, dont durée d’utilité administrative</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SIG-RF-GED-08</w:t>
            </w:r>
          </w:p>
        </w:tc>
        <w:tc>
          <w:tcPr/>
          <w:p>
            <w:pPr>
              <w:pStyle w:val="Compact"/>
              <w:jc w:val="left"/>
            </w:pPr>
            <w:r>
              <w:t xml:space="preserve">Lien d’un document à la tâche, l’activité ou la réunion dont il est issu</w:t>
            </w:r>
          </w:p>
        </w:tc>
        <w:tc>
          <w:tcPr/>
          <w:p>
            <w:pPr>
              <w:pStyle w:val="Compact"/>
              <w:jc w:val="left"/>
            </w:pPr>
            <w:r>
              <w:t xml:space="preserve">SHOULD</w:t>
            </w:r>
          </w:p>
        </w:tc>
        <w:tc>
          <w:tcPr/>
          <w:p>
            <w:pPr>
              <w:pStyle w:val="Compact"/>
              <w:jc w:val="left"/>
            </w:pPr>
            <w:r>
              <w:t xml:space="preserve">3</w:t>
            </w:r>
          </w:p>
        </w:tc>
      </w:tr>
      <w:tr>
        <w:tc>
          <w:tcPr/>
          <w:p>
            <w:pPr>
              <w:pStyle w:val="Compact"/>
              <w:jc w:val="left"/>
            </w:pPr>
            <w:r>
              <w:t xml:space="preserve">SIG-RF-GED-09</w:t>
            </w:r>
          </w:p>
        </w:tc>
        <w:tc>
          <w:tcPr/>
          <w:p>
            <w:pPr>
              <w:pStyle w:val="Compact"/>
              <w:jc w:val="left"/>
            </w:pPr>
            <w:r>
              <w:t xml:space="preserve">Proposition d’élimination soumise à validation, jamais automatique</w:t>
            </w:r>
          </w:p>
        </w:tc>
        <w:tc>
          <w:tcPr/>
          <w:p>
            <w:pPr>
              <w:pStyle w:val="Compact"/>
              <w:jc w:val="left"/>
            </w:pPr>
            <w:r>
              <w:t xml:space="preserve">MUST</w:t>
            </w:r>
          </w:p>
        </w:tc>
        <w:tc>
          <w:tcPr/>
          <w:p>
            <w:pPr>
              <w:pStyle w:val="Compact"/>
              <w:jc w:val="left"/>
            </w:pPr>
            <w:r>
              <w:t xml:space="preserve">3</w:t>
            </w:r>
          </w:p>
        </w:tc>
      </w:tr>
    </w:tbl>
    <w:bookmarkEnd w:id="202"/>
    <w:bookmarkStart w:id="203" w:name="X62431be6f8a514e4da7085632b46aa894ff1e6e"/>
    <w:p>
      <w:pPr>
        <w:pStyle w:val="Heading3"/>
      </w:pPr>
      <w:r>
        <w:t xml:space="preserve">A8.8 Temps et absences (SIG-RF-TMP) — remplace SIG-RF-CNG de la version 1.1</w:t>
      </w:r>
    </w:p>
    <w:tbl>
      <w:tblPr>
        <w:tblStyle w:val="Table"/>
        <w:tblW w:type="dxa" w:w="9354"/>
        <w:tblLayout w:type="fixed"/>
        <w:tblLook w:firstRow="1" w:lastRow="0" w:firstColumn="0" w:lastColumn="0" w:noHBand="0" w:noVBand="0" w:val="0020"/>
        <w:jc w:val="start"/>
      </w:tblPr>
      <w:tblGrid>
        <w:gridCol w:w="1809"/>
        <w:gridCol w:w="2456"/>
        <w:gridCol w:w="1704"/>
        <w:gridCol w:w="1648"/>
        <w:gridCol w:w="1737"/>
      </w:tblGrid>
      <w:tr>
        <w:trPr>
          <w:tblHeader w:val="true"/>
        </w:trPr>
        <w:tc>
          <w:tcPr/>
          <w:p>
            <w:pPr>
              <w:pStyle w:val="Compact"/>
              <w:jc w:val="left"/>
            </w:pPr>
            <w:r>
              <w:t xml:space="preserve">ID</w:t>
            </w:r>
          </w:p>
        </w:tc>
        <w:tc>
          <w:tcPr/>
          <w:p>
            <w:pPr>
              <w:pStyle w:val="Compact"/>
              <w:jc w:val="left"/>
            </w:pPr>
            <w:r>
              <w:t xml:space="preserve">Exigence</w:t>
            </w:r>
          </w:p>
        </w:tc>
        <w:tc>
          <w:tcPr/>
          <w:p>
            <w:pPr>
              <w:pStyle w:val="Compact"/>
              <w:jc w:val="left"/>
            </w:pPr>
            <w:r>
              <w:t xml:space="preserve">Priorité</w:t>
            </w:r>
          </w:p>
        </w:tc>
        <w:tc>
          <w:tcPr/>
          <w:p>
            <w:pPr>
              <w:pStyle w:val="Compact"/>
              <w:jc w:val="left"/>
            </w:pPr>
            <w:r>
              <w:t xml:space="preserve">Lot</w:t>
            </w:r>
          </w:p>
        </w:tc>
        <w:tc>
          <w:tcPr/>
          <w:p>
            <w:pPr>
              <w:pStyle w:val="Compact"/>
              <w:jc w:val="left"/>
            </w:pPr>
            <w:r>
              <w:t xml:space="preserve">Correspondance v1.1</w:t>
            </w:r>
          </w:p>
        </w:tc>
      </w:tr>
      <w:tr>
        <w:tc>
          <w:tcPr/>
          <w:p>
            <w:pPr>
              <w:pStyle w:val="Compact"/>
              <w:jc w:val="left"/>
            </w:pPr>
            <w:r>
              <w:t xml:space="preserve">SIG-RF-TMP-01</w:t>
            </w:r>
          </w:p>
        </w:tc>
        <w:tc>
          <w:tcPr/>
          <w:p>
            <w:pPr>
              <w:pStyle w:val="Compact"/>
              <w:jc w:val="left"/>
            </w:pPr>
            <w:r>
              <w:t xml:space="preserve">Demande de congé ou d’absence par l’agent</w:t>
            </w:r>
          </w:p>
        </w:tc>
        <w:tc>
          <w:tcPr/>
          <w:p>
            <w:pPr>
              <w:pStyle w:val="Compact"/>
              <w:jc w:val="left"/>
            </w:pPr>
            <w:r>
              <w:t xml:space="preserve">MUST</w:t>
            </w:r>
          </w:p>
        </w:tc>
        <w:tc>
          <w:tcPr/>
          <w:p>
            <w:pPr>
              <w:pStyle w:val="Compact"/>
              <w:jc w:val="left"/>
            </w:pPr>
            <w:r>
              <w:t xml:space="preserve">3</w:t>
            </w:r>
          </w:p>
        </w:tc>
        <w:tc>
          <w:tcPr/>
          <w:p>
            <w:pPr>
              <w:pStyle w:val="Compact"/>
              <w:jc w:val="left"/>
            </w:pPr>
            <w:r>
              <w:t xml:space="preserve">SIG-RF-CNG-01</w:t>
            </w:r>
          </w:p>
        </w:tc>
      </w:tr>
      <w:tr>
        <w:tc>
          <w:tcPr/>
          <w:p>
            <w:pPr>
              <w:pStyle w:val="Compact"/>
              <w:jc w:val="left"/>
            </w:pPr>
            <w:r>
              <w:t xml:space="preserve">SIG-RF-TMP-02</w:t>
            </w:r>
          </w:p>
        </w:tc>
        <w:tc>
          <w:tcPr/>
          <w:p>
            <w:pPr>
              <w:pStyle w:val="Compact"/>
              <w:jc w:val="left"/>
            </w:pPr>
            <w:r>
              <w:t xml:space="preserve">Circuit avis du chef d’unité puis décision du DRH, avec délai d’avis tacite</w:t>
            </w:r>
          </w:p>
        </w:tc>
        <w:tc>
          <w:tcPr/>
          <w:p>
            <w:pPr>
              <w:pStyle w:val="Compact"/>
              <w:jc w:val="left"/>
            </w:pPr>
            <w:r>
              <w:t xml:space="preserve">MUST</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SIG-RF-TMP-03</w:t>
            </w:r>
          </w:p>
        </w:tc>
        <w:tc>
          <w:tcPr/>
          <w:p>
            <w:pPr>
              <w:pStyle w:val="Compact"/>
              <w:jc w:val="left"/>
            </w:pPr>
            <w:r>
              <w:t xml:space="preserve">Types d’absence paramétrables, chacun avec son compteur</w:t>
            </w:r>
          </w:p>
        </w:tc>
        <w:tc>
          <w:tcPr/>
          <w:p>
            <w:pPr>
              <w:pStyle w:val="Compact"/>
              <w:jc w:val="left"/>
            </w:pPr>
            <w:r>
              <w:t xml:space="preserve">MUST</w:t>
            </w:r>
          </w:p>
        </w:tc>
        <w:tc>
          <w:tcPr/>
          <w:p>
            <w:pPr>
              <w:pStyle w:val="Compact"/>
              <w:jc w:val="left"/>
            </w:pPr>
            <w:r>
              <w:t xml:space="preserve">3</w:t>
            </w:r>
          </w:p>
        </w:tc>
        <w:tc>
          <w:tcPr/>
          <w:p>
            <w:pPr>
              <w:pStyle w:val="Compact"/>
              <w:jc w:val="left"/>
            </w:pPr>
            <w:r>
              <w:t xml:space="preserve">SIG-RF-CNG-02</w:t>
            </w:r>
          </w:p>
        </w:tc>
      </w:tr>
      <w:tr>
        <w:tc>
          <w:tcPr/>
          <w:p>
            <w:pPr>
              <w:pStyle w:val="Compact"/>
              <w:jc w:val="left"/>
            </w:pPr>
            <w:r>
              <w:t xml:space="preserve">SIG-RF-TMP-04</w:t>
            </w:r>
          </w:p>
        </w:tc>
        <w:tc>
          <w:tcPr/>
          <w:p>
            <w:pPr>
              <w:pStyle w:val="Compact"/>
              <w:jc w:val="left"/>
            </w:pPr>
            <w:r>
              <w:t xml:space="preserve">Calcul du solde selon des règles paramétrables (droits, report, jours fériés, jours ouvrés)</w:t>
            </w:r>
          </w:p>
        </w:tc>
        <w:tc>
          <w:tcPr/>
          <w:p>
            <w:pPr>
              <w:pStyle w:val="Compact"/>
              <w:jc w:val="left"/>
            </w:pPr>
            <w:r>
              <w:t xml:space="preserve">MUST</w:t>
            </w:r>
          </w:p>
        </w:tc>
        <w:tc>
          <w:tcPr/>
          <w:p>
            <w:pPr>
              <w:pStyle w:val="Compact"/>
              <w:jc w:val="left"/>
            </w:pPr>
            <w:r>
              <w:t xml:space="preserve">3</w:t>
            </w:r>
          </w:p>
        </w:tc>
        <w:tc>
          <w:tcPr/>
          <w:p>
            <w:pPr>
              <w:pStyle w:val="Compact"/>
              <w:jc w:val="left"/>
            </w:pPr>
            <w:r>
              <w:t xml:space="preserve">SIG-RF-CNG-03</w:t>
            </w:r>
          </w:p>
        </w:tc>
      </w:tr>
      <w:tr>
        <w:tc>
          <w:tcPr/>
          <w:p>
            <w:pPr>
              <w:pStyle w:val="Compact"/>
              <w:jc w:val="left"/>
            </w:pPr>
            <w:r>
              <w:t xml:space="preserve">SIG-RF-TMP-05</w:t>
            </w:r>
          </w:p>
        </w:tc>
        <w:tc>
          <w:tcPr/>
          <w:p>
            <w:pPr>
              <w:pStyle w:val="Compact"/>
              <w:jc w:val="left"/>
            </w:pPr>
            <w:r>
              <w:t xml:space="preserve">Dépôt de justificatif, accès restreint au DRH pour les pièces médicales</w:t>
            </w:r>
          </w:p>
        </w:tc>
        <w:tc>
          <w:tcPr/>
          <w:p>
            <w:pPr>
              <w:pStyle w:val="Compact"/>
              <w:jc w:val="left"/>
            </w:pPr>
            <w:r>
              <w:t xml:space="preserve">MUST</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SIG-RF-TMP-06</w:t>
            </w:r>
          </w:p>
        </w:tc>
        <w:tc>
          <w:tcPr/>
          <w:p>
            <w:pPr>
              <w:pStyle w:val="Compact"/>
              <w:jc w:val="left"/>
            </w:pPr>
            <w:r>
              <w:t xml:space="preserve">Planning des absences par unité, sans motif médical</w:t>
            </w:r>
          </w:p>
        </w:tc>
        <w:tc>
          <w:tcPr/>
          <w:p>
            <w:pPr>
              <w:pStyle w:val="Compact"/>
              <w:jc w:val="left"/>
            </w:pPr>
            <w:r>
              <w:t xml:space="preserve">MUST</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SIG-RF-TMP-07</w:t>
            </w:r>
          </w:p>
        </w:tc>
        <w:tc>
          <w:tcPr/>
          <w:p>
            <w:pPr>
              <w:pStyle w:val="Compact"/>
              <w:jc w:val="left"/>
            </w:pPr>
            <w:r>
              <w:t xml:space="preserve">Gestion de l’annulation, du retour anticipé, du report et de la prolongation</w:t>
            </w:r>
          </w:p>
        </w:tc>
        <w:tc>
          <w:tcPr/>
          <w:p>
            <w:pPr>
              <w:pStyle w:val="Compact"/>
              <w:jc w:val="left"/>
            </w:pPr>
            <w:r>
              <w:t xml:space="preserve">SHOULD</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SIG-RF-TMP-08</w:t>
            </w:r>
          </w:p>
        </w:tc>
        <w:tc>
          <w:tcPr/>
          <w:p>
            <w:pPr>
              <w:pStyle w:val="Compact"/>
              <w:jc w:val="left"/>
            </w:pPr>
            <w:r>
              <w:t xml:space="preserve">Historique complet par agent</w:t>
            </w:r>
          </w:p>
        </w:tc>
        <w:tc>
          <w:tcPr/>
          <w:p>
            <w:pPr>
              <w:pStyle w:val="Compact"/>
              <w:jc w:val="left"/>
            </w:pPr>
            <w:r>
              <w:t xml:space="preserve">SHOULD</w:t>
            </w:r>
          </w:p>
        </w:tc>
        <w:tc>
          <w:tcPr/>
          <w:p>
            <w:pPr>
              <w:pStyle w:val="Compact"/>
              <w:jc w:val="left"/>
            </w:pPr>
            <w:r>
              <w:t xml:space="preserve">3</w:t>
            </w:r>
          </w:p>
        </w:tc>
        <w:tc>
          <w:tcPr/>
          <w:p>
            <w:pPr>
              <w:pStyle w:val="Compact"/>
              <w:jc w:val="left"/>
            </w:pPr>
            <w:r>
              <w:t xml:space="preserve">SIG-RF-CNG-04</w:t>
            </w:r>
          </w:p>
        </w:tc>
      </w:tr>
      <w:tr>
        <w:tc>
          <w:tcPr/>
          <w:p>
            <w:pPr>
              <w:pStyle w:val="Compact"/>
              <w:jc w:val="left"/>
            </w:pPr>
            <w:r>
              <w:t xml:space="preserve">SIG-RF-TMP-09</w:t>
            </w:r>
          </w:p>
        </w:tc>
        <w:tc>
          <w:tcPr/>
          <w:p>
            <w:pPr>
              <w:pStyle w:val="Compact"/>
              <w:jc w:val="left"/>
            </w:pPr>
            <w:r>
              <w:t xml:space="preserve">Dérogation motivée du DRH en cas de solde insuffisant</w:t>
            </w:r>
          </w:p>
        </w:tc>
        <w:tc>
          <w:tcPr/>
          <w:p>
            <w:pPr>
              <w:pStyle w:val="Compact"/>
              <w:jc w:val="left"/>
            </w:pPr>
            <w:r>
              <w:t xml:space="preserve">SHOULD</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SIG-RF-TMP-10</w:t>
            </w:r>
          </w:p>
        </w:tc>
        <w:tc>
          <w:tcPr/>
          <w:p>
            <w:pPr>
              <w:pStyle w:val="Compact"/>
              <w:jc w:val="left"/>
            </w:pPr>
            <w:r>
              <w:t xml:space="preserve">Missions suivant le même circuit, sans décompte du congé annuel</w:t>
            </w:r>
          </w:p>
        </w:tc>
        <w:tc>
          <w:tcPr/>
          <w:p>
            <w:pPr>
              <w:pStyle w:val="Compact"/>
              <w:jc w:val="left"/>
            </w:pPr>
            <w:r>
              <w:t xml:space="preserve">MUST</w:t>
            </w:r>
          </w:p>
        </w:tc>
        <w:tc>
          <w:tcPr/>
          <w:p>
            <w:pPr>
              <w:pStyle w:val="Compact"/>
              <w:jc w:val="left"/>
            </w:pPr>
            <w:r>
              <w:t xml:space="preserve">3</w:t>
            </w:r>
          </w:p>
        </w:tc>
        <w:tc>
          <w:tcPr/>
          <w:p>
            <w:pPr>
              <w:pStyle w:val="Compact"/>
              <w:jc w:val="left"/>
            </w:pPr>
            <w:r>
              <w:t xml:space="preserve">—</w:t>
            </w:r>
          </w:p>
        </w:tc>
      </w:tr>
    </w:tbl>
    <w:bookmarkEnd w:id="203"/>
    <w:bookmarkStart w:id="204" w:name="a8.9-rémunération-sig-rf-pai"/>
    <w:p>
      <w:pPr>
        <w:pStyle w:val="Heading3"/>
      </w:pPr>
      <w:r>
        <w:t xml:space="preserve">A8.9 Rémunération (SIG-RF-PAI)</w:t>
      </w:r>
    </w:p>
    <w:tbl>
      <w:tblPr>
        <w:tblStyle w:val="Table"/>
        <w:tblW w:type="dxa" w:w="9354"/>
        <w:tblLayout w:type="fixed"/>
        <w:tblLook w:firstRow="1" w:lastRow="0" w:firstColumn="0" w:lastColumn="0" w:noHBand="0" w:noVBand="0" w:val="0020"/>
        <w:jc w:val="start"/>
      </w:tblPr>
      <w:tblGrid>
        <w:gridCol w:w="2195"/>
        <w:gridCol w:w="3095"/>
        <w:gridCol w:w="2065"/>
        <w:gridCol w:w="1999"/>
      </w:tblGrid>
      <w:tr>
        <w:trPr>
          <w:tblHeader w:val="true"/>
        </w:trPr>
        <w:tc>
          <w:tcPr/>
          <w:p>
            <w:pPr>
              <w:pStyle w:val="Compact"/>
              <w:jc w:val="left"/>
            </w:pPr>
            <w:r>
              <w:t xml:space="preserve">ID</w:t>
            </w:r>
          </w:p>
        </w:tc>
        <w:tc>
          <w:tcPr/>
          <w:p>
            <w:pPr>
              <w:pStyle w:val="Compact"/>
              <w:jc w:val="left"/>
            </w:pPr>
            <w:r>
              <w:t xml:space="preserve">Exigence</w:t>
            </w:r>
          </w:p>
        </w:tc>
        <w:tc>
          <w:tcPr/>
          <w:p>
            <w:pPr>
              <w:pStyle w:val="Compact"/>
              <w:jc w:val="left"/>
            </w:pPr>
            <w:r>
              <w:t xml:space="preserve">Priorité</w:t>
            </w:r>
          </w:p>
        </w:tc>
        <w:tc>
          <w:tcPr/>
          <w:p>
            <w:pPr>
              <w:pStyle w:val="Compact"/>
              <w:jc w:val="left"/>
            </w:pPr>
            <w:r>
              <w:t xml:space="preserve">Lot</w:t>
            </w:r>
          </w:p>
        </w:tc>
      </w:tr>
      <w:tr>
        <w:tc>
          <w:tcPr/>
          <w:p>
            <w:pPr>
              <w:pStyle w:val="Compact"/>
              <w:jc w:val="left"/>
            </w:pPr>
            <w:r>
              <w:t xml:space="preserve">SIG-RF-PAI-01</w:t>
            </w:r>
          </w:p>
        </w:tc>
        <w:tc>
          <w:tcPr/>
          <w:p>
            <w:pPr>
              <w:pStyle w:val="Compact"/>
              <w:jc w:val="left"/>
            </w:pPr>
            <w:r>
              <w:t xml:space="preserve">Campagne de paie mensuelle avec sélection des agents et éléments variables</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SIG-RF-PAI-02</w:t>
            </w:r>
          </w:p>
        </w:tc>
        <w:tc>
          <w:tcPr/>
          <w:p>
            <w:pPr>
              <w:pStyle w:val="Compact"/>
              <w:jc w:val="left"/>
            </w:pPr>
            <w:r>
              <w:t xml:space="preserve">Validation de la campagne avant publication par le chef SAF ou le DN</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SIG-RF-PAI-03</w:t>
            </w:r>
          </w:p>
        </w:tc>
        <w:tc>
          <w:tcPr/>
          <w:p>
            <w:pPr>
              <w:pStyle w:val="Compact"/>
              <w:jc w:val="left"/>
            </w:pPr>
            <w:r>
              <w:t xml:space="preserve">Bulletin figé, numéroté et horodaté à la publication, non modifiable</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SIG-RF-PAI-04</w:t>
            </w:r>
          </w:p>
        </w:tc>
        <w:tc>
          <w:tcPr/>
          <w:p>
            <w:pPr>
              <w:pStyle w:val="Compact"/>
              <w:jc w:val="left"/>
            </w:pPr>
            <w:r>
              <w:t xml:space="preserve">Bulletin rectificatif référençant l’original ; duplicata identifié comme tel</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SIG-RF-PAI-05</w:t>
            </w:r>
          </w:p>
        </w:tc>
        <w:tc>
          <w:tcPr/>
          <w:p>
            <w:pPr>
              <w:pStyle w:val="Compact"/>
              <w:jc w:val="left"/>
            </w:pPr>
            <w:r>
              <w:t xml:space="preserve">Cloisonnement côté serveur : un agent n’accède qu’à ses propres bulletins</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SIG-RF-PAI-06</w:t>
            </w:r>
          </w:p>
        </w:tc>
        <w:tc>
          <w:tcPr/>
          <w:p>
            <w:pPr>
              <w:pStyle w:val="Compact"/>
              <w:jc w:val="left"/>
            </w:pPr>
            <w:r>
              <w:t xml:space="preserve">Notification de disponibilité sans pièce jointe ; consultation dans le système</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SIG-RF-PAI-07</w:t>
            </w:r>
          </w:p>
        </w:tc>
        <w:tc>
          <w:tcPr/>
          <w:p>
            <w:pPr>
              <w:pStyle w:val="Compact"/>
              <w:jc w:val="left"/>
            </w:pPr>
            <w:r>
              <w:t xml:space="preserve">Accusé de consultation horodaté, visible du SAF</w:t>
            </w:r>
          </w:p>
        </w:tc>
        <w:tc>
          <w:tcPr/>
          <w:p>
            <w:pPr>
              <w:pStyle w:val="Compact"/>
              <w:jc w:val="left"/>
            </w:pPr>
            <w:r>
              <w:t xml:space="preserve">SHOULD</w:t>
            </w:r>
          </w:p>
        </w:tc>
        <w:tc>
          <w:tcPr/>
          <w:p>
            <w:pPr>
              <w:pStyle w:val="Compact"/>
              <w:jc w:val="left"/>
            </w:pPr>
            <w:r>
              <w:t xml:space="preserve">5</w:t>
            </w:r>
          </w:p>
        </w:tc>
      </w:tr>
      <w:tr>
        <w:tc>
          <w:tcPr/>
          <w:p>
            <w:pPr>
              <w:pStyle w:val="Compact"/>
              <w:jc w:val="left"/>
            </w:pPr>
            <w:r>
              <w:t xml:space="preserve">SIG-RF-PAI-08</w:t>
            </w:r>
          </w:p>
        </w:tc>
        <w:tc>
          <w:tcPr/>
          <w:p>
            <w:pPr>
              <w:pStyle w:val="Compact"/>
              <w:jc w:val="left"/>
            </w:pPr>
            <w:r>
              <w:t xml:space="preserve">Impression assistée par le SAF, journalisée</w:t>
            </w:r>
          </w:p>
        </w:tc>
        <w:tc>
          <w:tcPr/>
          <w:p>
            <w:pPr>
              <w:pStyle w:val="Compact"/>
              <w:jc w:val="left"/>
            </w:pPr>
            <w:r>
              <w:t xml:space="preserve">SHOULD</w:t>
            </w:r>
          </w:p>
        </w:tc>
        <w:tc>
          <w:tcPr/>
          <w:p>
            <w:pPr>
              <w:pStyle w:val="Compact"/>
              <w:jc w:val="left"/>
            </w:pPr>
            <w:r>
              <w:t xml:space="preserve">5</w:t>
            </w:r>
          </w:p>
        </w:tc>
      </w:tr>
      <w:tr>
        <w:tc>
          <w:tcPr/>
          <w:p>
            <w:pPr>
              <w:pStyle w:val="Compact"/>
              <w:jc w:val="left"/>
            </w:pPr>
            <w:r>
              <w:t xml:space="preserve">SIG-RF-PAI-09</w:t>
            </w:r>
          </w:p>
        </w:tc>
        <w:tc>
          <w:tcPr/>
          <w:p>
            <w:pPr>
              <w:pStyle w:val="Compact"/>
              <w:jc w:val="left"/>
            </w:pPr>
            <w:r>
              <w:t xml:space="preserve">Import des bulletins produits par la chaîne Solde pour mise à disposition</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SIG-RF-PAI-10</w:t>
            </w:r>
          </w:p>
        </w:tc>
        <w:tc>
          <w:tcPr/>
          <w:p>
            <w:pPr>
              <w:pStyle w:val="Compact"/>
              <w:jc w:val="left"/>
            </w:pPr>
            <w:r>
              <w:t xml:space="preserve">Calcul de paie pour les agents rémunérés par la Direction, selon règles validées par le SAF</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SIG-RF-PAI-11</w:t>
            </w:r>
          </w:p>
        </w:tc>
        <w:tc>
          <w:tcPr/>
          <w:p>
            <w:pPr>
              <w:pStyle w:val="Compact"/>
              <w:jc w:val="left"/>
            </w:pPr>
            <w:r>
              <w:t xml:space="preserve">Génération d’attestations de salaire et de travail</w:t>
            </w:r>
          </w:p>
        </w:tc>
        <w:tc>
          <w:tcPr/>
          <w:p>
            <w:pPr>
              <w:pStyle w:val="Compact"/>
              <w:jc w:val="left"/>
            </w:pPr>
            <w:r>
              <w:t xml:space="preserve">SHOULD</w:t>
            </w:r>
          </w:p>
        </w:tc>
        <w:tc>
          <w:tcPr/>
          <w:p>
            <w:pPr>
              <w:pStyle w:val="Compact"/>
              <w:jc w:val="left"/>
            </w:pPr>
            <w:r>
              <w:t xml:space="preserve">5</w:t>
            </w:r>
          </w:p>
        </w:tc>
      </w:tr>
      <w:tr>
        <w:tc>
          <w:tcPr/>
          <w:p>
            <w:pPr>
              <w:pStyle w:val="Compact"/>
              <w:jc w:val="left"/>
            </w:pPr>
            <w:r>
              <w:t xml:space="preserve">SIG-RF-PAI-12</w:t>
            </w:r>
          </w:p>
        </w:tc>
        <w:tc>
          <w:tcPr/>
          <w:p>
            <w:pPr>
              <w:pStyle w:val="Compact"/>
              <w:jc w:val="left"/>
            </w:pPr>
            <w:r>
              <w:t xml:space="preserve">Liquidation des indemnités de mission à partir du domaine D4</w:t>
            </w:r>
          </w:p>
        </w:tc>
        <w:tc>
          <w:tcPr/>
          <w:p>
            <w:pPr>
              <w:pStyle w:val="Compact"/>
              <w:jc w:val="left"/>
            </w:pPr>
            <w:r>
              <w:t xml:space="preserve">SHOULD</w:t>
            </w:r>
          </w:p>
        </w:tc>
        <w:tc>
          <w:tcPr/>
          <w:p>
            <w:pPr>
              <w:pStyle w:val="Compact"/>
              <w:jc w:val="left"/>
            </w:pPr>
            <w:r>
              <w:t xml:space="preserve">5</w:t>
            </w:r>
          </w:p>
        </w:tc>
      </w:tr>
    </w:tbl>
    <w:bookmarkEnd w:id="204"/>
    <w:bookmarkStart w:id="205" w:name="Xf1011f5c311f0c1e33cf723939b978c9e1de551"/>
    <w:p>
      <w:pPr>
        <w:pStyle w:val="Heading3"/>
      </w:pPr>
      <w:r>
        <w:t xml:space="preserve">A8.10 Instructions de la Direction (SIG-RF-INS)</w:t>
      </w:r>
    </w:p>
    <w:tbl>
      <w:tblPr>
        <w:tblStyle w:val="Table"/>
        <w:tblW w:type="dxa" w:w="9354"/>
        <w:tblLayout w:type="fixed"/>
        <w:tblLook w:firstRow="1" w:lastRow="0" w:firstColumn="0" w:lastColumn="0" w:noHBand="0" w:noVBand="0" w:val="0020"/>
        <w:jc w:val="start"/>
      </w:tblPr>
      <w:tblGrid>
        <w:gridCol w:w="2197"/>
        <w:gridCol w:w="3079"/>
        <w:gridCol w:w="2069"/>
        <w:gridCol w:w="2009"/>
      </w:tblGrid>
      <w:tr>
        <w:trPr>
          <w:tblHeader w:val="true"/>
        </w:trPr>
        <w:tc>
          <w:tcPr/>
          <w:p>
            <w:pPr>
              <w:pStyle w:val="Compact"/>
              <w:jc w:val="left"/>
            </w:pPr>
            <w:r>
              <w:t xml:space="preserve">ID</w:t>
            </w:r>
          </w:p>
        </w:tc>
        <w:tc>
          <w:tcPr/>
          <w:p>
            <w:pPr>
              <w:pStyle w:val="Compact"/>
              <w:jc w:val="left"/>
            </w:pPr>
            <w:r>
              <w:t xml:space="preserve">Exigence</w:t>
            </w:r>
          </w:p>
        </w:tc>
        <w:tc>
          <w:tcPr/>
          <w:p>
            <w:pPr>
              <w:pStyle w:val="Compact"/>
              <w:jc w:val="left"/>
            </w:pPr>
            <w:r>
              <w:t xml:space="preserve">Priorité</w:t>
            </w:r>
          </w:p>
        </w:tc>
        <w:tc>
          <w:tcPr/>
          <w:p>
            <w:pPr>
              <w:pStyle w:val="Compact"/>
              <w:jc w:val="left"/>
            </w:pPr>
            <w:r>
              <w:t xml:space="preserve">Lot</w:t>
            </w:r>
          </w:p>
        </w:tc>
      </w:tr>
      <w:tr>
        <w:tc>
          <w:tcPr/>
          <w:p>
            <w:pPr>
              <w:pStyle w:val="Compact"/>
              <w:jc w:val="left"/>
            </w:pPr>
            <w:r>
              <w:t xml:space="preserve">SIG-RF-INS-01</w:t>
            </w:r>
          </w:p>
        </w:tc>
        <w:tc>
          <w:tcPr/>
          <w:p>
            <w:pPr>
              <w:pStyle w:val="Compact"/>
              <w:jc w:val="left"/>
            </w:pPr>
            <w:r>
              <w:t xml:space="preserve">Objet Instruction avec champs typés (nature, agents, montant, date d’effet, durée)</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SIG-RF-INS-02</w:t>
            </w:r>
          </w:p>
        </w:tc>
        <w:tc>
          <w:tcPr/>
          <w:p>
            <w:pPr>
              <w:pStyle w:val="Compact"/>
              <w:jc w:val="left"/>
            </w:pPr>
            <w:r>
              <w:t xml:space="preserve">Émission réservée au DN et au DNA pour les natures financières et statutaires</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SIG-RF-INS-03</w:t>
            </w:r>
          </w:p>
        </w:tc>
        <w:tc>
          <w:tcPr/>
          <w:p>
            <w:pPr>
              <w:pStyle w:val="Compact"/>
              <w:jc w:val="left"/>
            </w:pPr>
            <w:r>
              <w:t xml:space="preserve">Cycle de statut jusqu’à Exécutée, avec référence de l’acte ou de la campagne</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SIG-RF-INS-04</w:t>
            </w:r>
          </w:p>
        </w:tc>
        <w:tc>
          <w:tcPr/>
          <w:p>
            <w:pPr>
              <w:pStyle w:val="Compact"/>
              <w:jc w:val="left"/>
            </w:pPr>
            <w:r>
              <w:t xml:space="preserve">Rejet possible avec motif obligatoire, notifié à l’émetteur</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SIG-RF-INS-05</w:t>
            </w:r>
          </w:p>
        </w:tc>
        <w:tc>
          <w:tcPr/>
          <w:p>
            <w:pPr>
              <w:pStyle w:val="Compact"/>
              <w:jc w:val="left"/>
            </w:pPr>
            <w:r>
              <w:t xml:space="preserve">Alimentation de la campagne de paie sous forme de proposition à valider</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SIG-RF-INS-06</w:t>
            </w:r>
          </w:p>
        </w:tc>
        <w:tc>
          <w:tcPr/>
          <w:p>
            <w:pPr>
              <w:pStyle w:val="Compact"/>
              <w:jc w:val="left"/>
            </w:pPr>
            <w:r>
              <w:t xml:space="preserve">Pièce signée obligatoire au-delà d’un seuil paramétrable</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SIG-RF-INS-07</w:t>
            </w:r>
          </w:p>
        </w:tc>
        <w:tc>
          <w:tcPr/>
          <w:p>
            <w:pPr>
              <w:pStyle w:val="Compact"/>
              <w:jc w:val="left"/>
            </w:pPr>
            <w:r>
              <w:t xml:space="preserve">Suivi des instructions non exécutées dans le tableau de bord du DN</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SIG-RF-INS-08</w:t>
            </w:r>
          </w:p>
        </w:tc>
        <w:tc>
          <w:tcPr/>
          <w:p>
            <w:pPr>
              <w:pStyle w:val="Compact"/>
              <w:jc w:val="left"/>
            </w:pPr>
            <w:r>
              <w:t xml:space="preserve">Non-visibilité par l’agent concerné avant exécution</w:t>
            </w:r>
          </w:p>
        </w:tc>
        <w:tc>
          <w:tcPr/>
          <w:p>
            <w:pPr>
              <w:pStyle w:val="Compact"/>
              <w:jc w:val="left"/>
            </w:pPr>
            <w:r>
              <w:t xml:space="preserve">SHOULD</w:t>
            </w:r>
          </w:p>
        </w:tc>
        <w:tc>
          <w:tcPr/>
          <w:p>
            <w:pPr>
              <w:pStyle w:val="Compact"/>
              <w:jc w:val="left"/>
            </w:pPr>
            <w:r>
              <w:t xml:space="preserve">5</w:t>
            </w:r>
          </w:p>
        </w:tc>
      </w:tr>
    </w:tbl>
    <w:bookmarkEnd w:id="205"/>
    <w:bookmarkStart w:id="206" w:name="a8.11-stages-et-formation-sig-rf-stg"/>
    <w:p>
      <w:pPr>
        <w:pStyle w:val="Heading3"/>
      </w:pPr>
      <w:r>
        <w:t xml:space="preserve">A8.11 Stages et formation (SIG-RF-STG)</w:t>
      </w:r>
    </w:p>
    <w:tbl>
      <w:tblPr>
        <w:tblStyle w:val="Table"/>
        <w:tblW w:type="dxa" w:w="9354"/>
        <w:tblLayout w:type="fixed"/>
        <w:tblLook w:firstRow="1" w:lastRow="0" w:firstColumn="0" w:lastColumn="0" w:noHBand="0" w:noVBand="0" w:val="0020"/>
        <w:jc w:val="start"/>
      </w:tblPr>
      <w:tblGrid>
        <w:gridCol w:w="2203"/>
        <w:gridCol w:w="3081"/>
        <w:gridCol w:w="2068"/>
        <w:gridCol w:w="2002"/>
      </w:tblGrid>
      <w:tr>
        <w:trPr>
          <w:tblHeader w:val="true"/>
        </w:trPr>
        <w:tc>
          <w:tcPr/>
          <w:p>
            <w:pPr>
              <w:pStyle w:val="Compact"/>
              <w:jc w:val="left"/>
            </w:pPr>
            <w:r>
              <w:t xml:space="preserve">ID</w:t>
            </w:r>
          </w:p>
        </w:tc>
        <w:tc>
          <w:tcPr/>
          <w:p>
            <w:pPr>
              <w:pStyle w:val="Compact"/>
              <w:jc w:val="left"/>
            </w:pPr>
            <w:r>
              <w:t xml:space="preserve">Exigence</w:t>
            </w:r>
          </w:p>
        </w:tc>
        <w:tc>
          <w:tcPr/>
          <w:p>
            <w:pPr>
              <w:pStyle w:val="Compact"/>
              <w:jc w:val="left"/>
            </w:pPr>
            <w:r>
              <w:t xml:space="preserve">Priorité</w:t>
            </w:r>
          </w:p>
        </w:tc>
        <w:tc>
          <w:tcPr/>
          <w:p>
            <w:pPr>
              <w:pStyle w:val="Compact"/>
              <w:jc w:val="left"/>
            </w:pPr>
            <w:r>
              <w:t xml:space="preserve">Lot</w:t>
            </w:r>
          </w:p>
        </w:tc>
      </w:tr>
      <w:tr>
        <w:tc>
          <w:tcPr/>
          <w:p>
            <w:pPr>
              <w:pStyle w:val="Compact"/>
              <w:jc w:val="left"/>
            </w:pPr>
            <w:r>
              <w:t xml:space="preserve">SIG-RF-STG-01</w:t>
            </w:r>
          </w:p>
        </w:tc>
        <w:tc>
          <w:tcPr/>
          <w:p>
            <w:pPr>
              <w:pStyle w:val="Compact"/>
              <w:jc w:val="left"/>
            </w:pPr>
            <w:r>
              <w:t xml:space="preserve">Enregistrement d’une demande de stage avec pièces</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SIG-RF-STG-02</w:t>
            </w:r>
          </w:p>
        </w:tc>
        <w:tc>
          <w:tcPr/>
          <w:p>
            <w:pPr>
              <w:pStyle w:val="Compact"/>
              <w:jc w:val="left"/>
            </w:pPr>
            <w:r>
              <w:t xml:space="preserve">Décision d’accueil et création d’un compte stagiaire à durée déterminée</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SIG-RF-STG-03</w:t>
            </w:r>
          </w:p>
        </w:tc>
        <w:tc>
          <w:tcPr/>
          <w:p>
            <w:pPr>
              <w:pStyle w:val="Compact"/>
              <w:jc w:val="left"/>
            </w:pPr>
            <w:r>
              <w:t xml:space="preserve">Plan de rotation paramétrable : unités, ordre, durée en jours ouvrables</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SIG-RF-STG-04</w:t>
            </w:r>
          </w:p>
        </w:tc>
        <w:tc>
          <w:tcPr/>
          <w:p>
            <w:pPr>
              <w:pStyle w:val="Compact"/>
              <w:jc w:val="left"/>
            </w:pPr>
            <w:r>
              <w:t xml:space="preserve">Calcul des dates sur le calendrier des jours ouvrables et des jours fériés</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SIG-RF-STG-05</w:t>
            </w:r>
          </w:p>
        </w:tc>
        <w:tc>
          <w:tcPr/>
          <w:p>
            <w:pPr>
              <w:pStyle w:val="Compact"/>
              <w:jc w:val="left"/>
            </w:pPr>
            <w:r>
              <w:t xml:space="preserve">Désignation d’un encadreur par unité d’accueil et d’un encadreur principal</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SIG-RF-STG-06</w:t>
            </w:r>
          </w:p>
        </w:tc>
        <w:tc>
          <w:tcPr/>
          <w:p>
            <w:pPr>
              <w:pStyle w:val="Compact"/>
              <w:jc w:val="left"/>
            </w:pPr>
            <w:r>
              <w:t xml:space="preserve">Bascule automatique à l’échéance de la rotation, sans saisie manuelle</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SIG-RF-STG-07</w:t>
            </w:r>
          </w:p>
        </w:tc>
        <w:tc>
          <w:tcPr/>
          <w:p>
            <w:pPr>
              <w:pStyle w:val="Compact"/>
              <w:jc w:val="left"/>
            </w:pPr>
            <w:r>
              <w:t xml:space="preserve">Notifications automatiques à J−2, à la clôture et à l’accueil</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SIG-RF-STG-08</w:t>
            </w:r>
          </w:p>
        </w:tc>
        <w:tc>
          <w:tcPr/>
          <w:p>
            <w:pPr>
              <w:pStyle w:val="Compact"/>
              <w:jc w:val="left"/>
            </w:pPr>
            <w:r>
              <w:t xml:space="preserve">Accusé de réception de l’unité d’accueil sous 24 h, alerte au DRH à défaut</w:t>
            </w:r>
          </w:p>
        </w:tc>
        <w:tc>
          <w:tcPr/>
          <w:p>
            <w:pPr>
              <w:pStyle w:val="Compact"/>
              <w:jc w:val="left"/>
            </w:pPr>
            <w:r>
              <w:t xml:space="preserve">SHOULD</w:t>
            </w:r>
          </w:p>
        </w:tc>
        <w:tc>
          <w:tcPr/>
          <w:p>
            <w:pPr>
              <w:pStyle w:val="Compact"/>
              <w:jc w:val="left"/>
            </w:pPr>
            <w:r>
              <w:t xml:space="preserve">3</w:t>
            </w:r>
          </w:p>
        </w:tc>
      </w:tr>
      <w:tr>
        <w:tc>
          <w:tcPr/>
          <w:p>
            <w:pPr>
              <w:pStyle w:val="Compact"/>
              <w:jc w:val="left"/>
            </w:pPr>
            <w:r>
              <w:t xml:space="preserve">SIG-RF-STG-09</w:t>
            </w:r>
          </w:p>
        </w:tc>
        <w:tc>
          <w:tcPr/>
          <w:p>
            <w:pPr>
              <w:pStyle w:val="Compact"/>
              <w:jc w:val="left"/>
            </w:pPr>
            <w:r>
              <w:t xml:space="preserve">Bascule des droits d’accès documentaire vers l’unité d’accueil</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SIG-RF-STG-10</w:t>
            </w:r>
          </w:p>
        </w:tc>
        <w:tc>
          <w:tcPr/>
          <w:p>
            <w:pPr>
              <w:pStyle w:val="Compact"/>
              <w:jc w:val="left"/>
            </w:pPr>
            <w:r>
              <w:t xml:space="preserve">Fiche d’évaluation renseignée par l’encadreur de l’unité quittée</w:t>
            </w:r>
          </w:p>
        </w:tc>
        <w:tc>
          <w:tcPr/>
          <w:p>
            <w:pPr>
              <w:pStyle w:val="Compact"/>
              <w:jc w:val="left"/>
            </w:pPr>
            <w:r>
              <w:t xml:space="preserve">SHOULD</w:t>
            </w:r>
          </w:p>
        </w:tc>
        <w:tc>
          <w:tcPr/>
          <w:p>
            <w:pPr>
              <w:pStyle w:val="Compact"/>
              <w:jc w:val="left"/>
            </w:pPr>
            <w:r>
              <w:t xml:space="preserve">3</w:t>
            </w:r>
          </w:p>
        </w:tc>
      </w:tr>
      <w:tr>
        <w:tc>
          <w:tcPr/>
          <w:p>
            <w:pPr>
              <w:pStyle w:val="Compact"/>
              <w:jc w:val="left"/>
            </w:pPr>
            <w:r>
              <w:t xml:space="preserve">SIG-RF-STG-11</w:t>
            </w:r>
          </w:p>
        </w:tc>
        <w:tc>
          <w:tcPr/>
          <w:p>
            <w:pPr>
              <w:pStyle w:val="Compact"/>
              <w:jc w:val="left"/>
            </w:pPr>
            <w:r>
              <w:t xml:space="preserve">Dépôt du rapport de stage et validation par l’encadreur principal</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SIG-RF-STG-12</w:t>
            </w:r>
          </w:p>
        </w:tc>
        <w:tc>
          <w:tcPr/>
          <w:p>
            <w:pPr>
              <w:pStyle w:val="Compact"/>
              <w:jc w:val="left"/>
            </w:pPr>
            <w:r>
              <w:t xml:space="preserve">Génération de l’attestation numérotée mentionnant les unités parcourues et leurs durées</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SIG-RF-STG-13</w:t>
            </w:r>
          </w:p>
        </w:tc>
        <w:tc>
          <w:tcPr/>
          <w:p>
            <w:pPr>
              <w:pStyle w:val="Compact"/>
              <w:jc w:val="left"/>
            </w:pPr>
            <w:r>
              <w:t xml:space="preserve">Gestion des exceptions : report, permutation, absence, prolongation, interruption</w:t>
            </w:r>
          </w:p>
        </w:tc>
        <w:tc>
          <w:tcPr/>
          <w:p>
            <w:pPr>
              <w:pStyle w:val="Compact"/>
              <w:jc w:val="left"/>
            </w:pPr>
            <w:r>
              <w:t xml:space="preserve">SHOULD</w:t>
            </w:r>
          </w:p>
        </w:tc>
        <w:tc>
          <w:tcPr/>
          <w:p>
            <w:pPr>
              <w:pStyle w:val="Compact"/>
              <w:jc w:val="left"/>
            </w:pPr>
            <w:r>
              <w:t xml:space="preserve">3</w:t>
            </w:r>
          </w:p>
        </w:tc>
      </w:tr>
      <w:tr>
        <w:tc>
          <w:tcPr/>
          <w:p>
            <w:pPr>
              <w:pStyle w:val="Compact"/>
              <w:jc w:val="left"/>
            </w:pPr>
            <w:r>
              <w:t xml:space="preserve">SIG-RF-STG-14</w:t>
            </w:r>
          </w:p>
        </w:tc>
        <w:tc>
          <w:tcPr/>
          <w:p>
            <w:pPr>
              <w:pStyle w:val="Compact"/>
              <w:jc w:val="left"/>
            </w:pPr>
            <w:r>
              <w:t xml:space="preserve">Capacité maximale d’accueil simultané par unité</w:t>
            </w:r>
          </w:p>
        </w:tc>
        <w:tc>
          <w:tcPr/>
          <w:p>
            <w:pPr>
              <w:pStyle w:val="Compact"/>
              <w:jc w:val="left"/>
            </w:pPr>
            <w:r>
              <w:t xml:space="preserve">SHOULD</w:t>
            </w:r>
          </w:p>
        </w:tc>
        <w:tc>
          <w:tcPr/>
          <w:p>
            <w:pPr>
              <w:pStyle w:val="Compact"/>
              <w:jc w:val="left"/>
            </w:pPr>
            <w:r>
              <w:t xml:space="preserve">3</w:t>
            </w:r>
          </w:p>
        </w:tc>
      </w:tr>
      <w:tr>
        <w:tc>
          <w:tcPr/>
          <w:p>
            <w:pPr>
              <w:pStyle w:val="Compact"/>
              <w:jc w:val="left"/>
            </w:pPr>
            <w:r>
              <w:t xml:space="preserve">SIG-RF-STG-15</w:t>
            </w:r>
          </w:p>
        </w:tc>
        <w:tc>
          <w:tcPr/>
          <w:p>
            <w:pPr>
              <w:pStyle w:val="Compact"/>
              <w:jc w:val="left"/>
            </w:pPr>
            <w:r>
              <w:t xml:space="preserve">Enregistrement des formations suivies par agent</w:t>
            </w:r>
          </w:p>
        </w:tc>
        <w:tc>
          <w:tcPr/>
          <w:p>
            <w:pPr>
              <w:pStyle w:val="Compact"/>
              <w:jc w:val="left"/>
            </w:pPr>
            <w:r>
              <w:t xml:space="preserve">SHOULD</w:t>
            </w:r>
          </w:p>
        </w:tc>
        <w:tc>
          <w:tcPr/>
          <w:p>
            <w:pPr>
              <w:pStyle w:val="Compact"/>
              <w:jc w:val="left"/>
            </w:pPr>
            <w:r>
              <w:t xml:space="preserve">5</w:t>
            </w:r>
          </w:p>
        </w:tc>
      </w:tr>
      <w:tr>
        <w:tc>
          <w:tcPr/>
          <w:p>
            <w:pPr>
              <w:pStyle w:val="Compact"/>
              <w:jc w:val="left"/>
            </w:pPr>
            <w:r>
              <w:t xml:space="preserve">SIG-RF-STG-16</w:t>
            </w:r>
          </w:p>
        </w:tc>
        <w:tc>
          <w:tcPr/>
          <w:p>
            <w:pPr>
              <w:pStyle w:val="Compact"/>
              <w:jc w:val="left"/>
            </w:pPr>
            <w:r>
              <w:t xml:space="preserve">Plan de formation annuel et alertes</w:t>
            </w:r>
          </w:p>
        </w:tc>
        <w:tc>
          <w:tcPr/>
          <w:p>
            <w:pPr>
              <w:pStyle w:val="Compact"/>
              <w:jc w:val="left"/>
            </w:pPr>
            <w:r>
              <w:t xml:space="preserve">COULD</w:t>
            </w:r>
          </w:p>
        </w:tc>
        <w:tc>
          <w:tcPr/>
          <w:p>
            <w:pPr>
              <w:pStyle w:val="Compact"/>
              <w:jc w:val="left"/>
            </w:pPr>
            <w:r>
              <w:t xml:space="preserve">5</w:t>
            </w:r>
          </w:p>
        </w:tc>
      </w:tr>
    </w:tbl>
    <w:bookmarkEnd w:id="206"/>
    <w:bookmarkStart w:id="207" w:name="a8.12-courrier-et-actes-sig-rf-crr"/>
    <w:p>
      <w:pPr>
        <w:pStyle w:val="Heading3"/>
      </w:pPr>
      <w:r>
        <w:t xml:space="preserve">A8.12 Courrier et actes (SIG-RF-CRR)</w:t>
      </w:r>
    </w:p>
    <w:tbl>
      <w:tblPr>
        <w:tblStyle w:val="Table"/>
        <w:tblW w:type="dxa" w:w="9354"/>
        <w:tblLayout w:type="fixed"/>
        <w:tblLook w:firstRow="1" w:lastRow="0" w:firstColumn="0" w:lastColumn="0" w:noHBand="0" w:noVBand="0" w:val="0020"/>
        <w:jc w:val="start"/>
      </w:tblPr>
      <w:tblGrid>
        <w:gridCol w:w="2260"/>
        <w:gridCol w:w="2874"/>
        <w:gridCol w:w="2148"/>
        <w:gridCol w:w="2072"/>
      </w:tblGrid>
      <w:tr>
        <w:trPr>
          <w:tblHeader w:val="true"/>
        </w:trPr>
        <w:tc>
          <w:tcPr/>
          <w:p>
            <w:pPr>
              <w:pStyle w:val="Compact"/>
              <w:jc w:val="left"/>
            </w:pPr>
            <w:r>
              <w:t xml:space="preserve">ID</w:t>
            </w:r>
          </w:p>
        </w:tc>
        <w:tc>
          <w:tcPr/>
          <w:p>
            <w:pPr>
              <w:pStyle w:val="Compact"/>
              <w:jc w:val="left"/>
            </w:pPr>
            <w:r>
              <w:t xml:space="preserve">Exigence</w:t>
            </w:r>
          </w:p>
        </w:tc>
        <w:tc>
          <w:tcPr/>
          <w:p>
            <w:pPr>
              <w:pStyle w:val="Compact"/>
              <w:jc w:val="left"/>
            </w:pPr>
            <w:r>
              <w:t xml:space="preserve">Priorité</w:t>
            </w:r>
          </w:p>
        </w:tc>
        <w:tc>
          <w:tcPr/>
          <w:p>
            <w:pPr>
              <w:pStyle w:val="Compact"/>
              <w:jc w:val="left"/>
            </w:pPr>
            <w:r>
              <w:t xml:space="preserve">Lot</w:t>
            </w:r>
          </w:p>
        </w:tc>
      </w:tr>
      <w:tr>
        <w:tc>
          <w:tcPr/>
          <w:p>
            <w:pPr>
              <w:pStyle w:val="Compact"/>
              <w:jc w:val="left"/>
            </w:pPr>
            <w:r>
              <w:t xml:space="preserve">SIG-RF-CRR-01</w:t>
            </w:r>
          </w:p>
        </w:tc>
        <w:tc>
          <w:tcPr/>
          <w:p>
            <w:pPr>
              <w:pStyle w:val="Compact"/>
              <w:jc w:val="left"/>
            </w:pPr>
            <w:r>
              <w:t xml:space="preserve">Enregistrement et numérisation du courrier entrant</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SIG-RF-CRR-02</w:t>
            </w:r>
          </w:p>
        </w:tc>
        <w:tc>
          <w:tcPr/>
          <w:p>
            <w:pPr>
              <w:pStyle w:val="Compact"/>
              <w:jc w:val="left"/>
            </w:pPr>
            <w:r>
              <w:t xml:space="preserve">Imputation par le DN ou le DNA, avec instruction et délai</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SIG-RF-CRR-03</w:t>
            </w:r>
          </w:p>
        </w:tc>
        <w:tc>
          <w:tcPr/>
          <w:p>
            <w:pPr>
              <w:pStyle w:val="Compact"/>
              <w:jc w:val="left"/>
            </w:pPr>
            <w:r>
              <w:t xml:space="preserve">Suivi du traitement et alerte sur les courriers en retard</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SIG-RF-CRR-04</w:t>
            </w:r>
          </w:p>
        </w:tc>
        <w:tc>
          <w:tcPr/>
          <w:p>
            <w:pPr>
              <w:pStyle w:val="Compact"/>
              <w:jc w:val="left"/>
            </w:pPr>
            <w:r>
              <w:t xml:space="preserve">Courrier sortant avec circuit de visa et numérotation</w:t>
            </w:r>
          </w:p>
        </w:tc>
        <w:tc>
          <w:tcPr/>
          <w:p>
            <w:pPr>
              <w:pStyle w:val="Compact"/>
              <w:jc w:val="left"/>
            </w:pPr>
            <w:r>
              <w:t xml:space="preserve">SHOULD</w:t>
            </w:r>
          </w:p>
        </w:tc>
        <w:tc>
          <w:tcPr/>
          <w:p>
            <w:pPr>
              <w:pStyle w:val="Compact"/>
              <w:jc w:val="left"/>
            </w:pPr>
            <w:r>
              <w:t xml:space="preserve">5</w:t>
            </w:r>
          </w:p>
        </w:tc>
      </w:tr>
      <w:tr>
        <w:tc>
          <w:tcPr/>
          <w:p>
            <w:pPr>
              <w:pStyle w:val="Compact"/>
              <w:jc w:val="left"/>
            </w:pPr>
            <w:r>
              <w:t xml:space="preserve">SIG-RF-CRR-05</w:t>
            </w:r>
          </w:p>
        </w:tc>
        <w:tc>
          <w:tcPr/>
          <w:p>
            <w:pPr>
              <w:pStyle w:val="Compact"/>
              <w:jc w:val="left"/>
            </w:pPr>
            <w:r>
              <w:t xml:space="preserve">Notes de service avec accusé de réception individuel</w:t>
            </w:r>
          </w:p>
        </w:tc>
        <w:tc>
          <w:tcPr/>
          <w:p>
            <w:pPr>
              <w:pStyle w:val="Compact"/>
              <w:jc w:val="left"/>
            </w:pPr>
            <w:r>
              <w:t xml:space="preserve">SHOULD</w:t>
            </w:r>
          </w:p>
        </w:tc>
        <w:tc>
          <w:tcPr/>
          <w:p>
            <w:pPr>
              <w:pStyle w:val="Compact"/>
              <w:jc w:val="left"/>
            </w:pPr>
            <w:r>
              <w:t xml:space="preserve">5</w:t>
            </w:r>
          </w:p>
        </w:tc>
      </w:tr>
      <w:tr>
        <w:tc>
          <w:tcPr/>
          <w:p>
            <w:pPr>
              <w:pStyle w:val="Compact"/>
              <w:jc w:val="left"/>
            </w:pPr>
            <w:r>
              <w:t xml:space="preserve">SIG-RF-CRR-06</w:t>
            </w:r>
          </w:p>
        </w:tc>
        <w:tc>
          <w:tcPr/>
          <w:p>
            <w:pPr>
              <w:pStyle w:val="Compact"/>
              <w:jc w:val="left"/>
            </w:pPr>
            <w:r>
              <w:t xml:space="preserve">Registre consultable et exportable</w:t>
            </w:r>
          </w:p>
        </w:tc>
        <w:tc>
          <w:tcPr/>
          <w:p>
            <w:pPr>
              <w:pStyle w:val="Compact"/>
              <w:jc w:val="left"/>
            </w:pPr>
            <w:r>
              <w:t xml:space="preserve">SHOULD</w:t>
            </w:r>
          </w:p>
        </w:tc>
        <w:tc>
          <w:tcPr/>
          <w:p>
            <w:pPr>
              <w:pStyle w:val="Compact"/>
              <w:jc w:val="left"/>
            </w:pPr>
            <w:r>
              <w:t xml:space="preserve">5</w:t>
            </w:r>
          </w:p>
        </w:tc>
      </w:tr>
    </w:tbl>
    <w:bookmarkEnd w:id="207"/>
    <w:bookmarkStart w:id="208" w:name="a8.13-logistique-sig-rf-log"/>
    <w:p>
      <w:pPr>
        <w:pStyle w:val="Heading3"/>
      </w:pPr>
      <w:r>
        <w:t xml:space="preserve">A8.13 Logistique (SIG-RF-LOG)</w:t>
      </w:r>
    </w:p>
    <w:tbl>
      <w:tblPr>
        <w:tblStyle w:val="Table"/>
        <w:tblW w:type="dxa" w:w="9354"/>
        <w:tblLayout w:type="fixed"/>
        <w:tblLook w:firstRow="1" w:lastRow="0" w:firstColumn="0" w:lastColumn="0" w:noHBand="0" w:noVBand="0" w:val="0020"/>
        <w:jc w:val="start"/>
      </w:tblPr>
      <w:tblGrid>
        <w:gridCol w:w="2293"/>
        <w:gridCol w:w="2749"/>
        <w:gridCol w:w="2195"/>
        <w:gridCol w:w="2117"/>
      </w:tblGrid>
      <w:tr>
        <w:trPr>
          <w:tblHeader w:val="true"/>
        </w:trPr>
        <w:tc>
          <w:tcPr/>
          <w:p>
            <w:pPr>
              <w:pStyle w:val="Compact"/>
              <w:jc w:val="left"/>
            </w:pPr>
            <w:r>
              <w:t xml:space="preserve">ID</w:t>
            </w:r>
          </w:p>
        </w:tc>
        <w:tc>
          <w:tcPr/>
          <w:p>
            <w:pPr>
              <w:pStyle w:val="Compact"/>
              <w:jc w:val="left"/>
            </w:pPr>
            <w:r>
              <w:t xml:space="preserve">Exigence</w:t>
            </w:r>
          </w:p>
        </w:tc>
        <w:tc>
          <w:tcPr/>
          <w:p>
            <w:pPr>
              <w:pStyle w:val="Compact"/>
              <w:jc w:val="left"/>
            </w:pPr>
            <w:r>
              <w:t xml:space="preserve">Priorité</w:t>
            </w:r>
          </w:p>
        </w:tc>
        <w:tc>
          <w:tcPr/>
          <w:p>
            <w:pPr>
              <w:pStyle w:val="Compact"/>
              <w:jc w:val="left"/>
            </w:pPr>
            <w:r>
              <w:t xml:space="preserve">Lot</w:t>
            </w:r>
          </w:p>
        </w:tc>
      </w:tr>
      <w:tr>
        <w:tc>
          <w:tcPr/>
          <w:p>
            <w:pPr>
              <w:pStyle w:val="Compact"/>
              <w:jc w:val="left"/>
            </w:pPr>
            <w:r>
              <w:t xml:space="preserve">SIG-RF-LOG-01</w:t>
            </w:r>
          </w:p>
        </w:tc>
        <w:tc>
          <w:tcPr/>
          <w:p>
            <w:pPr>
              <w:pStyle w:val="Compact"/>
              <w:jc w:val="left"/>
            </w:pPr>
            <w:r>
              <w:t xml:space="preserve">Inventaire du matériel affecté par agent et par unité</w:t>
            </w:r>
          </w:p>
        </w:tc>
        <w:tc>
          <w:tcPr/>
          <w:p>
            <w:pPr>
              <w:pStyle w:val="Compact"/>
              <w:jc w:val="left"/>
            </w:pPr>
            <w:r>
              <w:t xml:space="preserve">COULD</w:t>
            </w:r>
          </w:p>
        </w:tc>
        <w:tc>
          <w:tcPr/>
          <w:p>
            <w:pPr>
              <w:pStyle w:val="Compact"/>
              <w:jc w:val="left"/>
            </w:pPr>
            <w:r>
              <w:t xml:space="preserve">5</w:t>
            </w:r>
          </w:p>
        </w:tc>
      </w:tr>
      <w:tr>
        <w:tc>
          <w:tcPr/>
          <w:p>
            <w:pPr>
              <w:pStyle w:val="Compact"/>
              <w:jc w:val="left"/>
            </w:pPr>
            <w:r>
              <w:t xml:space="preserve">SIG-RF-LOG-02</w:t>
            </w:r>
          </w:p>
        </w:tc>
        <w:tc>
          <w:tcPr/>
          <w:p>
            <w:pPr>
              <w:pStyle w:val="Compact"/>
              <w:jc w:val="left"/>
            </w:pPr>
            <w:r>
              <w:t xml:space="preserve">Demandes de fournitures avec validation en cascade</w:t>
            </w:r>
          </w:p>
        </w:tc>
        <w:tc>
          <w:tcPr/>
          <w:p>
            <w:pPr>
              <w:pStyle w:val="Compact"/>
              <w:jc w:val="left"/>
            </w:pPr>
            <w:r>
              <w:t xml:space="preserve">COULD</w:t>
            </w:r>
          </w:p>
        </w:tc>
        <w:tc>
          <w:tcPr/>
          <w:p>
            <w:pPr>
              <w:pStyle w:val="Compact"/>
              <w:jc w:val="left"/>
            </w:pPr>
            <w:r>
              <w:t xml:space="preserve">5</w:t>
            </w:r>
          </w:p>
        </w:tc>
      </w:tr>
      <w:tr>
        <w:tc>
          <w:tcPr/>
          <w:p>
            <w:pPr>
              <w:pStyle w:val="Compact"/>
              <w:jc w:val="left"/>
            </w:pPr>
            <w:r>
              <w:t xml:space="preserve">SIG-RF-LOG-03</w:t>
            </w:r>
          </w:p>
        </w:tc>
        <w:tc>
          <w:tcPr/>
          <w:p>
            <w:pPr>
              <w:pStyle w:val="Compact"/>
              <w:jc w:val="left"/>
            </w:pPr>
            <w:r>
              <w:t xml:space="preserve">Suivi des véhicules, missions et carburant</w:t>
            </w:r>
          </w:p>
        </w:tc>
        <w:tc>
          <w:tcPr/>
          <w:p>
            <w:pPr>
              <w:pStyle w:val="Compact"/>
              <w:jc w:val="left"/>
            </w:pPr>
            <w:r>
              <w:t xml:space="preserve">COULD</w:t>
            </w:r>
          </w:p>
        </w:tc>
        <w:tc>
          <w:tcPr/>
          <w:p>
            <w:pPr>
              <w:pStyle w:val="Compact"/>
              <w:jc w:val="left"/>
            </w:pPr>
            <w:r>
              <w:t xml:space="preserve">5</w:t>
            </w:r>
          </w:p>
        </w:tc>
      </w:tr>
      <w:tr>
        <w:tc>
          <w:tcPr/>
          <w:p>
            <w:pPr>
              <w:pStyle w:val="Compact"/>
              <w:jc w:val="left"/>
            </w:pPr>
            <w:r>
              <w:t xml:space="preserve">SIG-RF-LOG-04</w:t>
            </w:r>
          </w:p>
        </w:tc>
        <w:tc>
          <w:tcPr/>
          <w:p>
            <w:pPr>
              <w:pStyle w:val="Compact"/>
              <w:jc w:val="left"/>
            </w:pPr>
            <w:r>
              <w:t xml:space="preserve">Réservation de salles</w:t>
            </w:r>
          </w:p>
        </w:tc>
        <w:tc>
          <w:tcPr/>
          <w:p>
            <w:pPr>
              <w:pStyle w:val="Compact"/>
              <w:jc w:val="left"/>
            </w:pPr>
            <w:r>
              <w:t xml:space="preserve">COULD</w:t>
            </w:r>
          </w:p>
        </w:tc>
        <w:tc>
          <w:tcPr/>
          <w:p>
            <w:pPr>
              <w:pStyle w:val="Compact"/>
              <w:jc w:val="left"/>
            </w:pPr>
            <w:r>
              <w:t xml:space="preserve">5</w:t>
            </w:r>
          </w:p>
        </w:tc>
      </w:tr>
    </w:tbl>
    <w:bookmarkEnd w:id="208"/>
    <w:bookmarkStart w:id="209" w:name="a8.14-tableaux-de-bord-sig-rf-tdb"/>
    <w:p>
      <w:pPr>
        <w:pStyle w:val="Heading3"/>
      </w:pPr>
      <w:r>
        <w:t xml:space="preserve">A8.14 Tableaux de bord (SIG-RF-TDB)</w:t>
      </w:r>
    </w:p>
    <w:tbl>
      <w:tblPr>
        <w:tblStyle w:val="Table"/>
        <w:tblW w:type="dxa" w:w="9354"/>
        <w:tblLayout w:type="fixed"/>
        <w:tblLook w:firstRow="1" w:lastRow="0" w:firstColumn="0" w:lastColumn="0" w:noHBand="0" w:noVBand="0" w:val="0020"/>
        <w:jc w:val="start"/>
      </w:tblPr>
      <w:tblGrid>
        <w:gridCol w:w="2318"/>
        <w:gridCol w:w="2736"/>
        <w:gridCol w:w="2183"/>
        <w:gridCol w:w="2117"/>
      </w:tblGrid>
      <w:tr>
        <w:trPr>
          <w:tblHeader w:val="true"/>
        </w:trPr>
        <w:tc>
          <w:tcPr/>
          <w:p>
            <w:pPr>
              <w:pStyle w:val="Compact"/>
              <w:jc w:val="left"/>
            </w:pPr>
            <w:r>
              <w:t xml:space="preserve">ID</w:t>
            </w:r>
          </w:p>
        </w:tc>
        <w:tc>
          <w:tcPr/>
          <w:p>
            <w:pPr>
              <w:pStyle w:val="Compact"/>
              <w:jc w:val="left"/>
            </w:pPr>
            <w:r>
              <w:t xml:space="preserve">Exigence</w:t>
            </w:r>
          </w:p>
        </w:tc>
        <w:tc>
          <w:tcPr/>
          <w:p>
            <w:pPr>
              <w:pStyle w:val="Compact"/>
              <w:jc w:val="left"/>
            </w:pPr>
            <w:r>
              <w:t xml:space="preserve">Priorité</w:t>
            </w:r>
          </w:p>
        </w:tc>
        <w:tc>
          <w:tcPr/>
          <w:p>
            <w:pPr>
              <w:pStyle w:val="Compact"/>
              <w:jc w:val="left"/>
            </w:pPr>
            <w:r>
              <w:t xml:space="preserve">Lot</w:t>
            </w:r>
          </w:p>
        </w:tc>
      </w:tr>
      <w:tr>
        <w:tc>
          <w:tcPr/>
          <w:p>
            <w:pPr>
              <w:pStyle w:val="Compact"/>
              <w:jc w:val="left"/>
            </w:pPr>
            <w:r>
              <w:t xml:space="preserve">SIG-RF-TDB-01</w:t>
            </w:r>
          </w:p>
        </w:tc>
        <w:tc>
          <w:tcPr/>
          <w:p>
            <w:pPr>
              <w:pStyle w:val="Compact"/>
              <w:jc w:val="left"/>
            </w:pPr>
            <w:r>
              <w:t xml:space="preserve">Tableau de bord DN / DNA</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SIG-RF-TDB-02</w:t>
            </w:r>
          </w:p>
        </w:tc>
        <w:tc>
          <w:tcPr/>
          <w:p>
            <w:pPr>
              <w:pStyle w:val="Compact"/>
              <w:jc w:val="left"/>
            </w:pPr>
            <w:r>
              <w:t xml:space="preserve">Tableau de bord chef de division et chef de cellule</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SIG-RF-TDB-03</w:t>
            </w:r>
          </w:p>
        </w:tc>
        <w:tc>
          <w:tcPr/>
          <w:p>
            <w:pPr>
              <w:pStyle w:val="Compact"/>
              <w:jc w:val="left"/>
            </w:pPr>
            <w:r>
              <w:t xml:space="preserve">Tableau de bord chef de section</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SIG-RF-TDB-04</w:t>
            </w:r>
          </w:p>
        </w:tc>
        <w:tc>
          <w:tcPr/>
          <w:p>
            <w:pPr>
              <w:pStyle w:val="Compact"/>
              <w:jc w:val="left"/>
            </w:pPr>
            <w:r>
              <w:t xml:space="preserve">Tableau de bord agent</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SIG-RF-TDB-05</w:t>
            </w:r>
          </w:p>
        </w:tc>
        <w:tc>
          <w:tcPr/>
          <w:p>
            <w:pPr>
              <w:pStyle w:val="Compact"/>
              <w:jc w:val="left"/>
            </w:pPr>
            <w:r>
              <w:t xml:space="preserve">Tableau de bord DRH</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SIG-RF-TDB-06</w:t>
            </w:r>
          </w:p>
        </w:tc>
        <w:tc>
          <w:tcPr/>
          <w:p>
            <w:pPr>
              <w:pStyle w:val="Compact"/>
              <w:jc w:val="left"/>
            </w:pPr>
            <w:r>
              <w:t xml:space="preserve">Tableau de bord SAF et gestionnaire de paie</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SIG-RF-TDB-07</w:t>
            </w:r>
          </w:p>
        </w:tc>
        <w:tc>
          <w:tcPr/>
          <w:p>
            <w:pPr>
              <w:pStyle w:val="Compact"/>
              <w:jc w:val="left"/>
            </w:pPr>
            <w:r>
              <w:t xml:space="preserve">Tableau de bord encadreur de stage</w:t>
            </w:r>
          </w:p>
        </w:tc>
        <w:tc>
          <w:tcPr/>
          <w:p>
            <w:pPr>
              <w:pStyle w:val="Compact"/>
              <w:jc w:val="left"/>
            </w:pPr>
            <w:r>
              <w:t xml:space="preserve">SHOULD</w:t>
            </w:r>
          </w:p>
        </w:tc>
        <w:tc>
          <w:tcPr/>
          <w:p>
            <w:pPr>
              <w:pStyle w:val="Compact"/>
              <w:jc w:val="left"/>
            </w:pPr>
            <w:r>
              <w:t xml:space="preserve">3</w:t>
            </w:r>
          </w:p>
        </w:tc>
      </w:tr>
      <w:tr>
        <w:tc>
          <w:tcPr/>
          <w:p>
            <w:pPr>
              <w:pStyle w:val="Compact"/>
              <w:jc w:val="left"/>
            </w:pPr>
            <w:r>
              <w:t xml:space="preserve">SIG-RF-TDB-08</w:t>
            </w:r>
          </w:p>
        </w:tc>
        <w:tc>
          <w:tcPr/>
          <w:p>
            <w:pPr>
              <w:pStyle w:val="Compact"/>
              <w:jc w:val="left"/>
            </w:pPr>
            <w:r>
              <w:t xml:space="preserve">Tableau de bord administrateur CSID</w:t>
            </w:r>
          </w:p>
        </w:tc>
        <w:tc>
          <w:tcPr/>
          <w:p>
            <w:pPr>
              <w:pStyle w:val="Compact"/>
              <w:jc w:val="left"/>
            </w:pPr>
            <w:r>
              <w:t xml:space="preserve">SHOULD</w:t>
            </w:r>
          </w:p>
        </w:tc>
        <w:tc>
          <w:tcPr/>
          <w:p>
            <w:pPr>
              <w:pStyle w:val="Compact"/>
              <w:jc w:val="left"/>
            </w:pPr>
            <w:r>
              <w:t xml:space="preserve">0</w:t>
            </w:r>
          </w:p>
        </w:tc>
      </w:tr>
      <w:tr>
        <w:tc>
          <w:tcPr/>
          <w:p>
            <w:pPr>
              <w:pStyle w:val="Compact"/>
              <w:jc w:val="left"/>
            </w:pPr>
            <w:r>
              <w:t xml:space="preserve">SIG-RF-TDB-09</w:t>
            </w:r>
          </w:p>
        </w:tc>
        <w:tc>
          <w:tcPr/>
          <w:p>
            <w:pPr>
              <w:pStyle w:val="Compact"/>
              <w:jc w:val="left"/>
            </w:pPr>
            <w:r>
              <w:t xml:space="preserve">Filtrage systématique du contenu selon les habilitations du rôle connecté</w:t>
            </w:r>
          </w:p>
        </w:tc>
        <w:tc>
          <w:tcPr/>
          <w:p>
            <w:pPr>
              <w:pStyle w:val="Compact"/>
              <w:jc w:val="left"/>
            </w:pPr>
            <w:r>
              <w:t xml:space="preserve">MUST</w:t>
            </w:r>
          </w:p>
        </w:tc>
        <w:tc>
          <w:tcPr/>
          <w:p>
            <w:pPr>
              <w:pStyle w:val="Compact"/>
              <w:jc w:val="left"/>
            </w:pPr>
            <w:r>
              <w:t xml:space="preserve">1</w:t>
            </w:r>
          </w:p>
        </w:tc>
      </w:tr>
    </w:tbl>
    <w:bookmarkEnd w:id="209"/>
    <w:bookmarkStart w:id="210" w:name="a8.17-reprise-de-lexistant-sig-rf-rep"/>
    <w:p>
      <w:pPr>
        <w:pStyle w:val="Heading3"/>
      </w:pPr>
      <w:r>
        <w:t xml:space="preserve">A8.17 Reprise de l’existant (SIG-RF-REP)</w:t>
      </w:r>
    </w:p>
    <w:tbl>
      <w:tblPr>
        <w:tblStyle w:val="Table"/>
        <w:tblW w:type="dxa" w:w="9354"/>
        <w:tblLayout w:type="fixed"/>
        <w:tblLook w:firstRow="1" w:lastRow="0" w:firstColumn="0" w:lastColumn="0" w:noHBand="0" w:noVBand="0" w:val="0020"/>
        <w:jc w:val="start"/>
      </w:tblPr>
      <w:tblGrid>
        <w:gridCol w:w="2150"/>
        <w:gridCol w:w="3180"/>
        <w:gridCol w:w="2047"/>
        <w:gridCol w:w="1977"/>
      </w:tblGrid>
      <w:tr>
        <w:trPr>
          <w:tblHeader w:val="true"/>
        </w:trPr>
        <w:tc>
          <w:tcPr/>
          <w:p>
            <w:pPr>
              <w:pStyle w:val="Compact"/>
              <w:jc w:val="left"/>
            </w:pPr>
            <w:r>
              <w:t xml:space="preserve">ID</w:t>
            </w:r>
          </w:p>
        </w:tc>
        <w:tc>
          <w:tcPr/>
          <w:p>
            <w:pPr>
              <w:pStyle w:val="Compact"/>
              <w:jc w:val="left"/>
            </w:pPr>
            <w:r>
              <w:t xml:space="preserve">Exigence</w:t>
            </w:r>
          </w:p>
        </w:tc>
        <w:tc>
          <w:tcPr/>
          <w:p>
            <w:pPr>
              <w:pStyle w:val="Compact"/>
              <w:jc w:val="left"/>
            </w:pPr>
            <w:r>
              <w:t xml:space="preserve">Priorité</w:t>
            </w:r>
          </w:p>
        </w:tc>
        <w:tc>
          <w:tcPr/>
          <w:p>
            <w:pPr>
              <w:pStyle w:val="Compact"/>
              <w:jc w:val="left"/>
            </w:pPr>
            <w:r>
              <w:t xml:space="preserve">Lot</w:t>
            </w:r>
          </w:p>
        </w:tc>
      </w:tr>
      <w:tr>
        <w:tc>
          <w:tcPr/>
          <w:p>
            <w:pPr>
              <w:pStyle w:val="Compact"/>
              <w:jc w:val="left"/>
            </w:pPr>
            <w:r>
              <w:t xml:space="preserve">SIG-RF-REP-01</w:t>
            </w:r>
          </w:p>
        </w:tc>
        <w:tc>
          <w:tcPr/>
          <w:p>
            <w:pPr>
              <w:pStyle w:val="Compact"/>
              <w:jc w:val="left"/>
            </w:pPr>
            <w:r>
              <w:t xml:space="preserve">Import initial de l’organigramme complet (unités, responsables)</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SIG-RF-REP-02</w:t>
            </w:r>
          </w:p>
        </w:tc>
        <w:tc>
          <w:tcPr/>
          <w:p>
            <w:pPr>
              <w:pStyle w:val="Compact"/>
              <w:jc w:val="left"/>
            </w:pPr>
            <w:r>
              <w:t xml:space="preserve">Import initial des dossiers agents depuis un fichier normalisé, avec contrôle de doublons sur le matricule et rapport d’anomalies</w:t>
            </w:r>
          </w:p>
        </w:tc>
        <w:tc>
          <w:tcPr/>
          <w:p>
            <w:pPr>
              <w:pStyle w:val="Compact"/>
              <w:jc w:val="left"/>
            </w:pPr>
            <w:r>
              <w:t xml:space="preserve">MUST</w:t>
            </w:r>
          </w:p>
        </w:tc>
        <w:tc>
          <w:tcPr/>
          <w:p>
            <w:pPr>
              <w:pStyle w:val="Compact"/>
              <w:jc w:val="left"/>
            </w:pPr>
            <w:r>
              <w:t xml:space="preserve">0</w:t>
            </w:r>
          </w:p>
        </w:tc>
      </w:tr>
      <w:tr>
        <w:tc>
          <w:tcPr/>
          <w:p>
            <w:pPr>
              <w:pStyle w:val="Compact"/>
              <w:jc w:val="left"/>
            </w:pPr>
            <w:r>
              <w:t xml:space="preserve">SIG-RF-REP-03</w:t>
            </w:r>
          </w:p>
        </w:tc>
        <w:tc>
          <w:tcPr/>
          <w:p>
            <w:pPr>
              <w:pStyle w:val="Compact"/>
              <w:jc w:val="left"/>
            </w:pPr>
            <w:r>
              <w:t xml:space="preserve">Reprise des soldes de congés à une date de gel arrêtée par les RH</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SIG-RF-REP-04</w:t>
            </w:r>
          </w:p>
        </w:tc>
        <w:tc>
          <w:tcPr/>
          <w:p>
            <w:pPr>
              <w:pStyle w:val="Compact"/>
              <w:jc w:val="left"/>
            </w:pPr>
            <w:r>
              <w:t xml:space="preserve">Reprise du registre du courrier en cours de traitement à la date de bascule</w:t>
            </w:r>
          </w:p>
        </w:tc>
        <w:tc>
          <w:tcPr/>
          <w:p>
            <w:pPr>
              <w:pStyle w:val="Compact"/>
              <w:jc w:val="left"/>
            </w:pPr>
            <w:r>
              <w:t xml:space="preserve">SHOULD</w:t>
            </w:r>
          </w:p>
        </w:tc>
        <w:tc>
          <w:tcPr/>
          <w:p>
            <w:pPr>
              <w:pStyle w:val="Compact"/>
              <w:jc w:val="left"/>
            </w:pPr>
            <w:r>
              <w:t xml:space="preserve">5</w:t>
            </w:r>
          </w:p>
        </w:tc>
      </w:tr>
      <w:tr>
        <w:tc>
          <w:tcPr/>
          <w:p>
            <w:pPr>
              <w:pStyle w:val="Compact"/>
              <w:jc w:val="left"/>
            </w:pPr>
            <w:r>
              <w:t xml:space="preserve">SIG-RF-REP-05</w:t>
            </w:r>
          </w:p>
        </w:tc>
        <w:tc>
          <w:tcPr/>
          <w:p>
            <w:pPr>
              <w:pStyle w:val="Compact"/>
              <w:jc w:val="left"/>
            </w:pPr>
            <w:r>
              <w:t xml:space="preserve">Versement initial de documents dans la GED avec leurs métadonnées, par lots</w:t>
            </w:r>
          </w:p>
        </w:tc>
        <w:tc>
          <w:tcPr/>
          <w:p>
            <w:pPr>
              <w:pStyle w:val="Compact"/>
              <w:jc w:val="left"/>
            </w:pPr>
            <w:r>
              <w:t xml:space="preserve">SHOULD</w:t>
            </w:r>
          </w:p>
        </w:tc>
        <w:tc>
          <w:tcPr/>
          <w:p>
            <w:pPr>
              <w:pStyle w:val="Compact"/>
              <w:jc w:val="left"/>
            </w:pPr>
            <w:r>
              <w:t xml:space="preserve">3</w:t>
            </w:r>
          </w:p>
        </w:tc>
      </w:tr>
    </w:tbl>
    <w:bookmarkEnd w:id="210"/>
    <w:bookmarkStart w:id="211" w:name="X69116974a173d800d36c6994eca1227501dd770"/>
    <w:p>
      <w:pPr>
        <w:pStyle w:val="Heading3"/>
      </w:pPr>
      <w:r>
        <w:t xml:space="preserve">A8.18 Actes, visa et numérotation (SIG-RF-ACT)</w:t>
      </w:r>
    </w:p>
    <w:tbl>
      <w:tblPr>
        <w:tblStyle w:val="Table"/>
        <w:tblW w:type="dxa" w:w="9354"/>
        <w:tblLayout w:type="fixed"/>
        <w:tblLook w:firstRow="1" w:lastRow="0" w:firstColumn="0" w:lastColumn="0" w:noHBand="0" w:noVBand="0" w:val="0020"/>
        <w:jc w:val="start"/>
      </w:tblPr>
      <w:tblGrid>
        <w:gridCol w:w="2120"/>
        <w:gridCol w:w="3266"/>
        <w:gridCol w:w="2018"/>
        <w:gridCol w:w="1950"/>
      </w:tblGrid>
      <w:tr>
        <w:trPr>
          <w:tblHeader w:val="true"/>
        </w:trPr>
        <w:tc>
          <w:tcPr/>
          <w:p>
            <w:pPr>
              <w:pStyle w:val="Compact"/>
              <w:jc w:val="left"/>
            </w:pPr>
            <w:r>
              <w:t xml:space="preserve">ID</w:t>
            </w:r>
          </w:p>
        </w:tc>
        <w:tc>
          <w:tcPr/>
          <w:p>
            <w:pPr>
              <w:pStyle w:val="Compact"/>
              <w:jc w:val="left"/>
            </w:pPr>
            <w:r>
              <w:t xml:space="preserve">Exigence</w:t>
            </w:r>
          </w:p>
        </w:tc>
        <w:tc>
          <w:tcPr/>
          <w:p>
            <w:pPr>
              <w:pStyle w:val="Compact"/>
              <w:jc w:val="left"/>
            </w:pPr>
            <w:r>
              <w:t xml:space="preserve">Priorité</w:t>
            </w:r>
          </w:p>
        </w:tc>
        <w:tc>
          <w:tcPr/>
          <w:p>
            <w:pPr>
              <w:pStyle w:val="Compact"/>
              <w:jc w:val="left"/>
            </w:pPr>
            <w:r>
              <w:t xml:space="preserve">Lot</w:t>
            </w:r>
          </w:p>
        </w:tc>
      </w:tr>
      <w:tr>
        <w:tc>
          <w:tcPr/>
          <w:p>
            <w:pPr>
              <w:pStyle w:val="Compact"/>
              <w:jc w:val="left"/>
            </w:pPr>
            <w:r>
              <w:t xml:space="preserve">SIG-RF-ACT-01</w:t>
            </w:r>
          </w:p>
        </w:tc>
        <w:tc>
          <w:tcPr/>
          <w:p>
            <w:pPr>
              <w:pStyle w:val="Compact"/>
              <w:jc w:val="left"/>
            </w:pPr>
            <w:r>
              <w:t xml:space="preserve">Circuit de visa horodaté et nominatif sur les actes (courrier sortant, note de service, attestation, instruction)</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SIG-RF-ACT-02</w:t>
            </w:r>
          </w:p>
        </w:tc>
        <w:tc>
          <w:tcPr/>
          <w:p>
            <w:pPr>
              <w:pStyle w:val="Compact"/>
              <w:jc w:val="left"/>
            </w:pPr>
            <w:r>
              <w:t xml:space="preserve">Numérotation automatique par famille d’actes, continue et non réutilisable, au format paramétrable</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SIG-RF-ACT-03</w:t>
            </w:r>
          </w:p>
        </w:tc>
        <w:tc>
          <w:tcPr/>
          <w:p>
            <w:pPr>
              <w:pStyle w:val="Compact"/>
              <w:jc w:val="left"/>
            </w:pPr>
            <w:r>
              <w:t xml:space="preserve">Annulation d’un acte par acte d’annulation référençant l’original, sans rupture de séquence</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SIG-RF-ACT-04</w:t>
            </w:r>
          </w:p>
        </w:tc>
        <w:tc>
          <w:tcPr/>
          <w:p>
            <w:pPr>
              <w:pStyle w:val="Compact"/>
              <w:jc w:val="left"/>
            </w:pPr>
            <w:r>
              <w:t xml:space="preserve">Gabarits paramétrables (en-tête, mentions obligatoires) maintenus sans développement</w:t>
            </w:r>
          </w:p>
        </w:tc>
        <w:tc>
          <w:tcPr/>
          <w:p>
            <w:pPr>
              <w:pStyle w:val="Compact"/>
              <w:jc w:val="left"/>
            </w:pPr>
            <w:r>
              <w:t xml:space="preserve">SHOULD</w:t>
            </w:r>
          </w:p>
        </w:tc>
        <w:tc>
          <w:tcPr/>
          <w:p>
            <w:pPr>
              <w:pStyle w:val="Compact"/>
              <w:jc w:val="left"/>
            </w:pPr>
            <w:r>
              <w:t xml:space="preserve">5</w:t>
            </w:r>
          </w:p>
        </w:tc>
      </w:tr>
      <w:tr>
        <w:tc>
          <w:tcPr/>
          <w:p>
            <w:pPr>
              <w:pStyle w:val="Compact"/>
              <w:jc w:val="left"/>
            </w:pPr>
            <w:r>
              <w:t xml:space="preserve">SIG-RF-ACT-05</w:t>
            </w:r>
          </w:p>
        </w:tc>
        <w:tc>
          <w:tcPr/>
          <w:p>
            <w:pPr>
              <w:pStyle w:val="Compact"/>
              <w:jc w:val="left"/>
            </w:pPr>
            <w:r>
              <w:t xml:space="preserve">Dépôt de la version signée numérisée, rattachée à l’acte d’origine</w:t>
            </w:r>
          </w:p>
        </w:tc>
        <w:tc>
          <w:tcPr/>
          <w:p>
            <w:pPr>
              <w:pStyle w:val="Compact"/>
              <w:jc w:val="left"/>
            </w:pPr>
            <w:r>
              <w:t xml:space="preserve">SHOULD</w:t>
            </w:r>
          </w:p>
        </w:tc>
        <w:tc>
          <w:tcPr/>
          <w:p>
            <w:pPr>
              <w:pStyle w:val="Compact"/>
              <w:jc w:val="left"/>
            </w:pPr>
            <w:r>
              <w:t xml:space="preserve">5</w:t>
            </w:r>
          </w:p>
        </w:tc>
      </w:tr>
    </w:tbl>
    <w:bookmarkEnd w:id="211"/>
    <w:bookmarkStart w:id="212" w:name="X255a38b35efd6c8a1e68a93be377e04a68a246d"/>
    <w:p>
      <w:pPr>
        <w:pStyle w:val="Heading3"/>
      </w:pPr>
      <w:r>
        <w:t xml:space="preserve">A8.19 Ordres de paiement, missions et finances (SIG-RF-FIN)</w:t>
      </w:r>
    </w:p>
    <w:tbl>
      <w:tblPr>
        <w:tblStyle w:val="Table"/>
        <w:tblW w:type="dxa" w:w="9354"/>
        <w:tblLayout w:type="fixed"/>
        <w:tblLook w:firstRow="1" w:lastRow="0" w:firstColumn="0" w:lastColumn="0" w:noHBand="0" w:noVBand="0" w:val="0020"/>
        <w:jc w:val="start"/>
      </w:tblPr>
      <w:tblGrid>
        <w:gridCol w:w="2012"/>
        <w:gridCol w:w="3628"/>
        <w:gridCol w:w="1883"/>
        <w:gridCol w:w="1831"/>
      </w:tblGrid>
      <w:tr>
        <w:trPr>
          <w:tblHeader w:val="true"/>
        </w:trPr>
        <w:tc>
          <w:tcPr/>
          <w:p>
            <w:pPr>
              <w:pStyle w:val="Compact"/>
              <w:jc w:val="left"/>
            </w:pPr>
            <w:r>
              <w:t xml:space="preserve">ID</w:t>
            </w:r>
          </w:p>
        </w:tc>
        <w:tc>
          <w:tcPr/>
          <w:p>
            <w:pPr>
              <w:pStyle w:val="Compact"/>
              <w:jc w:val="left"/>
            </w:pPr>
            <w:r>
              <w:t xml:space="preserve">Exigence</w:t>
            </w:r>
          </w:p>
        </w:tc>
        <w:tc>
          <w:tcPr/>
          <w:p>
            <w:pPr>
              <w:pStyle w:val="Compact"/>
              <w:jc w:val="left"/>
            </w:pPr>
            <w:r>
              <w:t xml:space="preserve">Priorité</w:t>
            </w:r>
          </w:p>
        </w:tc>
        <w:tc>
          <w:tcPr/>
          <w:p>
            <w:pPr>
              <w:pStyle w:val="Compact"/>
              <w:jc w:val="left"/>
            </w:pPr>
            <w:r>
              <w:t xml:space="preserve">Lot</w:t>
            </w:r>
          </w:p>
        </w:tc>
      </w:tr>
      <w:tr>
        <w:tc>
          <w:tcPr/>
          <w:p>
            <w:pPr>
              <w:pStyle w:val="Compact"/>
              <w:jc w:val="left"/>
            </w:pPr>
            <w:r>
              <w:t xml:space="preserve">SIG-RF-FIN-01</w:t>
            </w:r>
          </w:p>
        </w:tc>
        <w:tc>
          <w:tcPr/>
          <w:p>
            <w:pPr>
              <w:pStyle w:val="Compact"/>
              <w:jc w:val="left"/>
            </w:pPr>
            <w:r>
              <w:t xml:space="preserve">Grille des éléments fixes de rémunération par agent : base, indemnités détaillées, retenues, brut et net calculés</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SIG-RF-FIN-02</w:t>
            </w:r>
          </w:p>
        </w:tc>
        <w:tc>
          <w:tcPr/>
          <w:p>
            <w:pPr>
              <w:pStyle w:val="Compact"/>
              <w:jc w:val="left"/>
            </w:pPr>
            <w:r>
              <w:t xml:space="preserve">Toute modification d’un élément fixe exige la référence de l’acte qui la fonde ; aucune modification sans pièce</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SIG-RF-FIN-03</w:t>
            </w:r>
          </w:p>
        </w:tc>
        <w:tc>
          <w:tcPr/>
          <w:p>
            <w:pPr>
              <w:pStyle w:val="Compact"/>
              <w:jc w:val="left"/>
            </w:pPr>
            <w:r>
              <w:t xml:space="preserve">Éléments variables du mois avec leur origine ; ceux issus d’une instruction de la Direction arrivent à l’état « proposé » et sont validés ou écartés un par un</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SIG-RF-FIN-04</w:t>
            </w:r>
          </w:p>
        </w:tc>
        <w:tc>
          <w:tcPr/>
          <w:p>
            <w:pPr>
              <w:pStyle w:val="Compact"/>
              <w:jc w:val="left"/>
            </w:pPr>
            <w:r>
              <w:t xml:space="preserve">Ordre de paiement portant objet, bénéficiaire, montant, mode de règlement, pièce justificative et imputation budgétaire</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SIG-RF-FIN-05</w:t>
            </w:r>
          </w:p>
        </w:tc>
        <w:tc>
          <w:tcPr/>
          <w:p>
            <w:pPr>
              <w:pStyle w:val="Compact"/>
              <w:jc w:val="left"/>
            </w:pPr>
            <w:r>
              <w:t xml:space="preserve">Circuit Émis → Visé → Payé ; le visa relève du chef du service et affiche la pièce justificative au moment de la décision</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SIG-RF-FIN-06</w:t>
            </w:r>
          </w:p>
        </w:tc>
        <w:tc>
          <w:tcPr/>
          <w:p>
            <w:pPr>
              <w:pStyle w:val="Compact"/>
              <w:jc w:val="left"/>
            </w:pPr>
            <w:r>
              <w:t xml:space="preserve">Aucun passage au visa sans pièce justificative rattachée ; au-delà du seuil de la décision D-21, la pièce doit être signée</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SIG-RF-FIN-07</w:t>
            </w:r>
          </w:p>
        </w:tc>
        <w:tc>
          <w:tcPr/>
          <w:p>
            <w:pPr>
              <w:pStyle w:val="Compact"/>
              <w:jc w:val="left"/>
            </w:pPr>
            <w:r>
              <w:t xml:space="preserve">Une mission validée au circuit des absences alimente automatiquement la liste des missions à liquider</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SIG-RF-FIN-08</w:t>
            </w:r>
          </w:p>
        </w:tc>
        <w:tc>
          <w:tcPr/>
          <w:p>
            <w:pPr>
              <w:pStyle w:val="Compact"/>
              <w:jc w:val="left"/>
            </w:pPr>
            <w:r>
              <w:t xml:space="preserve">La liquidation d’une mission calcule l’indemnité à partir de la durée et du taux, crée l’ordre de paiement et le rattache à l’ordre de mission</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SIG-RF-FIN-09</w:t>
            </w:r>
          </w:p>
        </w:tc>
        <w:tc>
          <w:tcPr/>
          <w:p>
            <w:pPr>
              <w:pStyle w:val="Compact"/>
              <w:jc w:val="left"/>
            </w:pPr>
            <w:r>
              <w:t xml:space="preserve">Lignes budgétaires avec dotation notifiée, engagements, paiements, disponible et taux de consommation</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SIG-RF-FIN-10</w:t>
            </w:r>
          </w:p>
        </w:tc>
        <w:tc>
          <w:tcPr/>
          <w:p>
            <w:pPr>
              <w:pStyle w:val="Compact"/>
              <w:jc w:val="left"/>
            </w:pPr>
            <w:r>
              <w:t xml:space="preserve">Alimentation du suivi budgétaire par saisie de la dotation notifiée et par import périodique normalisé ; l’origine de chaque ligne est tracée</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SIG-RF-FIN-11</w:t>
            </w:r>
          </w:p>
        </w:tc>
        <w:tc>
          <w:tcPr/>
          <w:p>
            <w:pPr>
              <w:pStyle w:val="Compact"/>
              <w:jc w:val="left"/>
            </w:pPr>
            <w:r>
              <w:t xml:space="preserve">Alerte sur toute ligne dont le taux d’engagement dépasse un seuil paramétrable</w:t>
            </w:r>
          </w:p>
        </w:tc>
        <w:tc>
          <w:tcPr/>
          <w:p>
            <w:pPr>
              <w:pStyle w:val="Compact"/>
              <w:jc w:val="left"/>
            </w:pPr>
            <w:r>
              <w:t xml:space="preserve">SHOULD</w:t>
            </w:r>
          </w:p>
        </w:tc>
        <w:tc>
          <w:tcPr/>
          <w:p>
            <w:pPr>
              <w:pStyle w:val="Compact"/>
              <w:jc w:val="left"/>
            </w:pPr>
            <w:r>
              <w:t xml:space="preserve">5</w:t>
            </w:r>
          </w:p>
        </w:tc>
      </w:tr>
      <w:tr>
        <w:tc>
          <w:tcPr/>
          <w:p>
            <w:pPr>
              <w:pStyle w:val="Compact"/>
              <w:jc w:val="left"/>
            </w:pPr>
            <w:r>
              <w:t xml:space="preserve">SIG-RF-FIN-12</w:t>
            </w:r>
          </w:p>
        </w:tc>
        <w:tc>
          <w:tcPr/>
          <w:p>
            <w:pPr>
              <w:pStyle w:val="Compact"/>
              <w:jc w:val="left"/>
            </w:pPr>
            <w:r>
              <w:t xml:space="preserve">Quatre états financiers produits sans ressaisie : exécution budgétaire, masse salariale, paiements, trésorerie</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SIG-RF-FIN-13</w:t>
            </w:r>
          </w:p>
        </w:tc>
        <w:tc>
          <w:tcPr/>
          <w:p>
            <w:pPr>
              <w:pStyle w:val="Compact"/>
              <w:jc w:val="left"/>
            </w:pPr>
            <w:r>
              <w:t xml:space="preserve">Chaque état comporte une synthèse rédigée à partir des chiffres, le détail tabulé et une section de points d’attention</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SIG-RF-FIN-14</w:t>
            </w:r>
          </w:p>
        </w:tc>
        <w:tc>
          <w:tcPr/>
          <w:p>
            <w:pPr>
              <w:pStyle w:val="Compact"/>
              <w:jc w:val="left"/>
            </w:pPr>
            <w:r>
              <w:t xml:space="preserve">Les états s’impriment, s’exportent en Word et en tableur, se déposent en GED et se transmettent par la messagerie</w:t>
            </w:r>
          </w:p>
        </w:tc>
        <w:tc>
          <w:tcPr/>
          <w:p>
            <w:pPr>
              <w:pStyle w:val="Compact"/>
              <w:jc w:val="left"/>
            </w:pPr>
            <w:r>
              <w:t xml:space="preserve">MUST</w:t>
            </w:r>
          </w:p>
        </w:tc>
        <w:tc>
          <w:tcPr/>
          <w:p>
            <w:pPr>
              <w:pStyle w:val="Compact"/>
              <w:jc w:val="left"/>
            </w:pPr>
            <w:r>
              <w:t xml:space="preserve">5</w:t>
            </w:r>
          </w:p>
        </w:tc>
      </w:tr>
    </w:tbl>
    <w:bookmarkEnd w:id="212"/>
    <w:bookmarkStart w:id="213" w:name="Xf355b903341b47f575e673a639083e4bffb233e"/>
    <w:p>
      <w:pPr>
        <w:pStyle w:val="Heading3"/>
      </w:pPr>
      <w:r>
        <w:t xml:space="preserve">A8.20 Effectifs, carrière et actes (SIG-RF-CAR)</w:t>
      </w:r>
    </w:p>
    <w:tbl>
      <w:tblPr>
        <w:tblStyle w:val="Table"/>
        <w:tblW w:type="dxa" w:w="9354"/>
        <w:tblLayout w:type="fixed"/>
        <w:tblLook w:firstRow="1" w:lastRow="0" w:firstColumn="0" w:lastColumn="0" w:noHBand="0" w:noVBand="0" w:val="0020"/>
        <w:jc w:val="start"/>
      </w:tblPr>
      <w:tblGrid>
        <w:gridCol w:w="2038"/>
        <w:gridCol w:w="3529"/>
        <w:gridCol w:w="1923"/>
        <w:gridCol w:w="1864"/>
      </w:tblGrid>
      <w:tr>
        <w:trPr>
          <w:tblHeader w:val="true"/>
        </w:trPr>
        <w:tc>
          <w:tcPr/>
          <w:p>
            <w:pPr>
              <w:pStyle w:val="Compact"/>
              <w:jc w:val="left"/>
            </w:pPr>
            <w:r>
              <w:t xml:space="preserve">ID</w:t>
            </w:r>
          </w:p>
        </w:tc>
        <w:tc>
          <w:tcPr/>
          <w:p>
            <w:pPr>
              <w:pStyle w:val="Compact"/>
              <w:jc w:val="left"/>
            </w:pPr>
            <w:r>
              <w:t xml:space="preserve">Exigence</w:t>
            </w:r>
          </w:p>
        </w:tc>
        <w:tc>
          <w:tcPr/>
          <w:p>
            <w:pPr>
              <w:pStyle w:val="Compact"/>
              <w:jc w:val="left"/>
            </w:pPr>
            <w:r>
              <w:t xml:space="preserve">Priorité</w:t>
            </w:r>
          </w:p>
        </w:tc>
        <w:tc>
          <w:tcPr/>
          <w:p>
            <w:pPr>
              <w:pStyle w:val="Compact"/>
              <w:jc w:val="left"/>
            </w:pPr>
            <w:r>
              <w:t xml:space="preserve">Lot</w:t>
            </w:r>
          </w:p>
        </w:tc>
      </w:tr>
      <w:tr>
        <w:tc>
          <w:tcPr/>
          <w:p>
            <w:pPr>
              <w:pStyle w:val="Compact"/>
              <w:jc w:val="left"/>
            </w:pPr>
            <w:r>
              <w:t xml:space="preserve">SIG-RF-CAR-01</w:t>
            </w:r>
          </w:p>
        </w:tc>
        <w:tc>
          <w:tcPr/>
          <w:p>
            <w:pPr>
              <w:pStyle w:val="Compact"/>
              <w:jc w:val="left"/>
            </w:pPr>
            <w:r>
              <w:t xml:space="preserve">Vue des effectifs par unité, statut, catégorie, ancienneté et répartition, calculée depuis les dossiers et jamais saisie</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SIG-RF-CAR-02</w:t>
            </w:r>
          </w:p>
        </w:tc>
        <w:tc>
          <w:tcPr/>
          <w:p>
            <w:pPr>
              <w:pStyle w:val="Compact"/>
              <w:jc w:val="left"/>
            </w:pPr>
            <w:r>
              <w:t xml:space="preserve">Alertes produites automatiquement : dossier incomplet avec la pièce manquante nommée, fin de contrat, avancement à instruire, fin de stage</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SIG-RF-CAR-03</w:t>
            </w:r>
          </w:p>
        </w:tc>
        <w:tc>
          <w:tcPr/>
          <w:p>
            <w:pPr>
              <w:pStyle w:val="Compact"/>
              <w:jc w:val="left"/>
            </w:pPr>
            <w:r>
              <w:t xml:space="preserve">Une alerte se ferme lorsque sa cause disparaît, sans intervention manuelle</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SIG-RF-CAR-04</w:t>
            </w:r>
          </w:p>
        </w:tc>
        <w:tc>
          <w:tcPr/>
          <w:p>
            <w:pPr>
              <w:pStyle w:val="Compact"/>
              <w:jc w:val="left"/>
            </w:pPr>
            <w:r>
              <w:t xml:space="preserve">Mouvements de carrière datés : nomination, avancement, mutation, promotion, avec le détail du changement</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SIG-RF-CAR-05</w:t>
            </w:r>
          </w:p>
        </w:tc>
        <w:tc>
          <w:tcPr/>
          <w:p>
            <w:pPr>
              <w:pStyle w:val="Compact"/>
              <w:jc w:val="left"/>
            </w:pPr>
            <w:r>
              <w:t xml:space="preserve">L’instruction d’un mouvement attribue le numéro suivant de la séquence, met à jour le dossier agent et la grille de rémunération, et notifie la Direction</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SIG-RF-CAR-06</w:t>
            </w:r>
          </w:p>
        </w:tc>
        <w:tc>
          <w:tcPr/>
          <w:p>
            <w:pPr>
              <w:pStyle w:val="Compact"/>
              <w:jc w:val="left"/>
            </w:pPr>
            <w:r>
              <w:t xml:space="preserve">Familles d’actes RH avec leur séquence et leur signataire ; numérotation continue, non réutilisable, non rétrocédable</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SIG-RF-CAR-07</w:t>
            </w:r>
          </w:p>
        </w:tc>
        <w:tc>
          <w:tcPr/>
          <w:p>
            <w:pPr>
              <w:pStyle w:val="Compact"/>
              <w:jc w:val="left"/>
            </w:pPr>
            <w:r>
              <w:t xml:space="preserve">Fiche de poste rattachée à la fonction et non à la personne, consultable par l’agent et par sa hiérarchie</w:t>
            </w:r>
          </w:p>
        </w:tc>
        <w:tc>
          <w:tcPr/>
          <w:p>
            <w:pPr>
              <w:pStyle w:val="Compact"/>
              <w:jc w:val="left"/>
            </w:pPr>
            <w:r>
              <w:t xml:space="preserve">SHOULD</w:t>
            </w:r>
          </w:p>
        </w:tc>
        <w:tc>
          <w:tcPr/>
          <w:p>
            <w:pPr>
              <w:pStyle w:val="Compact"/>
              <w:jc w:val="left"/>
            </w:pPr>
            <w:r>
              <w:t xml:space="preserve">3</w:t>
            </w:r>
          </w:p>
        </w:tc>
      </w:tr>
      <w:tr>
        <w:tc>
          <w:tcPr/>
          <w:p>
            <w:pPr>
              <w:pStyle w:val="Compact"/>
              <w:jc w:val="left"/>
            </w:pPr>
            <w:r>
              <w:t xml:space="preserve">SIG-RF-CAR-08</w:t>
            </w:r>
          </w:p>
        </w:tc>
        <w:tc>
          <w:tcPr/>
          <w:p>
            <w:pPr>
              <w:pStyle w:val="Compact"/>
              <w:jc w:val="left"/>
            </w:pPr>
            <w:r>
              <w:t xml:space="preserve">Plan de formation annuel et besoins exprimés par les divisions, avec priorité et origine</w:t>
            </w:r>
          </w:p>
        </w:tc>
        <w:tc>
          <w:tcPr/>
          <w:p>
            <w:pPr>
              <w:pStyle w:val="Compact"/>
              <w:jc w:val="left"/>
            </w:pPr>
            <w:r>
              <w:t xml:space="preserve">SHOULD</w:t>
            </w:r>
          </w:p>
        </w:tc>
        <w:tc>
          <w:tcPr/>
          <w:p>
            <w:pPr>
              <w:pStyle w:val="Compact"/>
              <w:jc w:val="left"/>
            </w:pPr>
            <w:r>
              <w:t xml:space="preserve">3</w:t>
            </w:r>
          </w:p>
        </w:tc>
      </w:tr>
    </w:tbl>
    <w:bookmarkEnd w:id="213"/>
    <w:bookmarkStart w:id="214" w:name="Xfb2a58f53ca605d81964046c4af23f95e291e5c"/>
    <w:p>
      <w:pPr>
        <w:pStyle w:val="Heading3"/>
      </w:pPr>
      <w:r>
        <w:t xml:space="preserve">A8.21 Messagerie, transmission et recherche (SIG-RF-MSG)</w:t>
      </w:r>
    </w:p>
    <w:tbl>
      <w:tblPr>
        <w:tblStyle w:val="Table"/>
        <w:tblW w:type="dxa" w:w="9354"/>
        <w:tblLayout w:type="fixed"/>
        <w:tblLook w:firstRow="1" w:lastRow="0" w:firstColumn="0" w:lastColumn="0" w:noHBand="0" w:noVBand="0" w:val="0020"/>
        <w:jc w:val="start"/>
      </w:tblPr>
      <w:tblGrid>
        <w:gridCol w:w="2016"/>
        <w:gridCol w:w="3601"/>
        <w:gridCol w:w="1894"/>
        <w:gridCol w:w="1843"/>
      </w:tblGrid>
      <w:tr>
        <w:trPr>
          <w:tblHeader w:val="true"/>
        </w:trPr>
        <w:tc>
          <w:tcPr/>
          <w:p>
            <w:pPr>
              <w:pStyle w:val="Compact"/>
              <w:jc w:val="left"/>
            </w:pPr>
            <w:r>
              <w:t xml:space="preserve">ID</w:t>
            </w:r>
          </w:p>
        </w:tc>
        <w:tc>
          <w:tcPr/>
          <w:p>
            <w:pPr>
              <w:pStyle w:val="Compact"/>
              <w:jc w:val="left"/>
            </w:pPr>
            <w:r>
              <w:t xml:space="preserve">Exigence</w:t>
            </w:r>
          </w:p>
        </w:tc>
        <w:tc>
          <w:tcPr/>
          <w:p>
            <w:pPr>
              <w:pStyle w:val="Compact"/>
              <w:jc w:val="left"/>
            </w:pPr>
            <w:r>
              <w:t xml:space="preserve">Priorité</w:t>
            </w:r>
          </w:p>
        </w:tc>
        <w:tc>
          <w:tcPr/>
          <w:p>
            <w:pPr>
              <w:pStyle w:val="Compact"/>
              <w:jc w:val="left"/>
            </w:pPr>
            <w:r>
              <w:t xml:space="preserve">Lot</w:t>
            </w:r>
          </w:p>
        </w:tc>
      </w:tr>
      <w:tr>
        <w:tc>
          <w:tcPr/>
          <w:p>
            <w:pPr>
              <w:pStyle w:val="Compact"/>
              <w:jc w:val="left"/>
            </w:pPr>
            <w:r>
              <w:t xml:space="preserve">SIG-RF-MSG-01</w:t>
            </w:r>
          </w:p>
        </w:tc>
        <w:tc>
          <w:tcPr/>
          <w:p>
            <w:pPr>
              <w:pStyle w:val="Compact"/>
              <w:jc w:val="left"/>
            </w:pPr>
            <w:r>
              <w:t xml:space="preserve">Message à un ou plusieurs destinataires, avec objet, corps et accusé de lecture par destinataire</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SIG-RF-MSG-02</w:t>
            </w:r>
          </w:p>
        </w:tc>
        <w:tc>
          <w:tcPr/>
          <w:p>
            <w:pPr>
              <w:pStyle w:val="Compact"/>
              <w:jc w:val="left"/>
            </w:pPr>
            <w:r>
              <w:t xml:space="preserve">Compteur de messages non lus visible en permanence, et réponse conservant le fil</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SIG-RF-MSG-03</w:t>
            </w:r>
          </w:p>
        </w:tc>
        <w:tc>
          <w:tcPr/>
          <w:p>
            <w:pPr>
              <w:pStyle w:val="Compact"/>
              <w:jc w:val="left"/>
            </w:pPr>
            <w:r>
              <w:t xml:space="preserve">Pièce jointe choisie parmi les objets de la plateforme ; le document transmis est l’original, avec son numéro et sa mention de statut</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SIG-RF-MSG-04</w:t>
            </w:r>
          </w:p>
        </w:tc>
        <w:tc>
          <w:tcPr/>
          <w:p>
            <w:pPr>
              <w:pStyle w:val="Compact"/>
              <w:jc w:val="left"/>
            </w:pPr>
            <w:r>
              <w:rPr>
                <w:bCs/>
                <w:b/>
              </w:rPr>
              <w:t xml:space="preserve">Aucun objet protégé au sens de la Partie 0, section 3.2, n’est proposé ni acceptable en pièce jointe</w:t>
            </w:r>
            <w:r>
              <w:t xml:space="preserve">, quel que soit l’émetteur</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SIG-RF-MSG-05</w:t>
            </w:r>
          </w:p>
        </w:tc>
        <w:tc>
          <w:tcPr/>
          <w:p>
            <w:pPr>
              <w:pStyle w:val="Compact"/>
              <w:jc w:val="left"/>
            </w:pPr>
            <w:r>
              <w:t xml:space="preserve">Depuis tout document généré, une action « transmettre » ouvre un message pré-rempli : destinataire suggéré, objet et formule d’accompagnement</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SIG-RF-MSG-06</w:t>
            </w:r>
          </w:p>
        </w:tc>
        <w:tc>
          <w:tcPr/>
          <w:p>
            <w:pPr>
              <w:pStyle w:val="Compact"/>
              <w:jc w:val="left"/>
            </w:pPr>
            <w:r>
              <w:t xml:space="preserve">Rappel dans l’interface que la messagerie ne vaut ni décision, ni instruction, ni validation</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SIG-RF-MSG-07</w:t>
            </w:r>
          </w:p>
        </w:tc>
        <w:tc>
          <w:tcPr/>
          <w:p>
            <w:pPr>
              <w:pStyle w:val="Compact"/>
              <w:jc w:val="left"/>
            </w:pPr>
            <w:r>
              <w:t xml:space="preserve">Recherche unique portant sur les tâches, les documents, le courrier, l’annuaire, les modèles et les simulations</w:t>
            </w:r>
          </w:p>
        </w:tc>
        <w:tc>
          <w:tcPr/>
          <w:p>
            <w:pPr>
              <w:pStyle w:val="Compact"/>
              <w:jc w:val="left"/>
            </w:pPr>
            <w:r>
              <w:t xml:space="preserve">MUST</w:t>
            </w:r>
          </w:p>
        </w:tc>
        <w:tc>
          <w:tcPr/>
          <w:p>
            <w:pPr>
              <w:pStyle w:val="Compact"/>
              <w:jc w:val="left"/>
            </w:pPr>
            <w:r>
              <w:t xml:space="preserve">1</w:t>
            </w:r>
          </w:p>
        </w:tc>
      </w:tr>
      <w:tr>
        <w:tc>
          <w:tcPr/>
          <w:p>
            <w:pPr>
              <w:pStyle w:val="Compact"/>
              <w:jc w:val="left"/>
            </w:pPr>
            <w:r>
              <w:t xml:space="preserve">SIG-RF-MSG-08</w:t>
            </w:r>
          </w:p>
        </w:tc>
        <w:tc>
          <w:tcPr/>
          <w:p>
            <w:pPr>
              <w:pStyle w:val="Compact"/>
              <w:jc w:val="left"/>
            </w:pPr>
            <w:r>
              <w:t xml:space="preserve">La recherche n’expose aucun objet hors périmètre ni protégé, y compris pour l’administrateur ; un compte externe n’obtient que des objets diffusables</w:t>
            </w:r>
          </w:p>
        </w:tc>
        <w:tc>
          <w:tcPr/>
          <w:p>
            <w:pPr>
              <w:pStyle w:val="Compact"/>
              <w:jc w:val="left"/>
            </w:pPr>
            <w:r>
              <w:t xml:space="preserve">MUST</w:t>
            </w:r>
          </w:p>
        </w:tc>
        <w:tc>
          <w:tcPr/>
          <w:p>
            <w:pPr>
              <w:pStyle w:val="Compact"/>
              <w:jc w:val="left"/>
            </w:pPr>
            <w:r>
              <w:t xml:space="preserve">1</w:t>
            </w:r>
          </w:p>
        </w:tc>
      </w:tr>
    </w:tbl>
    <w:bookmarkEnd w:id="214"/>
    <w:bookmarkStart w:id="215" w:name="X5113b0a9aa55cfb30ec5287e5ed3af3b557cc61"/>
    <w:p>
      <w:pPr>
        <w:pStyle w:val="Heading3"/>
      </w:pPr>
      <w:r>
        <w:t xml:space="preserve">A8.22 Documents administratifs générés (SIG-RF-DOC)</w:t>
      </w:r>
    </w:p>
    <w:tbl>
      <w:tblPr>
        <w:tblStyle w:val="Table"/>
        <w:tblW w:type="dxa" w:w="9354"/>
        <w:tblLayout w:type="fixed"/>
        <w:tblLook w:firstRow="1" w:lastRow="0" w:firstColumn="0" w:lastColumn="0" w:noHBand="0" w:noVBand="0" w:val="0020"/>
        <w:jc w:val="start"/>
      </w:tblPr>
      <w:tblGrid>
        <w:gridCol w:w="2076"/>
        <w:gridCol w:w="3421"/>
        <w:gridCol w:w="1951"/>
        <w:gridCol w:w="1906"/>
      </w:tblGrid>
      <w:tr>
        <w:trPr>
          <w:tblHeader w:val="true"/>
        </w:trPr>
        <w:tc>
          <w:tcPr/>
          <w:p>
            <w:pPr>
              <w:pStyle w:val="Compact"/>
              <w:jc w:val="left"/>
            </w:pPr>
            <w:r>
              <w:t xml:space="preserve">ID</w:t>
            </w:r>
          </w:p>
        </w:tc>
        <w:tc>
          <w:tcPr/>
          <w:p>
            <w:pPr>
              <w:pStyle w:val="Compact"/>
              <w:jc w:val="left"/>
            </w:pPr>
            <w:r>
              <w:t xml:space="preserve">Exigence</w:t>
            </w:r>
          </w:p>
        </w:tc>
        <w:tc>
          <w:tcPr/>
          <w:p>
            <w:pPr>
              <w:pStyle w:val="Compact"/>
              <w:jc w:val="left"/>
            </w:pPr>
            <w:r>
              <w:t xml:space="preserve">Priorité</w:t>
            </w:r>
          </w:p>
        </w:tc>
        <w:tc>
          <w:tcPr/>
          <w:p>
            <w:pPr>
              <w:pStyle w:val="Compact"/>
              <w:jc w:val="left"/>
            </w:pPr>
            <w:r>
              <w:t xml:space="preserve">Lot</w:t>
            </w:r>
          </w:p>
        </w:tc>
      </w:tr>
      <w:tr>
        <w:tc>
          <w:tcPr/>
          <w:p>
            <w:pPr>
              <w:pStyle w:val="Compact"/>
              <w:jc w:val="left"/>
            </w:pPr>
            <w:r>
              <w:t xml:space="preserve">SIG-RF-DOC-01</w:t>
            </w:r>
          </w:p>
        </w:tc>
        <w:tc>
          <w:tcPr/>
          <w:p>
            <w:pPr>
              <w:pStyle w:val="Compact"/>
              <w:jc w:val="left"/>
            </w:pPr>
            <w:r>
              <w:t xml:space="preserve">Génération des documents de la section A5.4 à partir des données enregistrées, sans ressaisie</w:t>
            </w:r>
          </w:p>
        </w:tc>
        <w:tc>
          <w:tcPr/>
          <w:p>
            <w:pPr>
              <w:pStyle w:val="Compact"/>
              <w:jc w:val="left"/>
            </w:pPr>
            <w:r>
              <w:t xml:space="preserve">MUST</w:t>
            </w:r>
          </w:p>
        </w:tc>
        <w:tc>
          <w:tcPr/>
          <w:p>
            <w:pPr>
              <w:pStyle w:val="Compact"/>
              <w:jc w:val="left"/>
            </w:pPr>
            <w:r>
              <w:t xml:space="preserve">3 et 5</w:t>
            </w:r>
          </w:p>
        </w:tc>
      </w:tr>
      <w:tr>
        <w:tc>
          <w:tcPr/>
          <w:p>
            <w:pPr>
              <w:pStyle w:val="Compact"/>
              <w:jc w:val="left"/>
            </w:pPr>
            <w:r>
              <w:t xml:space="preserve">SIG-RF-DOC-02</w:t>
            </w:r>
          </w:p>
        </w:tc>
        <w:tc>
          <w:tcPr/>
          <w:p>
            <w:pPr>
              <w:pStyle w:val="Compact"/>
              <w:jc w:val="left"/>
            </w:pPr>
            <w:r>
              <w:t xml:space="preserve">En-tête de la République et de la Direction sur tout document opposable</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SIG-RF-DOC-03</w:t>
            </w:r>
          </w:p>
        </w:tc>
        <w:tc>
          <w:tcPr/>
          <w:p>
            <w:pPr>
              <w:pStyle w:val="Compact"/>
              <w:jc w:val="left"/>
            </w:pPr>
            <w:r>
              <w:t xml:space="preserve">Aperçu à l’écran avant impression, fidèle au document imprimé</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SIG-RF-DOC-04</w:t>
            </w:r>
          </w:p>
        </w:tc>
        <w:tc>
          <w:tcPr/>
          <w:p>
            <w:pPr>
              <w:pStyle w:val="Compact"/>
              <w:jc w:val="left"/>
            </w:pPr>
            <w:r>
              <w:t xml:space="preserve">Export PDF et Word, dépôt en GED et transmission par messagerie depuis l’aperçu</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SIG-RF-DOC-05</w:t>
            </w:r>
          </w:p>
        </w:tc>
        <w:tc>
          <w:tcPr/>
          <w:p>
            <w:pPr>
              <w:pStyle w:val="Compact"/>
              <w:jc w:val="left"/>
            </w:pPr>
            <w:r>
              <w:t xml:space="preserve">Montant net d’un bulletin et d’une attestation de salaire arrêté en toutes lettres, avec les accords du français</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SIG-RF-DOC-06</w:t>
            </w:r>
          </w:p>
        </w:tc>
        <w:tc>
          <w:tcPr/>
          <w:p>
            <w:pPr>
              <w:pStyle w:val="Compact"/>
              <w:jc w:val="left"/>
            </w:pPr>
            <w:r>
              <w:t xml:space="preserve">Mention « duplicata » sur toute réimpression d’un bulletin ; impression assistée journalisée avec l’identité de l’agent du SAF</w:t>
            </w:r>
          </w:p>
        </w:tc>
        <w:tc>
          <w:tcPr/>
          <w:p>
            <w:pPr>
              <w:pStyle w:val="Compact"/>
              <w:jc w:val="left"/>
            </w:pPr>
            <w:r>
              <w:t xml:space="preserve">MUST</w:t>
            </w:r>
          </w:p>
        </w:tc>
        <w:tc>
          <w:tcPr/>
          <w:p>
            <w:pPr>
              <w:pStyle w:val="Compact"/>
              <w:jc w:val="left"/>
            </w:pPr>
            <w:r>
              <w:t xml:space="preserve">5</w:t>
            </w:r>
          </w:p>
        </w:tc>
      </w:tr>
      <w:tr>
        <w:tc>
          <w:tcPr/>
          <w:p>
            <w:pPr>
              <w:pStyle w:val="Compact"/>
              <w:jc w:val="left"/>
            </w:pPr>
            <w:r>
              <w:t xml:space="preserve">SIG-RF-DOC-07</w:t>
            </w:r>
          </w:p>
        </w:tc>
        <w:tc>
          <w:tcPr/>
          <w:p>
            <w:pPr>
              <w:pStyle w:val="Compact"/>
              <w:jc w:val="left"/>
            </w:pPr>
            <w:r>
              <w:t xml:space="preserve">Arrêtés et décisions produits dans la forme réglementaire : visas, formule de décision, articles numérotés, date d’effet, article d’exécution</w:t>
            </w:r>
          </w:p>
        </w:tc>
        <w:tc>
          <w:tcPr/>
          <w:p>
            <w:pPr>
              <w:pStyle w:val="Compact"/>
              <w:jc w:val="left"/>
            </w:pPr>
            <w:r>
              <w:t xml:space="preserve">MUST</w:t>
            </w:r>
          </w:p>
        </w:tc>
        <w:tc>
          <w:tcPr/>
          <w:p>
            <w:pPr>
              <w:pStyle w:val="Compact"/>
              <w:jc w:val="left"/>
            </w:pPr>
            <w:r>
              <w:t xml:space="preserve">3</w:t>
            </w:r>
          </w:p>
        </w:tc>
      </w:tr>
      <w:tr>
        <w:tc>
          <w:tcPr/>
          <w:p>
            <w:pPr>
              <w:pStyle w:val="Compact"/>
              <w:jc w:val="left"/>
            </w:pPr>
            <w:r>
              <w:t xml:space="preserve">SIG-RF-DOC-08</w:t>
            </w:r>
          </w:p>
        </w:tc>
        <w:tc>
          <w:tcPr/>
          <w:p>
            <w:pPr>
              <w:pStyle w:val="Compact"/>
              <w:jc w:val="left"/>
            </w:pPr>
            <w:r>
              <w:t xml:space="preserve">Le rapport d’activité est construit depuis les activités et les tâches de la période et du périmètre retenus, jamais ressaisi</w:t>
            </w:r>
          </w:p>
        </w:tc>
        <w:tc>
          <w:tcPr/>
          <w:p>
            <w:pPr>
              <w:pStyle w:val="Compact"/>
              <w:jc w:val="left"/>
            </w:pPr>
            <w:r>
              <w:t xml:space="preserve">MUST</w:t>
            </w:r>
          </w:p>
        </w:tc>
        <w:tc>
          <w:tcPr/>
          <w:p>
            <w:pPr>
              <w:pStyle w:val="Compact"/>
              <w:jc w:val="left"/>
            </w:pPr>
            <w:r>
              <w:t xml:space="preserve">1</w:t>
            </w:r>
          </w:p>
        </w:tc>
      </w:tr>
    </w:tbl>
    <w:bookmarkEnd w:id="215"/>
    <w:bookmarkEnd w:id="216"/>
    <w:bookmarkStart w:id="219" w:name="X783f02910083f8c6a36b20f69bf8c67fe242dd0"/>
    <w:p>
      <w:pPr>
        <w:pStyle w:val="Heading2"/>
      </w:pPr>
      <w:r>
        <w:t xml:space="preserve">A9. Critères d’acceptation et hors périmètre</w:t>
      </w:r>
    </w:p>
    <w:bookmarkStart w:id="217" w:name="a9.1-critères-dacceptation"/>
    <w:p>
      <w:pPr>
        <w:pStyle w:val="Heading3"/>
      </w:pPr>
      <w:r>
        <w:t xml:space="preserve">A9.1 Critères d’acceptation</w:t>
      </w:r>
    </w:p>
    <w:p>
      <w:pPr>
        <w:pStyle w:val="FirstParagraph"/>
      </w:pPr>
      <w:r>
        <w:t xml:space="preserve">Un lot est réputé livré lorsque l’ensemble des critères le concernant sont satisfaits en présence des représentants de la maîtrise d’ouvrage concernée, sur un jeu de données de recette représentatif, et consignés dans un procès-verbal.</w:t>
      </w:r>
    </w:p>
    <w:tbl>
      <w:tblPr>
        <w:tblStyle w:val="Table"/>
        <w:tblW w:type="dxa" w:w="9354"/>
        <w:tblLayout w:type="fixed"/>
        <w:tblLook w:firstRow="1" w:lastRow="0" w:firstColumn="0" w:lastColumn="0" w:noHBand="0" w:noVBand="0" w:val="0020"/>
        <w:jc w:val="start"/>
      </w:tblPr>
      <w:tblGrid>
        <w:gridCol w:w="1807"/>
        <w:gridCol w:w="3507"/>
        <w:gridCol w:w="2319"/>
        <w:gridCol w:w="1721"/>
      </w:tblGrid>
      <w:tr>
        <w:trPr>
          <w:tblHeader w:val="true"/>
        </w:trPr>
        <w:tc>
          <w:tcPr/>
          <w:p>
            <w:pPr>
              <w:pStyle w:val="Compact"/>
              <w:jc w:val="left"/>
            </w:pPr>
            <w:r>
              <w:t xml:space="preserve">Réf</w:t>
            </w:r>
          </w:p>
        </w:tc>
        <w:tc>
          <w:tcPr/>
          <w:p>
            <w:pPr>
              <w:pStyle w:val="Compact"/>
              <w:jc w:val="left"/>
            </w:pPr>
            <w:r>
              <w:t xml:space="preserve">Critère</w:t>
            </w:r>
          </w:p>
        </w:tc>
        <w:tc>
          <w:tcPr/>
          <w:p>
            <w:pPr>
              <w:pStyle w:val="Compact"/>
              <w:jc w:val="left"/>
            </w:pPr>
            <w:r>
              <w:t xml:space="preserve">Méthode de vérification</w:t>
            </w:r>
          </w:p>
        </w:tc>
        <w:tc>
          <w:tcPr/>
          <w:p>
            <w:pPr>
              <w:pStyle w:val="Compact"/>
              <w:jc w:val="left"/>
            </w:pPr>
            <w:r>
              <w:t xml:space="preserve">Lot</w:t>
            </w:r>
          </w:p>
        </w:tc>
      </w:tr>
      <w:tr>
        <w:tc>
          <w:tcPr/>
          <w:p>
            <w:pPr>
              <w:pStyle w:val="Compact"/>
              <w:jc w:val="left"/>
            </w:pPr>
            <w:r>
              <w:t xml:space="preserve">CA-A-01</w:t>
            </w:r>
          </w:p>
        </w:tc>
        <w:tc>
          <w:tcPr/>
          <w:p>
            <w:pPr>
              <w:pStyle w:val="Compact"/>
              <w:jc w:val="left"/>
            </w:pPr>
            <w:r>
              <w:t xml:space="preserve">Un compte administrateur ne peut afficher aucun objet protégé au sens de la Partie 0, section 3.2</w:t>
            </w:r>
          </w:p>
        </w:tc>
        <w:tc>
          <w:tcPr/>
          <w:p>
            <w:pPr>
              <w:pStyle w:val="Compact"/>
              <w:jc w:val="left"/>
            </w:pPr>
            <w:r>
              <w:t xml:space="preserve">Tentative d’accès sur chaque type d’objet protégé ; refus constaté et journalisé</w:t>
            </w:r>
          </w:p>
        </w:tc>
        <w:tc>
          <w:tcPr/>
          <w:p>
            <w:pPr>
              <w:pStyle w:val="Compact"/>
              <w:jc w:val="left"/>
            </w:pPr>
            <w:r>
              <w:t xml:space="preserve">0</w:t>
            </w:r>
          </w:p>
        </w:tc>
      </w:tr>
      <w:tr>
        <w:tc>
          <w:tcPr/>
          <w:p>
            <w:pPr>
              <w:pStyle w:val="Compact"/>
              <w:jc w:val="left"/>
            </w:pPr>
            <w:r>
              <w:t xml:space="preserve">CA-A-02</w:t>
            </w:r>
          </w:p>
        </w:tc>
        <w:tc>
          <w:tcPr/>
          <w:p>
            <w:pPr>
              <w:pStyle w:val="Compact"/>
              <w:jc w:val="left"/>
            </w:pPr>
            <w:r>
              <w:t xml:space="preserve">L’organigramme complet est saisi, y compris une cellule et une section créées en cours de recette, sans intervention sur le code</w:t>
            </w:r>
          </w:p>
        </w:tc>
        <w:tc>
          <w:tcPr/>
          <w:p>
            <w:pPr>
              <w:pStyle w:val="Compact"/>
              <w:jc w:val="left"/>
            </w:pPr>
            <w:r>
              <w:t xml:space="preserve">Création en séance d’une unité de chaque type</w:t>
            </w:r>
          </w:p>
        </w:tc>
        <w:tc>
          <w:tcPr/>
          <w:p>
            <w:pPr>
              <w:pStyle w:val="Compact"/>
              <w:jc w:val="left"/>
            </w:pPr>
            <w:r>
              <w:t xml:space="preserve">0</w:t>
            </w:r>
          </w:p>
        </w:tc>
      </w:tr>
      <w:tr>
        <w:tc>
          <w:tcPr/>
          <w:p>
            <w:pPr>
              <w:pStyle w:val="Compact"/>
              <w:jc w:val="left"/>
            </w:pPr>
            <w:r>
              <w:t xml:space="preserve">CA-A-03</w:t>
            </w:r>
          </w:p>
        </w:tc>
        <w:tc>
          <w:tcPr/>
          <w:p>
            <w:pPr>
              <w:pStyle w:val="Compact"/>
              <w:jc w:val="left"/>
            </w:pPr>
            <w:r>
              <w:t xml:space="preserve">Un agent est créé, affecté, muté puis désactivé ; à chaque étape ses droits correspondent à sa situation à la date considérée et son historique reste consultable</w:t>
            </w:r>
          </w:p>
        </w:tc>
        <w:tc>
          <w:tcPr/>
          <w:p>
            <w:pPr>
              <w:pStyle w:val="Compact"/>
              <w:jc w:val="left"/>
            </w:pPr>
            <w:r>
              <w:t xml:space="preserve">Parcours complet du cycle de vie en séance</w:t>
            </w:r>
          </w:p>
        </w:tc>
        <w:tc>
          <w:tcPr/>
          <w:p>
            <w:pPr>
              <w:pStyle w:val="Compact"/>
              <w:jc w:val="left"/>
            </w:pPr>
            <w:r>
              <w:t xml:space="preserve">0</w:t>
            </w:r>
          </w:p>
        </w:tc>
      </w:tr>
      <w:tr>
        <w:tc>
          <w:tcPr/>
          <w:p>
            <w:pPr>
              <w:pStyle w:val="Compact"/>
              <w:jc w:val="left"/>
            </w:pPr>
            <w:r>
              <w:t xml:space="preserve">CA-A-04</w:t>
            </w:r>
          </w:p>
        </w:tc>
        <w:tc>
          <w:tcPr/>
          <w:p>
            <w:pPr>
              <w:pStyle w:val="Compact"/>
              <w:jc w:val="left"/>
            </w:pPr>
            <w:r>
              <w:t xml:space="preserve">La matrice des habilitations de l’annexe 1 est vérifiée ligne par ligne côté serveur</w:t>
            </w:r>
          </w:p>
        </w:tc>
        <w:tc>
          <w:tcPr/>
          <w:p>
            <w:pPr>
              <w:pStyle w:val="Compact"/>
              <w:jc w:val="left"/>
            </w:pPr>
            <w:r>
              <w:t xml:space="preserve">Jeu de tests automatisés rejoué en séance</w:t>
            </w:r>
          </w:p>
        </w:tc>
        <w:tc>
          <w:tcPr/>
          <w:p>
            <w:pPr>
              <w:pStyle w:val="Compact"/>
              <w:jc w:val="left"/>
            </w:pPr>
            <w:r>
              <w:t xml:space="preserve">0</w:t>
            </w:r>
          </w:p>
        </w:tc>
      </w:tr>
      <w:tr>
        <w:tc>
          <w:tcPr/>
          <w:p>
            <w:pPr>
              <w:pStyle w:val="Compact"/>
              <w:jc w:val="left"/>
            </w:pPr>
            <w:r>
              <w:t xml:space="preserve">CA-A-05</w:t>
            </w:r>
          </w:p>
        </w:tc>
        <w:tc>
          <w:tcPr/>
          <w:p>
            <w:pPr>
              <w:pStyle w:val="Compact"/>
              <w:jc w:val="left"/>
            </w:pPr>
            <w:r>
              <w:t xml:space="preserve">Un responsable crée une activité du plan de travail, y rattache trois tâches dont une avec sous-tâches et co-responsables, et la mène jusqu’à validation</w:t>
            </w:r>
          </w:p>
        </w:tc>
        <w:tc>
          <w:tcPr/>
          <w:p>
            <w:pPr>
              <w:pStyle w:val="Compact"/>
              <w:jc w:val="left"/>
            </w:pPr>
            <w:r>
              <w:t xml:space="preserve">Parcours en séance</w:t>
            </w:r>
          </w:p>
        </w:tc>
        <w:tc>
          <w:tcPr/>
          <w:p>
            <w:pPr>
              <w:pStyle w:val="Compact"/>
              <w:jc w:val="left"/>
            </w:pPr>
            <w:r>
              <w:t xml:space="preserve">1</w:t>
            </w:r>
          </w:p>
        </w:tc>
      </w:tr>
      <w:tr>
        <w:tc>
          <w:tcPr/>
          <w:p>
            <w:pPr>
              <w:pStyle w:val="Compact"/>
              <w:jc w:val="left"/>
            </w:pPr>
            <w:r>
              <w:t xml:space="preserve">CA-A-06</w:t>
            </w:r>
          </w:p>
        </w:tc>
        <w:tc>
          <w:tcPr/>
          <w:p>
            <w:pPr>
              <w:pStyle w:val="Compact"/>
              <w:jc w:val="left"/>
            </w:pPr>
            <w:r>
              <w:t xml:space="preserve">Le rapport d’activité d’une division sur un trimestre est généré et exporté, et correspond aux tâches effectivement achevées</w:t>
            </w:r>
          </w:p>
        </w:tc>
        <w:tc>
          <w:tcPr/>
          <w:p>
            <w:pPr>
              <w:pStyle w:val="Compact"/>
              <w:jc w:val="left"/>
            </w:pPr>
            <w:r>
              <w:t xml:space="preserve">Comparaison au registre des tâches</w:t>
            </w:r>
          </w:p>
        </w:tc>
        <w:tc>
          <w:tcPr/>
          <w:p>
            <w:pPr>
              <w:pStyle w:val="Compact"/>
              <w:jc w:val="left"/>
            </w:pPr>
            <w:r>
              <w:t xml:space="preserve">1</w:t>
            </w:r>
          </w:p>
        </w:tc>
      </w:tr>
      <w:tr>
        <w:tc>
          <w:tcPr/>
          <w:p>
            <w:pPr>
              <w:pStyle w:val="Compact"/>
              <w:jc w:val="left"/>
            </w:pPr>
            <w:r>
              <w:t xml:space="preserve">CA-A-07</w:t>
            </w:r>
          </w:p>
        </w:tc>
        <w:tc>
          <w:tcPr/>
          <w:p>
            <w:pPr>
              <w:pStyle w:val="Compact"/>
              <w:jc w:val="left"/>
            </w:pPr>
            <w:r>
              <w:t xml:space="preserve">Le tableau de bord de chaque rôle testé n’affiche que le périmètre autorisé ; un chef de section ne voit aucune donnée d’une autre section, y compris par recherche</w:t>
            </w:r>
          </w:p>
        </w:tc>
        <w:tc>
          <w:tcPr/>
          <w:p>
            <w:pPr>
              <w:pStyle w:val="Compact"/>
              <w:jc w:val="left"/>
            </w:pPr>
            <w:r>
              <w:t xml:space="preserve">Connexion successive sous cinq rôles</w:t>
            </w:r>
          </w:p>
        </w:tc>
        <w:tc>
          <w:tcPr/>
          <w:p>
            <w:pPr>
              <w:pStyle w:val="Compact"/>
              <w:jc w:val="left"/>
            </w:pPr>
            <w:r>
              <w:t xml:space="preserve">1</w:t>
            </w:r>
          </w:p>
        </w:tc>
      </w:tr>
      <w:tr>
        <w:tc>
          <w:tcPr/>
          <w:p>
            <w:pPr>
              <w:pStyle w:val="Compact"/>
              <w:jc w:val="left"/>
            </w:pPr>
            <w:r>
              <w:t xml:space="preserve">CA-A-08</w:t>
            </w:r>
          </w:p>
        </w:tc>
        <w:tc>
          <w:tcPr/>
          <w:p>
            <w:pPr>
              <w:pStyle w:val="Compact"/>
              <w:jc w:val="left"/>
            </w:pPr>
            <w:r>
              <w:t xml:space="preserve">Une tâche supprimée demeure visible dans le journal d’audit avec l’identité de l’auteur de la suppression</w:t>
            </w:r>
          </w:p>
        </w:tc>
        <w:tc>
          <w:tcPr/>
          <w:p>
            <w:pPr>
              <w:pStyle w:val="Compact"/>
              <w:jc w:val="left"/>
            </w:pPr>
            <w:r>
              <w:t xml:space="preserve">Suppression puis consultation du journal</w:t>
            </w:r>
          </w:p>
        </w:tc>
        <w:tc>
          <w:tcPr/>
          <w:p>
            <w:pPr>
              <w:pStyle w:val="Compact"/>
              <w:jc w:val="left"/>
            </w:pPr>
            <w:r>
              <w:t xml:space="preserve">1</w:t>
            </w:r>
          </w:p>
        </w:tc>
      </w:tr>
      <w:tr>
        <w:tc>
          <w:tcPr/>
          <w:p>
            <w:pPr>
              <w:pStyle w:val="Compact"/>
              <w:jc w:val="left"/>
            </w:pPr>
            <w:r>
              <w:t xml:space="preserve">CA-A-09</w:t>
            </w:r>
          </w:p>
        </w:tc>
        <w:tc>
          <w:tcPr/>
          <w:p>
            <w:pPr>
              <w:pStyle w:val="Compact"/>
              <w:jc w:val="left"/>
            </w:pPr>
            <w:r>
              <w:t xml:space="preserve">Une réunion est tenue, son compte rendu rédigé, une décision convertie en action assignée et suivie jusqu’à clôture</w:t>
            </w:r>
          </w:p>
        </w:tc>
        <w:tc>
          <w:tcPr/>
          <w:p>
            <w:pPr>
              <w:pStyle w:val="Compact"/>
              <w:jc w:val="left"/>
            </w:pPr>
            <w:r>
              <w:t xml:space="preserve">Parcours en séance</w:t>
            </w:r>
          </w:p>
        </w:tc>
        <w:tc>
          <w:tcPr/>
          <w:p>
            <w:pPr>
              <w:pStyle w:val="Compact"/>
              <w:jc w:val="left"/>
            </w:pPr>
            <w:r>
              <w:t xml:space="preserve">1</w:t>
            </w:r>
          </w:p>
        </w:tc>
      </w:tr>
      <w:tr>
        <w:tc>
          <w:tcPr/>
          <w:p>
            <w:pPr>
              <w:pStyle w:val="Compact"/>
              <w:jc w:val="left"/>
            </w:pPr>
            <w:r>
              <w:t xml:space="preserve">CA-A-10</w:t>
            </w:r>
          </w:p>
        </w:tc>
        <w:tc>
          <w:tcPr/>
          <w:p>
            <w:pPr>
              <w:pStyle w:val="Compact"/>
              <w:jc w:val="left"/>
            </w:pPr>
            <w:r>
              <w:t xml:space="preserve">Une suggestion anonyme est déposée sans que son auteur soit identifiable par quiconque, administrateur compris</w:t>
            </w:r>
          </w:p>
        </w:tc>
        <w:tc>
          <w:tcPr/>
          <w:p>
            <w:pPr>
              <w:pStyle w:val="Compact"/>
              <w:jc w:val="left"/>
            </w:pPr>
            <w:r>
              <w:t xml:space="preserve">Inspection de la base et du journal après dépôt</w:t>
            </w:r>
          </w:p>
        </w:tc>
        <w:tc>
          <w:tcPr/>
          <w:p>
            <w:pPr>
              <w:pStyle w:val="Compact"/>
              <w:jc w:val="left"/>
            </w:pPr>
            <w:r>
              <w:t xml:space="preserve">1</w:t>
            </w:r>
          </w:p>
        </w:tc>
      </w:tr>
      <w:tr>
        <w:tc>
          <w:tcPr/>
          <w:p>
            <w:pPr>
              <w:pStyle w:val="Compact"/>
              <w:jc w:val="left"/>
            </w:pPr>
            <w:r>
              <w:t xml:space="preserve">CA-A-11</w:t>
            </w:r>
          </w:p>
        </w:tc>
        <w:tc>
          <w:tcPr/>
          <w:p>
            <w:pPr>
              <w:pStyle w:val="Compact"/>
              <w:jc w:val="left"/>
            </w:pPr>
            <w:r>
              <w:t xml:space="preserve">Les écrans principaux sont conformes au niveau AA de WCAG 2.1</w:t>
            </w:r>
          </w:p>
        </w:tc>
        <w:tc>
          <w:tcPr/>
          <w:p>
            <w:pPr>
              <w:pStyle w:val="Compact"/>
              <w:jc w:val="left"/>
            </w:pPr>
            <w:r>
              <w:t xml:space="preserve">Audit d’accessibilité, rapport remis</w:t>
            </w:r>
          </w:p>
        </w:tc>
        <w:tc>
          <w:tcPr/>
          <w:p>
            <w:pPr>
              <w:pStyle w:val="Compact"/>
              <w:jc w:val="left"/>
            </w:pPr>
            <w:r>
              <w:t xml:space="preserve">1</w:t>
            </w:r>
          </w:p>
        </w:tc>
      </w:tr>
      <w:tr>
        <w:tc>
          <w:tcPr/>
          <w:p>
            <w:pPr>
              <w:pStyle w:val="Compact"/>
              <w:jc w:val="left"/>
            </w:pPr>
            <w:r>
              <w:t xml:space="preserve">CA-A-12</w:t>
            </w:r>
          </w:p>
        </w:tc>
        <w:tc>
          <w:tcPr/>
          <w:p>
            <w:pPr>
              <w:pStyle w:val="Compact"/>
              <w:jc w:val="left"/>
            </w:pPr>
            <w:r>
              <w:t xml:space="preserve">Une demande de congé parcourt le circuit complet, y compris le franchissement du délai d’avis de 48 heures ouvrées</w:t>
            </w:r>
          </w:p>
        </w:tc>
        <w:tc>
          <w:tcPr/>
          <w:p>
            <w:pPr>
              <w:pStyle w:val="Compact"/>
              <w:jc w:val="left"/>
            </w:pPr>
            <w:r>
              <w:t xml:space="preserve">Parcours en séance avec horloge avancée</w:t>
            </w:r>
          </w:p>
        </w:tc>
        <w:tc>
          <w:tcPr/>
          <w:p>
            <w:pPr>
              <w:pStyle w:val="Compact"/>
              <w:jc w:val="left"/>
            </w:pPr>
            <w:r>
              <w:t xml:space="preserve">3</w:t>
            </w:r>
          </w:p>
        </w:tc>
      </w:tr>
      <w:tr>
        <w:tc>
          <w:tcPr/>
          <w:p>
            <w:pPr>
              <w:pStyle w:val="Compact"/>
              <w:jc w:val="left"/>
            </w:pPr>
            <w:r>
              <w:t xml:space="preserve">CA-A-13</w:t>
            </w:r>
          </w:p>
        </w:tc>
        <w:tc>
          <w:tcPr/>
          <w:p>
            <w:pPr>
              <w:pStyle w:val="Compact"/>
              <w:jc w:val="left"/>
            </w:pPr>
            <w:r>
              <w:t xml:space="preserve">Le motif médical déposé n’est visible que du DRH ; le chef d’unité et le planning n’affichent que le type d’absence</w:t>
            </w:r>
          </w:p>
        </w:tc>
        <w:tc>
          <w:tcPr/>
          <w:p>
            <w:pPr>
              <w:pStyle w:val="Compact"/>
              <w:jc w:val="left"/>
            </w:pPr>
            <w:r>
              <w:t xml:space="preserve">Connexion sous les deux rôles</w:t>
            </w:r>
          </w:p>
        </w:tc>
        <w:tc>
          <w:tcPr/>
          <w:p>
            <w:pPr>
              <w:pStyle w:val="Compact"/>
              <w:jc w:val="left"/>
            </w:pPr>
            <w:r>
              <w:t xml:space="preserve">3</w:t>
            </w:r>
          </w:p>
        </w:tc>
      </w:tr>
      <w:tr>
        <w:tc>
          <w:tcPr/>
          <w:p>
            <w:pPr>
              <w:pStyle w:val="Compact"/>
              <w:jc w:val="left"/>
            </w:pPr>
            <w:r>
              <w:t xml:space="preserve">CA-A-14</w:t>
            </w:r>
          </w:p>
        </w:tc>
        <w:tc>
          <w:tcPr/>
          <w:p>
            <w:pPr>
              <w:pStyle w:val="Compact"/>
              <w:jc w:val="left"/>
            </w:pPr>
            <w:r>
              <w:t xml:space="preserve">Un plan de rotation est exécuté sur au moins deux bascules, avec préavis, évaluation, bascule des droits et accusé de réception</w:t>
            </w:r>
          </w:p>
        </w:tc>
        <w:tc>
          <w:tcPr/>
          <w:p>
            <w:pPr>
              <w:pStyle w:val="Compact"/>
              <w:jc w:val="left"/>
            </w:pPr>
            <w:r>
              <w:t xml:space="preserve">Parcours en séance avec horloge avancée</w:t>
            </w:r>
          </w:p>
        </w:tc>
        <w:tc>
          <w:tcPr/>
          <w:p>
            <w:pPr>
              <w:pStyle w:val="Compact"/>
              <w:jc w:val="left"/>
            </w:pPr>
            <w:r>
              <w:t xml:space="preserve">3</w:t>
            </w:r>
          </w:p>
        </w:tc>
      </w:tr>
      <w:tr>
        <w:tc>
          <w:tcPr/>
          <w:p>
            <w:pPr>
              <w:pStyle w:val="Compact"/>
              <w:jc w:val="left"/>
            </w:pPr>
            <w:r>
              <w:t xml:space="preserve">CA-A-15</w:t>
            </w:r>
          </w:p>
        </w:tc>
        <w:tc>
          <w:tcPr/>
          <w:p>
            <w:pPr>
              <w:pStyle w:val="Compact"/>
              <w:jc w:val="left"/>
            </w:pPr>
            <w:r>
              <w:t xml:space="preserve">L’attestation de stage générée est numérotée, datée et porte la durée passée dans chaque unité</w:t>
            </w:r>
          </w:p>
        </w:tc>
        <w:tc>
          <w:tcPr/>
          <w:p>
            <w:pPr>
              <w:pStyle w:val="Compact"/>
              <w:jc w:val="left"/>
            </w:pPr>
            <w:r>
              <w:t xml:space="preserve">Génération et lecture du document</w:t>
            </w:r>
          </w:p>
        </w:tc>
        <w:tc>
          <w:tcPr/>
          <w:p>
            <w:pPr>
              <w:pStyle w:val="Compact"/>
              <w:jc w:val="left"/>
            </w:pPr>
            <w:r>
              <w:t xml:space="preserve">3</w:t>
            </w:r>
          </w:p>
        </w:tc>
      </w:tr>
      <w:tr>
        <w:tc>
          <w:tcPr/>
          <w:p>
            <w:pPr>
              <w:pStyle w:val="Compact"/>
              <w:jc w:val="left"/>
            </w:pPr>
            <w:r>
              <w:t xml:space="preserve">CA-A-16</w:t>
            </w:r>
          </w:p>
        </w:tc>
        <w:tc>
          <w:tcPr/>
          <w:p>
            <w:pPr>
              <w:pStyle w:val="Compact"/>
              <w:jc w:val="left"/>
            </w:pPr>
            <w:r>
              <w:t xml:space="preserve">Une campagne de paie est créée, validée et publiée ; chaque agent ne voit que ses propres bulletins, le filtrage étant vérifié côté serveur et non par filtre d’affichage</w:t>
            </w:r>
          </w:p>
        </w:tc>
        <w:tc>
          <w:tcPr/>
          <w:p>
            <w:pPr>
              <w:pStyle w:val="Compact"/>
              <w:jc w:val="left"/>
            </w:pPr>
            <w:r>
              <w:t xml:space="preserve">Appel direct de l’API sous un compte tiers ; refus constaté</w:t>
            </w:r>
          </w:p>
        </w:tc>
        <w:tc>
          <w:tcPr/>
          <w:p>
            <w:pPr>
              <w:pStyle w:val="Compact"/>
              <w:jc w:val="left"/>
            </w:pPr>
            <w:r>
              <w:t xml:space="preserve">5</w:t>
            </w:r>
          </w:p>
        </w:tc>
      </w:tr>
      <w:tr>
        <w:tc>
          <w:tcPr/>
          <w:p>
            <w:pPr>
              <w:pStyle w:val="Compact"/>
              <w:jc w:val="left"/>
            </w:pPr>
            <w:r>
              <w:t xml:space="preserve">CA-A-17</w:t>
            </w:r>
          </w:p>
        </w:tc>
        <w:tc>
          <w:tcPr/>
          <w:p>
            <w:pPr>
              <w:pStyle w:val="Compact"/>
              <w:jc w:val="left"/>
            </w:pPr>
            <w:r>
              <w:t xml:space="preserve">Une correction après publication produit une campagne rectificative, l’originale restant inchangée</w:t>
            </w:r>
          </w:p>
        </w:tc>
        <w:tc>
          <w:tcPr/>
          <w:p>
            <w:pPr>
              <w:pStyle w:val="Compact"/>
              <w:jc w:val="left"/>
            </w:pPr>
            <w:r>
              <w:t xml:space="preserve">Parcours en séance</w:t>
            </w:r>
          </w:p>
        </w:tc>
        <w:tc>
          <w:tcPr/>
          <w:p>
            <w:pPr>
              <w:pStyle w:val="Compact"/>
              <w:jc w:val="left"/>
            </w:pPr>
            <w:r>
              <w:t xml:space="preserve">5</w:t>
            </w:r>
          </w:p>
        </w:tc>
      </w:tr>
      <w:tr>
        <w:tc>
          <w:tcPr/>
          <w:p>
            <w:pPr>
              <w:pStyle w:val="Compact"/>
              <w:jc w:val="left"/>
            </w:pPr>
            <w:r>
              <w:t xml:space="preserve">CA-A-18</w:t>
            </w:r>
          </w:p>
        </w:tc>
        <w:tc>
          <w:tcPr/>
          <w:p>
            <w:pPr>
              <w:pStyle w:val="Compact"/>
              <w:jc w:val="left"/>
            </w:pPr>
            <w:r>
              <w:t xml:space="preserve">Une instruction financière exécutée apparaît en proposition dans la campagne suivante, et n’est jamais appliquée automatiquement</w:t>
            </w:r>
          </w:p>
        </w:tc>
        <w:tc>
          <w:tcPr/>
          <w:p>
            <w:pPr>
              <w:pStyle w:val="Compact"/>
              <w:jc w:val="left"/>
            </w:pPr>
            <w:r>
              <w:t xml:space="preserve">Parcours en séance</w:t>
            </w:r>
          </w:p>
        </w:tc>
        <w:tc>
          <w:tcPr/>
          <w:p>
            <w:pPr>
              <w:pStyle w:val="Compact"/>
              <w:jc w:val="left"/>
            </w:pPr>
            <w:r>
              <w:t xml:space="preserve">5</w:t>
            </w:r>
          </w:p>
        </w:tc>
      </w:tr>
      <w:tr>
        <w:tc>
          <w:tcPr/>
          <w:p>
            <w:pPr>
              <w:pStyle w:val="Compact"/>
              <w:jc w:val="left"/>
            </w:pPr>
            <w:r>
              <w:t xml:space="preserve">CA-A-19</w:t>
            </w:r>
          </w:p>
        </w:tc>
        <w:tc>
          <w:tcPr/>
          <w:p>
            <w:pPr>
              <w:pStyle w:val="Compact"/>
              <w:jc w:val="left"/>
            </w:pPr>
            <w:r>
              <w:t xml:space="preserve">Un courrier entrant est enregistré, imputé, traité et classé, avec alerte sur dépassement du délai</w:t>
            </w:r>
          </w:p>
        </w:tc>
        <w:tc>
          <w:tcPr/>
          <w:p>
            <w:pPr>
              <w:pStyle w:val="Compact"/>
              <w:jc w:val="left"/>
            </w:pPr>
            <w:r>
              <w:t xml:space="preserve">Parcours en séance avec horloge avancée</w:t>
            </w:r>
          </w:p>
        </w:tc>
        <w:tc>
          <w:tcPr/>
          <w:p>
            <w:pPr>
              <w:pStyle w:val="Compact"/>
              <w:jc w:val="left"/>
            </w:pPr>
            <w:r>
              <w:t xml:space="preserve">5</w:t>
            </w:r>
          </w:p>
        </w:tc>
      </w:tr>
      <w:tr>
        <w:tc>
          <w:tcPr/>
          <w:p>
            <w:pPr>
              <w:pStyle w:val="Compact"/>
              <w:jc w:val="left"/>
            </w:pPr>
            <w:r>
              <w:t xml:space="preserve">CA-A-20</w:t>
            </w:r>
          </w:p>
        </w:tc>
        <w:tc>
          <w:tcPr/>
          <w:p>
            <w:pPr>
              <w:pStyle w:val="Compact"/>
              <w:jc w:val="left"/>
            </w:pPr>
            <w:r>
              <w:t xml:space="preserve">Le mode hors ligne respecte les bornes de la Partie 0, section 10.9 : aucune opération sur un objet protégé, conflit signalé et jamais résolu silencieusement</w:t>
            </w:r>
          </w:p>
        </w:tc>
        <w:tc>
          <w:tcPr/>
          <w:p>
            <w:pPr>
              <w:pStyle w:val="Compact"/>
              <w:jc w:val="left"/>
            </w:pPr>
            <w:r>
              <w:t xml:space="preserve">Essai sur appareil déconnecté puis reconnecté</w:t>
            </w:r>
          </w:p>
        </w:tc>
        <w:tc>
          <w:tcPr/>
          <w:p>
            <w:pPr>
              <w:pStyle w:val="Compact"/>
              <w:jc w:val="left"/>
            </w:pPr>
            <w:r>
              <w:t xml:space="preserve">3</w:t>
            </w:r>
          </w:p>
        </w:tc>
      </w:tr>
      <w:tr>
        <w:tc>
          <w:tcPr/>
          <w:p>
            <w:pPr>
              <w:pStyle w:val="Compact"/>
              <w:jc w:val="left"/>
            </w:pPr>
            <w:r>
              <w:t xml:space="preserve">CA-A-21</w:t>
            </w:r>
          </w:p>
        </w:tc>
        <w:tc>
          <w:tcPr/>
          <w:p>
            <w:pPr>
              <w:pStyle w:val="Compact"/>
              <w:jc w:val="left"/>
            </w:pPr>
            <w:r>
              <w:t xml:space="preserve">Un bulletin, une attestation et un acte sont générés et prévisualisés à l’écran avant impression, avec en-tête, numérotation et montant en toutes lettres</w:t>
            </w:r>
          </w:p>
        </w:tc>
        <w:tc>
          <w:tcPr/>
          <w:p>
            <w:pPr>
              <w:pStyle w:val="Compact"/>
              <w:jc w:val="left"/>
            </w:pPr>
            <w:r>
              <w:t xml:space="preserve">Génération en séance des trois documents</w:t>
            </w:r>
          </w:p>
        </w:tc>
        <w:tc>
          <w:tcPr/>
          <w:p>
            <w:pPr>
              <w:pStyle w:val="Compact"/>
              <w:jc w:val="left"/>
            </w:pPr>
            <w:r>
              <w:t xml:space="preserve">3 et 5</w:t>
            </w:r>
          </w:p>
        </w:tc>
      </w:tr>
      <w:tr>
        <w:tc>
          <w:tcPr/>
          <w:p>
            <w:pPr>
              <w:pStyle w:val="Compact"/>
              <w:jc w:val="left"/>
            </w:pPr>
            <w:r>
              <w:t xml:space="preserve">CA-A-22</w:t>
            </w:r>
          </w:p>
        </w:tc>
        <w:tc>
          <w:tcPr/>
          <w:p>
            <w:pPr>
              <w:pStyle w:val="Compact"/>
              <w:jc w:val="left"/>
            </w:pPr>
            <w:r>
              <w:t xml:space="preserve">Une réimpression de bulletin porte la mention « duplicata » et l’opération est journalisée avec l’identité de l’agent du SAF</w:t>
            </w:r>
          </w:p>
        </w:tc>
        <w:tc>
          <w:tcPr/>
          <w:p>
            <w:pPr>
              <w:pStyle w:val="Compact"/>
              <w:jc w:val="left"/>
            </w:pPr>
            <w:r>
              <w:t xml:space="preserve">Impression assistée puis lecture du journal</w:t>
            </w:r>
          </w:p>
        </w:tc>
        <w:tc>
          <w:tcPr/>
          <w:p>
            <w:pPr>
              <w:pStyle w:val="Compact"/>
              <w:jc w:val="left"/>
            </w:pPr>
            <w:r>
              <w:t xml:space="preserve">5</w:t>
            </w:r>
          </w:p>
        </w:tc>
      </w:tr>
      <w:tr>
        <w:tc>
          <w:tcPr/>
          <w:p>
            <w:pPr>
              <w:pStyle w:val="Compact"/>
              <w:jc w:val="left"/>
            </w:pPr>
            <w:r>
              <w:t xml:space="preserve">CA-A-23</w:t>
            </w:r>
          </w:p>
        </w:tc>
        <w:tc>
          <w:tcPr/>
          <w:p>
            <w:pPr>
              <w:pStyle w:val="Compact"/>
              <w:jc w:val="left"/>
            </w:pPr>
            <w:r>
              <w:t xml:space="preserve">Le SAF transmet un état financier au Directeur National depuis l’écran de l’état ; celui-ci le reçoit marqué non lu, l’ouvre et y répond</w:t>
            </w:r>
          </w:p>
        </w:tc>
        <w:tc>
          <w:tcPr/>
          <w:p>
            <w:pPr>
              <w:pStyle w:val="Compact"/>
              <w:jc w:val="left"/>
            </w:pPr>
            <w:r>
              <w:t xml:space="preserve">Parcours complet en séance, sous deux comptes</w:t>
            </w:r>
          </w:p>
        </w:tc>
        <w:tc>
          <w:tcPr/>
          <w:p>
            <w:pPr>
              <w:pStyle w:val="Compact"/>
              <w:jc w:val="left"/>
            </w:pPr>
            <w:r>
              <w:t xml:space="preserve">5</w:t>
            </w:r>
          </w:p>
        </w:tc>
      </w:tr>
      <w:tr>
        <w:tc>
          <w:tcPr/>
          <w:p>
            <w:pPr>
              <w:pStyle w:val="Compact"/>
              <w:jc w:val="left"/>
            </w:pPr>
            <w:r>
              <w:t xml:space="preserve">CA-A-24</w:t>
            </w:r>
          </w:p>
        </w:tc>
        <w:tc>
          <w:tcPr/>
          <w:p>
            <w:pPr>
              <w:pStyle w:val="Compact"/>
              <w:jc w:val="left"/>
            </w:pPr>
            <w:r>
              <w:t xml:space="preserve">Aucun objet protégé n’est proposé comme pièce jointe d’un message</w:t>
            </w:r>
          </w:p>
        </w:tc>
        <w:tc>
          <w:tcPr/>
          <w:p>
            <w:pPr>
              <w:pStyle w:val="Compact"/>
              <w:jc w:val="left"/>
            </w:pPr>
            <w:r>
              <w:t xml:space="preserve">Inspection de la liste des pièces jointes sous le compte du SAF</w:t>
            </w:r>
          </w:p>
        </w:tc>
        <w:tc>
          <w:tcPr/>
          <w:p>
            <w:pPr>
              <w:pStyle w:val="Compact"/>
              <w:jc w:val="left"/>
            </w:pPr>
            <w:r>
              <w:t xml:space="preserve">5</w:t>
            </w:r>
          </w:p>
        </w:tc>
      </w:tr>
      <w:tr>
        <w:tc>
          <w:tcPr/>
          <w:p>
            <w:pPr>
              <w:pStyle w:val="Compact"/>
              <w:jc w:val="left"/>
            </w:pPr>
            <w:r>
              <w:t xml:space="preserve">CA-A-25</w:t>
            </w:r>
          </w:p>
        </w:tc>
        <w:tc>
          <w:tcPr/>
          <w:p>
            <w:pPr>
              <w:pStyle w:val="Compact"/>
              <w:jc w:val="left"/>
            </w:pPr>
            <w:r>
              <w:t xml:space="preserve">Un avancement d’échelon instruit par les RH met à jour le dossier agent</w:t>
            </w:r>
            <w:r>
              <w:t xml:space="preserve"> </w:t>
            </w:r>
            <w:r>
              <w:rPr>
                <w:bCs/>
                <w:b/>
              </w:rPr>
              <w:t xml:space="preserve">et</w:t>
            </w:r>
            <w:r>
              <w:t xml:space="preserve"> </w:t>
            </w:r>
            <w:r>
              <w:t xml:space="preserve">la grille de rémunération du SAF</w:t>
            </w:r>
          </w:p>
        </w:tc>
        <w:tc>
          <w:tcPr/>
          <w:p>
            <w:pPr>
              <w:pStyle w:val="Compact"/>
              <w:jc w:val="left"/>
            </w:pPr>
            <w:r>
              <w:t xml:space="preserve">Instruction en séance puis lecture de la grille</w:t>
            </w:r>
          </w:p>
        </w:tc>
        <w:tc>
          <w:tcPr/>
          <w:p>
            <w:pPr>
              <w:pStyle w:val="Compact"/>
              <w:jc w:val="left"/>
            </w:pPr>
            <w:r>
              <w:t xml:space="preserve">5</w:t>
            </w:r>
          </w:p>
        </w:tc>
      </w:tr>
      <w:tr>
        <w:tc>
          <w:tcPr/>
          <w:p>
            <w:pPr>
              <w:pStyle w:val="Compact"/>
              <w:jc w:val="left"/>
            </w:pPr>
            <w:r>
              <w:t xml:space="preserve">CA-A-26</w:t>
            </w:r>
          </w:p>
        </w:tc>
        <w:tc>
          <w:tcPr/>
          <w:p>
            <w:pPr>
              <w:pStyle w:val="Compact"/>
              <w:jc w:val="left"/>
            </w:pPr>
            <w:r>
              <w:t xml:space="preserve">La recherche transverse ne renvoie aucun objet hors périmètre ni protégé, y compris pour l’administrateur et pour un compte externe</w:t>
            </w:r>
          </w:p>
        </w:tc>
        <w:tc>
          <w:tcPr/>
          <w:p>
            <w:pPr>
              <w:pStyle w:val="Compact"/>
              <w:jc w:val="left"/>
            </w:pPr>
            <w:r>
              <w:t xml:space="preserve">Même requête sous quatre comptes</w:t>
            </w:r>
          </w:p>
        </w:tc>
        <w:tc>
          <w:tcPr/>
          <w:p>
            <w:pPr>
              <w:pStyle w:val="Compact"/>
              <w:jc w:val="left"/>
            </w:pPr>
            <w:r>
              <w:t xml:space="preserve">1</w:t>
            </w:r>
          </w:p>
        </w:tc>
      </w:tr>
      <w:tr>
        <w:tc>
          <w:tcPr/>
          <w:p>
            <w:pPr>
              <w:pStyle w:val="Compact"/>
              <w:jc w:val="left"/>
            </w:pPr>
            <w:r>
              <w:t xml:space="preserve">CA-A-27</w:t>
            </w:r>
          </w:p>
        </w:tc>
        <w:tc>
          <w:tcPr/>
          <w:p>
            <w:pPr>
              <w:pStyle w:val="Compact"/>
              <w:jc w:val="left"/>
            </w:pPr>
            <w:r>
              <w:t xml:space="preserve">Un compte suspendu ne peut pas ouvrir de session ; un compte désactivé voit ses tâches transférées et ses travaux conservés</w:t>
            </w:r>
          </w:p>
        </w:tc>
        <w:tc>
          <w:tcPr/>
          <w:p>
            <w:pPr>
              <w:pStyle w:val="Compact"/>
              <w:jc w:val="left"/>
            </w:pPr>
            <w:r>
              <w:t xml:space="preserve">Suspension puis désactivation en séance</w:t>
            </w:r>
          </w:p>
        </w:tc>
        <w:tc>
          <w:tcPr/>
          <w:p>
            <w:pPr>
              <w:pStyle w:val="Compact"/>
              <w:jc w:val="left"/>
            </w:pPr>
            <w:r>
              <w:t xml:space="preserve">0</w:t>
            </w:r>
          </w:p>
        </w:tc>
      </w:tr>
      <w:tr>
        <w:tc>
          <w:tcPr/>
          <w:p>
            <w:pPr>
              <w:pStyle w:val="Compact"/>
              <w:jc w:val="left"/>
            </w:pPr>
            <w:r>
              <w:t xml:space="preserve">CA-A-28</w:t>
            </w:r>
          </w:p>
        </w:tc>
        <w:tc>
          <w:tcPr/>
          <w:p>
            <w:pPr>
              <w:pStyle w:val="Compact"/>
              <w:jc w:val="left"/>
            </w:pPr>
            <w:r>
              <w:t xml:space="preserve">Une modification de réglage est visible dans le circuit qu’elle gouverne et dans le texte affiché</w:t>
            </w:r>
          </w:p>
        </w:tc>
        <w:tc>
          <w:tcPr/>
          <w:p>
            <w:pPr>
              <w:pStyle w:val="Compact"/>
              <w:jc w:val="left"/>
            </w:pPr>
            <w:r>
              <w:t xml:space="preserve">Passage du délai d’avis de 48 à 24 heures</w:t>
            </w:r>
          </w:p>
        </w:tc>
        <w:tc>
          <w:tcPr/>
          <w:p>
            <w:pPr>
              <w:pStyle w:val="Compact"/>
              <w:jc w:val="left"/>
            </w:pPr>
            <w:r>
              <w:t xml:space="preserve">3</w:t>
            </w:r>
          </w:p>
        </w:tc>
      </w:tr>
      <w:tr>
        <w:tc>
          <w:tcPr/>
          <w:p>
            <w:pPr>
              <w:pStyle w:val="Compact"/>
              <w:jc w:val="left"/>
            </w:pPr>
            <w:r>
              <w:t xml:space="preserve">CA-A-29</w:t>
            </w:r>
          </w:p>
        </w:tc>
        <w:tc>
          <w:tcPr/>
          <w:p>
            <w:pPr>
              <w:pStyle w:val="Compact"/>
              <w:jc w:val="left"/>
            </w:pPr>
            <w:r>
              <w:t xml:space="preserve">Le tableau de supervision affiche l’état des services, la file d’exécution, les sauvegardes et les comptes à surveiller, sans exposer aucun objet protégé</w:t>
            </w:r>
          </w:p>
        </w:tc>
        <w:tc>
          <w:tcPr/>
          <w:p>
            <w:pPr>
              <w:pStyle w:val="Compact"/>
              <w:jc w:val="left"/>
            </w:pPr>
            <w:r>
              <w:t xml:space="preserve">Inspection de l’écran sous le compte administrateur</w:t>
            </w:r>
          </w:p>
        </w:tc>
        <w:tc>
          <w:tcPr/>
          <w:p>
            <w:pPr>
              <w:pStyle w:val="Compact"/>
              <w:jc w:val="left"/>
            </w:pPr>
            <w:r>
              <w:t xml:space="preserve">0</w:t>
            </w:r>
          </w:p>
        </w:tc>
      </w:tr>
      <w:tr>
        <w:tc>
          <w:tcPr/>
          <w:p>
            <w:pPr>
              <w:pStyle w:val="Compact"/>
              <w:jc w:val="left"/>
            </w:pPr>
            <w:r>
              <w:t xml:space="preserve">CA-A-30</w:t>
            </w:r>
          </w:p>
        </w:tc>
        <w:tc>
          <w:tcPr/>
          <w:p>
            <w:pPr>
              <w:pStyle w:val="Compact"/>
              <w:jc w:val="left"/>
            </w:pPr>
            <w:r>
              <w:t xml:space="preserve">Un service mis en défaut est signalé à l’administrateur et son état passe à dégradé sur le tableau de supervision</w:t>
            </w:r>
          </w:p>
        </w:tc>
        <w:tc>
          <w:tcPr/>
          <w:p>
            <w:pPr>
              <w:pStyle w:val="Compact"/>
              <w:jc w:val="left"/>
            </w:pPr>
            <w:r>
              <w:t xml:space="preserve">Coupure volontaire d’une dépendance en recette</w:t>
            </w:r>
          </w:p>
        </w:tc>
        <w:tc>
          <w:tcPr/>
          <w:p>
            <w:pPr>
              <w:pStyle w:val="Compact"/>
              <w:jc w:val="left"/>
            </w:pPr>
            <w:r>
              <w:t xml:space="preserve">0</w:t>
            </w:r>
          </w:p>
        </w:tc>
      </w:tr>
      <w:tr>
        <w:tc>
          <w:tcPr/>
          <w:p>
            <w:pPr>
              <w:pStyle w:val="Compact"/>
              <w:jc w:val="left"/>
            </w:pPr>
            <w:r>
              <w:t xml:space="preserve">CA-A-31</w:t>
            </w:r>
          </w:p>
        </w:tc>
        <w:tc>
          <w:tcPr/>
          <w:p>
            <w:pPr>
              <w:pStyle w:val="Compact"/>
              <w:jc w:val="left"/>
            </w:pPr>
            <w:r>
              <w:t xml:space="preserve">Le dépôt d’une version de modèle par l’administrateur ne suffit pas à l’activer : l’activation exige le visa du responsable</w:t>
            </w:r>
          </w:p>
        </w:tc>
        <w:tc>
          <w:tcPr/>
          <w:p>
            <w:pPr>
              <w:pStyle w:val="Compact"/>
              <w:jc w:val="left"/>
            </w:pPr>
            <w:r>
              <w:t xml:space="preserve">Tentative d’activation sous le compte administrateur</w:t>
            </w:r>
          </w:p>
        </w:tc>
        <w:tc>
          <w:tcPr/>
          <w:p>
            <w:pPr>
              <w:pStyle w:val="Compact"/>
              <w:jc w:val="left"/>
            </w:pPr>
            <w:r>
              <w:t xml:space="preserve">1</w:t>
            </w:r>
          </w:p>
        </w:tc>
      </w:tr>
    </w:tbl>
    <w:bookmarkEnd w:id="217"/>
    <w:bookmarkStart w:id="218" w:name="a9.2-hors-périmètre"/>
    <w:p>
      <w:pPr>
        <w:pStyle w:val="Heading3"/>
      </w:pPr>
      <w:r>
        <w:t xml:space="preserve">A9.2 Hors périmètre</w:t>
      </w:r>
    </w:p>
    <w:p>
      <w:pPr>
        <w:pStyle w:val="FirstParagraph"/>
      </w:pPr>
      <w:r>
        <w:t xml:space="preserve">Sont explicitement exclus :</w:t>
      </w:r>
    </w:p>
    <w:p>
      <w:pPr>
        <w:numPr>
          <w:ilvl w:val="0"/>
          <w:numId w:val="1040"/>
        </w:numPr>
        <w:pStyle w:val="Compact"/>
      </w:pPr>
      <w:r>
        <w:t xml:space="preserve">la collecte et la diffusion des données économiques nationales, qui demeurent du ressort de la PICE ;</w:t>
      </w:r>
    </w:p>
    <w:p>
      <w:pPr>
        <w:numPr>
          <w:ilvl w:val="0"/>
          <w:numId w:val="1040"/>
        </w:numPr>
        <w:pStyle w:val="Compact"/>
      </w:pPr>
      <w:r>
        <w:t xml:space="preserve">la comptabilité générale, et l’exécution budgétaire proprement dite tant que la décision D-30 n’a pas été rendue : le produit tient un</w:t>
      </w:r>
      <w:r>
        <w:t xml:space="preserve"> </w:t>
      </w:r>
      <w:r>
        <w:rPr>
          <w:bCs/>
          <w:b/>
        </w:rPr>
        <w:t xml:space="preserve">suivi budgétaire de gestion</w:t>
      </w:r>
      <w:r>
        <w:t xml:space="preserve"> </w:t>
      </w:r>
      <w:r>
        <w:t xml:space="preserve">au sens de la section A4.8, qui ne se substitue pas à la chaîne budgétaire du ministère ;</w:t>
      </w:r>
    </w:p>
    <w:p>
      <w:pPr>
        <w:numPr>
          <w:ilvl w:val="0"/>
          <w:numId w:val="1040"/>
        </w:numPr>
        <w:pStyle w:val="Compact"/>
      </w:pPr>
      <w:r>
        <w:rPr>
          <w:bCs/>
          <w:b/>
        </w:rPr>
        <w:t xml:space="preserve">la production de la paie des agents pris en charge par la chaîne Solde du ministère</w:t>
      </w:r>
      <w:r>
        <w:t xml:space="preserve"> </w:t>
      </w:r>
      <w:r>
        <w:t xml:space="preserve">: le produit met à disposition les bulletins produits en amont et n’en refait pas le calcul ;</w:t>
      </w:r>
    </w:p>
    <w:p>
      <w:pPr>
        <w:numPr>
          <w:ilvl w:val="0"/>
          <w:numId w:val="1040"/>
        </w:numPr>
        <w:pStyle w:val="Compact"/>
      </w:pPr>
      <w:r>
        <w:t xml:space="preserve">l’archivage électronique à valeur probante au sens des normes dédiées, identifié comme chantier ultérieur ;</w:t>
      </w:r>
    </w:p>
    <w:p>
      <w:pPr>
        <w:numPr>
          <w:ilvl w:val="0"/>
          <w:numId w:val="1040"/>
        </w:numPr>
        <w:pStyle w:val="Compact"/>
      </w:pPr>
      <w:r>
        <w:t xml:space="preserve">l’évaluation notée du personnel et les procédures disciplinaires, tant que le cadre de gestion correspondant n’a pas été arrêté (décision D-31) : critères, périodicité, entretien et voies de recours pour l’évaluation ; renvoi au statut de la Fonction publique pour la discipline. L’objet « évaluation » figure déjà parmi les objets protégés de la Partie 0, section 3.2 ;</w:t>
      </w:r>
    </w:p>
    <w:p>
      <w:pPr>
        <w:numPr>
          <w:ilvl w:val="0"/>
          <w:numId w:val="1040"/>
        </w:numPr>
        <w:pStyle w:val="Compact"/>
      </w:pPr>
      <w:r>
        <w:t xml:space="preserve">toute langue autre que le français au lancement, l’architecture réservant la possibilité d’un ajout ultérieur ;</w:t>
      </w:r>
    </w:p>
    <w:p>
      <w:pPr>
        <w:numPr>
          <w:ilvl w:val="0"/>
          <w:numId w:val="1040"/>
        </w:numPr>
        <w:pStyle w:val="Compact"/>
      </w:pPr>
      <w:r>
        <w:t xml:space="preserve">l’envoi périodique automatique de rapports sans action de l’utilisateur ;</w:t>
      </w:r>
    </w:p>
    <w:p>
      <w:pPr>
        <w:numPr>
          <w:ilvl w:val="0"/>
          <w:numId w:val="1040"/>
        </w:numPr>
        <w:pStyle w:val="Compact"/>
      </w:pPr>
      <w:r>
        <w:t xml:space="preserve">l’intégration avec des systèmes tiers extérieurs à la DNPEC au lancement.</w:t>
      </w:r>
    </w:p>
    <w:p>
      <w:r>
        <w:br w:type="page"/>
      </w:r>
    </w:p>
    <w:bookmarkEnd w:id="218"/>
    <w:bookmarkEnd w:id="219"/>
    <w:bookmarkEnd w:id="220"/>
    <w:bookmarkStart w:id="314" w:name="partie-b-modélisation-et-simulation"/>
    <w:p>
      <w:pPr>
        <w:pStyle w:val="Heading1"/>
      </w:pPr>
      <w:r>
        <w:t xml:space="preserve">Partie B — Modélisation et simulation</w:t>
      </w:r>
    </w:p>
    <w:p>
      <w:pPr>
        <w:pStyle w:val="FirstParagraph"/>
      </w:pPr>
      <w:r>
        <w:t xml:space="preserve">Cette partie décrit le volet modélisation macroéconomique du produit. Les rôles, statuts, habilitations, la GED et les exigences non fonctionnelles sont ceux de la Partie 0. Les identifiants d’exigences du cahier Plateforme Simulation sont conservés, préfixés</w:t>
      </w:r>
      <w:r>
        <w:t xml:space="preserve"> </w:t>
      </w:r>
      <w:r>
        <w:rPr>
          <w:rStyle w:val="VerbatimChar"/>
        </w:rPr>
        <w:t xml:space="preserve">MOD-</w:t>
      </w:r>
      <w:r>
        <w:t xml:space="preserve">.</w:t>
      </w:r>
    </w:p>
    <w:bookmarkStart w:id="225" w:name="b1.-catalogue-des-modèles"/>
    <w:p>
      <w:pPr>
        <w:pStyle w:val="Heading2"/>
      </w:pPr>
      <w:r>
        <w:t xml:space="preserve">B1. Catalogue des modèles</w:t>
      </w:r>
    </w:p>
    <w:p>
      <w:pPr>
        <w:pStyle w:val="FirstParagraph"/>
      </w:pPr>
      <w:r>
        <w:t xml:space="preserve">Le parc se répartit en trois familles, qui se distinguent par leur moteur de calcul et par leur usage, non par leur importance.</w:t>
      </w:r>
      <w:r>
        <w:t xml:space="preserve"> </w:t>
      </w:r>
      <w:r>
        <w:rPr>
          <w:bCs/>
          <w:b/>
        </w:rPr>
        <w:t xml:space="preserve">Le produit ne réécrit aucun de ces modèles</w:t>
      </w:r>
      <w:r>
        <w:t xml:space="preserve"> </w:t>
      </w:r>
      <w:r>
        <w:t xml:space="preserve">: il les héberge, les exécute et les trace.</w:t>
      </w:r>
    </w:p>
    <w:bookmarkStart w:id="221" w:name="Xc0b423bd0c71abe63e97f46d8b8cc987507f98d"/>
    <w:p>
      <w:pPr>
        <w:pStyle w:val="Heading3"/>
      </w:pPr>
      <w:r>
        <w:t xml:space="preserve">B1.1 Famille A — équilibre général calculable, moteur GAMS</w:t>
      </w:r>
    </w:p>
    <w:tbl>
      <w:tblPr>
        <w:tblStyle w:val="Table"/>
        <w:tblW w:type="dxa" w:w="9354"/>
        <w:tblLayout w:type="fixed"/>
        <w:tblLook w:firstRow="1" w:lastRow="0" w:firstColumn="0" w:lastColumn="0" w:noHBand="0" w:noVBand="0" w:val="0020"/>
        <w:jc w:val="start"/>
      </w:tblPr>
      <w:tblGrid>
        <w:gridCol w:w="1798"/>
        <w:gridCol w:w="2087"/>
        <w:gridCol w:w="1962"/>
        <w:gridCol w:w="1768"/>
        <w:gridCol w:w="1739"/>
      </w:tblGrid>
      <w:tr>
        <w:trPr>
          <w:tblHeader w:val="true"/>
        </w:trPr>
        <w:tc>
          <w:tcPr/>
          <w:p>
            <w:pPr>
              <w:pStyle w:val="Compact"/>
              <w:jc w:val="left"/>
            </w:pPr>
            <w:r>
              <w:t xml:space="preserve">Modèle</w:t>
            </w:r>
          </w:p>
        </w:tc>
        <w:tc>
          <w:tcPr/>
          <w:p>
            <w:pPr>
              <w:pStyle w:val="Compact"/>
              <w:jc w:val="left"/>
            </w:pPr>
            <w:r>
              <w:t xml:space="preserve">Type</w:t>
            </w:r>
          </w:p>
        </w:tc>
        <w:tc>
          <w:tcPr/>
          <w:p>
            <w:pPr>
              <w:pStyle w:val="Compact"/>
              <w:jc w:val="left"/>
            </w:pPr>
            <w:r>
              <w:t xml:space="preserve">Base de données</w:t>
            </w:r>
          </w:p>
        </w:tc>
        <w:tc>
          <w:tcPr/>
          <w:p>
            <w:pPr>
              <w:pStyle w:val="Compact"/>
              <w:jc w:val="left"/>
            </w:pPr>
            <w:r>
              <w:t xml:space="preserve">Horizon</w:t>
            </w:r>
          </w:p>
        </w:tc>
        <w:tc>
          <w:tcPr/>
          <w:p>
            <w:pPr>
              <w:pStyle w:val="Compact"/>
              <w:jc w:val="left"/>
            </w:pPr>
            <w:r>
              <w:t xml:space="preserve">Résolution</w:t>
            </w:r>
          </w:p>
        </w:tc>
      </w:tr>
      <w:tr>
        <w:tc>
          <w:tcPr/>
          <w:p>
            <w:pPr>
              <w:pStyle w:val="Compact"/>
              <w:jc w:val="left"/>
            </w:pPr>
            <w:r>
              <w:t xml:space="preserve">SYLI Standard</w:t>
            </w:r>
          </w:p>
        </w:tc>
        <w:tc>
          <w:tcPr/>
          <w:p>
            <w:pPr>
              <w:pStyle w:val="Compact"/>
              <w:jc w:val="left"/>
            </w:pPr>
            <w:r>
              <w:t xml:space="preserve">EGC national</w:t>
            </w:r>
          </w:p>
        </w:tc>
        <w:tc>
          <w:tcPr/>
          <w:p>
            <w:pPr>
              <w:pStyle w:val="Compact"/>
              <w:jc w:val="left"/>
            </w:pPr>
            <w:r>
              <w:t xml:space="preserve">MCS 2021, 30 produits, 28 branches</w:t>
            </w:r>
          </w:p>
        </w:tc>
        <w:tc>
          <w:tcPr/>
          <w:p>
            <w:pPr>
              <w:pStyle w:val="Compact"/>
              <w:jc w:val="left"/>
            </w:pPr>
            <w:r>
              <w:t xml:space="preserve">Dynamique 2021-2030</w:t>
            </w:r>
          </w:p>
        </w:tc>
        <w:tc>
          <w:tcPr/>
          <w:p>
            <w:pPr>
              <w:pStyle w:val="Compact"/>
              <w:jc w:val="left"/>
            </w:pPr>
            <w:r>
              <w:t xml:space="preserve">CNS</w:t>
            </w:r>
          </w:p>
        </w:tc>
      </w:tr>
      <w:tr>
        <w:tc>
          <w:tcPr/>
          <w:p>
            <w:pPr>
              <w:pStyle w:val="Compact"/>
              <w:jc w:val="left"/>
            </w:pPr>
            <w:r>
              <w:t xml:space="preserve">MEGC Mines</w:t>
            </w:r>
          </w:p>
        </w:tc>
        <w:tc>
          <w:tcPr/>
          <w:p>
            <w:pPr>
              <w:pStyle w:val="Compact"/>
              <w:jc w:val="left"/>
            </w:pPr>
            <w:r>
              <w:t xml:space="preserve">EGC national, variante minière</w:t>
            </w:r>
          </w:p>
        </w:tc>
        <w:tc>
          <w:tcPr/>
          <w:p>
            <w:pPr>
              <w:pStyle w:val="Compact"/>
              <w:jc w:val="left"/>
            </w:pPr>
            <w:r>
              <w:t xml:space="preserve">Matrice étendue, 8 institutions</w:t>
            </w:r>
          </w:p>
        </w:tc>
        <w:tc>
          <w:tcPr/>
          <w:p>
            <w:pPr>
              <w:pStyle w:val="Compact"/>
              <w:jc w:val="left"/>
            </w:pPr>
            <w:r>
              <w:t xml:space="preserve">Dynamique</w:t>
            </w:r>
          </w:p>
        </w:tc>
        <w:tc>
          <w:tcPr/>
          <w:p>
            <w:pPr>
              <w:pStyle w:val="Compact"/>
              <w:jc w:val="left"/>
            </w:pPr>
            <w:r>
              <w:t xml:space="preserve">NLP</w:t>
            </w:r>
          </w:p>
        </w:tc>
      </w:tr>
      <w:tr>
        <w:tc>
          <w:tcPr/>
          <w:p>
            <w:pPr>
              <w:pStyle w:val="Compact"/>
              <w:jc w:val="left"/>
            </w:pPr>
            <w:r>
              <w:t xml:space="preserve">SYLI Finances</w:t>
            </w:r>
          </w:p>
        </w:tc>
        <w:tc>
          <w:tcPr/>
          <w:p>
            <w:pPr>
              <w:pStyle w:val="Compact"/>
              <w:jc w:val="left"/>
            </w:pPr>
            <w:r>
              <w:t xml:space="preserve">EGC avec bloc monétaire et financier, 6 variantes</w:t>
            </w:r>
          </w:p>
        </w:tc>
        <w:tc>
          <w:tcPr/>
          <w:p>
            <w:pPr>
              <w:pStyle w:val="Compact"/>
              <w:jc w:val="left"/>
            </w:pPr>
            <w:r>
              <w:t xml:space="preserve">MCS 2021</w:t>
            </w:r>
          </w:p>
        </w:tc>
        <w:tc>
          <w:tcPr/>
          <w:p>
            <w:pPr>
              <w:pStyle w:val="Compact"/>
              <w:jc w:val="left"/>
            </w:pPr>
            <w:r>
              <w:t xml:space="preserve">Dynamique</w:t>
            </w:r>
          </w:p>
        </w:tc>
        <w:tc>
          <w:tcPr/>
          <w:p>
            <w:pPr>
              <w:pStyle w:val="Compact"/>
              <w:jc w:val="left"/>
            </w:pPr>
            <w:r>
              <w:t xml:space="preserve">CNS</w:t>
            </w:r>
          </w:p>
        </w:tc>
      </w:tr>
      <w:tr>
        <w:tc>
          <w:tcPr/>
          <w:p>
            <w:pPr>
              <w:pStyle w:val="Compact"/>
              <w:jc w:val="left"/>
            </w:pPr>
            <w:r>
              <w:t xml:space="preserve">SYLI Énergie</w:t>
            </w:r>
          </w:p>
        </w:tc>
        <w:tc>
          <w:tcPr/>
          <w:p>
            <w:pPr>
              <w:pStyle w:val="Compact"/>
              <w:jc w:val="left"/>
            </w:pPr>
            <w:r>
              <w:t xml:space="preserve">EGC, structure capital-énergie détaillée</w:t>
            </w:r>
          </w:p>
        </w:tc>
        <w:tc>
          <w:tcPr/>
          <w:p>
            <w:pPr>
              <w:pStyle w:val="Compact"/>
              <w:jc w:val="left"/>
            </w:pPr>
            <w:r>
              <w:t xml:space="preserve">MCS Énergie 2023</w:t>
            </w:r>
          </w:p>
        </w:tc>
        <w:tc>
          <w:tcPr/>
          <w:p>
            <w:pPr>
              <w:pStyle w:val="Compact"/>
              <w:jc w:val="left"/>
            </w:pPr>
            <w:r>
              <w:t xml:space="preserve">Dynamique</w:t>
            </w:r>
          </w:p>
        </w:tc>
        <w:tc>
          <w:tcPr/>
          <w:p>
            <w:pPr>
              <w:pStyle w:val="Compact"/>
              <w:jc w:val="left"/>
            </w:pPr>
            <w:r>
              <w:t xml:space="preserve">NLP</w:t>
            </w:r>
          </w:p>
        </w:tc>
      </w:tr>
      <w:tr>
        <w:tc>
          <w:tcPr/>
          <w:p>
            <w:pPr>
              <w:pStyle w:val="Compact"/>
              <w:jc w:val="left"/>
            </w:pPr>
            <w:r>
              <w:t xml:space="preserve">ECOSIM CEDEAO</w:t>
            </w:r>
          </w:p>
        </w:tc>
        <w:tc>
          <w:tcPr/>
          <w:p>
            <w:pPr>
              <w:pStyle w:val="Compact"/>
              <w:jc w:val="left"/>
            </w:pPr>
            <w:r>
              <w:t xml:space="preserve">Macro-financier régional, 15 pays</w:t>
            </w:r>
          </w:p>
        </w:tc>
        <w:tc>
          <w:tcPr/>
          <w:p>
            <w:pPr>
              <w:pStyle w:val="Compact"/>
              <w:jc w:val="left"/>
            </w:pPr>
            <w:r>
              <w:t xml:space="preserve">Une matrice par pays</w:t>
            </w:r>
          </w:p>
        </w:tc>
        <w:tc>
          <w:tcPr/>
          <w:p>
            <w:pPr>
              <w:pStyle w:val="Compact"/>
              <w:jc w:val="left"/>
            </w:pPr>
            <w:r>
              <w:t xml:space="preserve">Statique</w:t>
            </w:r>
          </w:p>
        </w:tc>
        <w:tc>
          <w:tcPr/>
          <w:p>
            <w:pPr>
              <w:pStyle w:val="Compact"/>
              <w:jc w:val="left"/>
            </w:pPr>
            <w:r>
              <w:t xml:space="preserve">CNS</w:t>
            </w:r>
          </w:p>
        </w:tc>
      </w:tr>
      <w:tr>
        <w:tc>
          <w:tcPr/>
          <w:p>
            <w:pPr>
              <w:pStyle w:val="Compact"/>
              <w:jc w:val="left"/>
            </w:pPr>
            <w:r>
              <w:t xml:space="preserve">Agricole (agPMP)</w:t>
            </w:r>
          </w:p>
        </w:tc>
        <w:tc>
          <w:tcPr/>
          <w:p>
            <w:pPr>
              <w:pStyle w:val="Compact"/>
              <w:jc w:val="left"/>
            </w:pPr>
            <w:r>
              <w:t xml:space="preserve">Programmation mathématique positive, ferme et région</w:t>
            </w:r>
          </w:p>
        </w:tc>
        <w:tc>
          <w:tcPr/>
          <w:p>
            <w:pPr>
              <w:pStyle w:val="Compact"/>
              <w:jc w:val="left"/>
            </w:pPr>
            <w:r>
              <w:t xml:space="preserve">Comptes agricoles, hors MCS nationale</w:t>
            </w:r>
          </w:p>
        </w:tc>
        <w:tc>
          <w:tcPr/>
          <w:p>
            <w:pPr>
              <w:pStyle w:val="Compact"/>
              <w:jc w:val="left"/>
            </w:pPr>
            <w:r>
              <w:t xml:space="preserve">Statique</w:t>
            </w:r>
          </w:p>
        </w:tc>
        <w:tc>
          <w:tcPr/>
          <w:p>
            <w:pPr>
              <w:pStyle w:val="Compact"/>
              <w:jc w:val="left"/>
            </w:pPr>
            <w:r>
              <w:t xml:space="preserve">NLP, calibrage en deux étapes</w:t>
            </w:r>
          </w:p>
        </w:tc>
      </w:tr>
    </w:tbl>
    <w:p>
      <w:pPr>
        <w:pStyle w:val="BodyText"/>
      </w:pPr>
      <w:r>
        <w:t xml:space="preserve">Standard, Mines, Finances et Énergie partagent une même architecture d’EGC, avec des matrices de référence et des structures de production différentes. ECOSIM et agPMP sont structurellement à part — échelle, méthode de résolution et données de base différentes. Ces écarts se traitent par un adaptateur d’exécution commun et une fiche d’identité par modèle,</w:t>
      </w:r>
      <w:r>
        <w:t xml:space="preserve"> </w:t>
      </w:r>
      <w:r>
        <w:rPr>
          <w:bCs/>
          <w:b/>
        </w:rPr>
        <w:t xml:space="preserve">non par un développement sur mesure pour chacun</w:t>
      </w:r>
      <w:r>
        <w:t xml:space="preserve">.</w:t>
      </w:r>
    </w:p>
    <w:bookmarkEnd w:id="221"/>
    <w:bookmarkStart w:id="222" w:name="X6a812e661c446426e2450da3f3d74bbdd51fb11"/>
    <w:p>
      <w:pPr>
        <w:pStyle w:val="Heading3"/>
      </w:pPr>
      <w:r>
        <w:t xml:space="preserve">B1.2 Famille B — cadrage macro-budgétaire, moteur Excel ou Python</w:t>
      </w:r>
    </w:p>
    <w:tbl>
      <w:tblPr>
        <w:tblStyle w:val="Table"/>
        <w:tblW w:type="dxa" w:w="9354"/>
        <w:tblLayout w:type="fixed"/>
        <w:tblLook w:firstRow="1" w:lastRow="0" w:firstColumn="0" w:lastColumn="0" w:noHBand="0" w:noVBand="0" w:val="0020"/>
        <w:jc w:val="start"/>
      </w:tblPr>
      <w:tblGrid>
        <w:gridCol w:w="1888"/>
        <w:gridCol w:w="2147"/>
        <w:gridCol w:w="1784"/>
        <w:gridCol w:w="1680"/>
        <w:gridCol w:w="1855"/>
      </w:tblGrid>
      <w:tr>
        <w:trPr>
          <w:tblHeader w:val="true"/>
        </w:trPr>
        <w:tc>
          <w:tcPr/>
          <w:p>
            <w:pPr>
              <w:pStyle w:val="Compact"/>
              <w:jc w:val="left"/>
            </w:pPr>
            <w:r>
              <w:t xml:space="preserve">Modèle</w:t>
            </w:r>
          </w:p>
        </w:tc>
        <w:tc>
          <w:tcPr/>
          <w:p>
            <w:pPr>
              <w:pStyle w:val="Compact"/>
              <w:jc w:val="left"/>
            </w:pPr>
            <w:r>
              <w:t xml:space="preserve">Objet</w:t>
            </w:r>
          </w:p>
        </w:tc>
        <w:tc>
          <w:tcPr/>
          <w:p>
            <w:pPr>
              <w:pStyle w:val="Compact"/>
              <w:jc w:val="left"/>
            </w:pPr>
            <w:r>
              <w:t xml:space="preserve">Fréquence</w:t>
            </w:r>
          </w:p>
        </w:tc>
        <w:tc>
          <w:tcPr/>
          <w:p>
            <w:pPr>
              <w:pStyle w:val="Compact"/>
              <w:jc w:val="left"/>
            </w:pPr>
            <w:r>
              <w:t xml:space="preserve">Horizon</w:t>
            </w:r>
          </w:p>
        </w:tc>
        <w:tc>
          <w:tcPr/>
          <w:p>
            <w:pPr>
              <w:pStyle w:val="Compact"/>
              <w:jc w:val="left"/>
            </w:pPr>
            <w:r>
              <w:t xml:space="preserve">Statut</w:t>
            </w:r>
          </w:p>
        </w:tc>
      </w:tr>
      <w:tr>
        <w:tc>
          <w:tcPr/>
          <w:p>
            <w:pPr>
              <w:pStyle w:val="Compact"/>
              <w:jc w:val="left"/>
            </w:pPr>
            <w:r>
              <w:t xml:space="preserve">Programmation financière trimestrielle Guinée</w:t>
            </w:r>
          </w:p>
        </w:tc>
        <w:tc>
          <w:tcPr/>
          <w:p>
            <w:pPr>
              <w:pStyle w:val="Compact"/>
              <w:jc w:val="left"/>
            </w:pPr>
            <w:r>
              <w:t xml:space="preserve">Cadre intégré quatre secteurs (réel, finances publiques, extérieur, monétaire), support du RPEF</w:t>
            </w:r>
          </w:p>
        </w:tc>
        <w:tc>
          <w:tcPr/>
          <w:p>
            <w:pPr>
              <w:pStyle w:val="Compact"/>
              <w:jc w:val="left"/>
            </w:pPr>
            <w:r>
              <w:t xml:space="preserve">Trimestrielle</w:t>
            </w:r>
          </w:p>
        </w:tc>
        <w:tc>
          <w:tcPr/>
          <w:p>
            <w:pPr>
              <w:pStyle w:val="Compact"/>
              <w:jc w:val="left"/>
            </w:pPr>
            <w:r>
              <w:t xml:space="preserve">2026-2030</w:t>
            </w:r>
          </w:p>
        </w:tc>
        <w:tc>
          <w:tcPr/>
          <w:p>
            <w:pPr>
              <w:pStyle w:val="Compact"/>
              <w:jc w:val="left"/>
            </w:pPr>
            <w:r>
              <w:t xml:space="preserve">En consolidation</w:t>
            </w:r>
          </w:p>
        </w:tc>
      </w:tr>
      <w:tr>
        <w:tc>
          <w:tcPr/>
          <w:p>
            <w:pPr>
              <w:pStyle w:val="Compact"/>
              <w:jc w:val="left"/>
            </w:pPr>
            <w:r>
              <w:t xml:space="preserve">TOFE (MSFP 2014)</w:t>
            </w:r>
          </w:p>
        </w:tc>
        <w:tc>
          <w:tcPr/>
          <w:p>
            <w:pPr>
              <w:pStyle w:val="Compact"/>
              <w:jc w:val="left"/>
            </w:pPr>
            <w:r>
              <w:t xml:space="preserve">Opérations financières de l’État</w:t>
            </w:r>
          </w:p>
        </w:tc>
        <w:tc>
          <w:tcPr/>
          <w:p>
            <w:pPr>
              <w:pStyle w:val="Compact"/>
              <w:jc w:val="left"/>
            </w:pPr>
            <w:r>
              <w:t xml:space="preserve">Mensuelle et trimestrielle</w:t>
            </w:r>
          </w:p>
        </w:tc>
        <w:tc>
          <w:tcPr/>
          <w:p>
            <w:pPr>
              <w:pStyle w:val="Compact"/>
              <w:jc w:val="left"/>
            </w:pPr>
            <w:r>
              <w:t xml:space="preserve">Continu</w:t>
            </w:r>
          </w:p>
        </w:tc>
        <w:tc>
          <w:tcPr/>
          <w:p>
            <w:pPr>
              <w:pStyle w:val="Compact"/>
              <w:jc w:val="left"/>
            </w:pPr>
            <w:r>
              <w:t xml:space="preserve">Opérationnel</w:t>
            </w:r>
          </w:p>
        </w:tc>
      </w:tr>
      <w:tr>
        <w:tc>
          <w:tcPr/>
          <w:p>
            <w:pPr>
              <w:pStyle w:val="Compact"/>
              <w:jc w:val="left"/>
            </w:pPr>
            <w:r>
              <w:t xml:space="preserve">Module Dette / AVD</w:t>
            </w:r>
          </w:p>
        </w:tc>
        <w:tc>
          <w:tcPr/>
          <w:p>
            <w:pPr>
              <w:pStyle w:val="Compact"/>
              <w:jc w:val="left"/>
            </w:pPr>
            <w:r>
              <w:t xml:space="preserve">Soutenabilité de la dette</w:t>
            </w:r>
          </w:p>
        </w:tc>
        <w:tc>
          <w:tcPr/>
          <w:p>
            <w:pPr>
              <w:pStyle w:val="Compact"/>
              <w:jc w:val="left"/>
            </w:pPr>
            <w:r>
              <w:t xml:space="preserve">Annuelle</w:t>
            </w:r>
          </w:p>
        </w:tc>
        <w:tc>
          <w:tcPr/>
          <w:p>
            <w:pPr>
              <w:pStyle w:val="Compact"/>
              <w:jc w:val="left"/>
            </w:pPr>
            <w:r>
              <w:t xml:space="preserve">2040</w:t>
            </w:r>
          </w:p>
        </w:tc>
        <w:tc>
          <w:tcPr/>
          <w:p>
            <w:pPr>
              <w:pStyle w:val="Compact"/>
              <w:jc w:val="left"/>
            </w:pPr>
            <w:r>
              <w:t xml:space="preserve">Composante de la programmation financière</w:t>
            </w:r>
          </w:p>
        </w:tc>
      </w:tr>
    </w:tbl>
    <w:bookmarkEnd w:id="222"/>
    <w:bookmarkStart w:id="223" w:name="X0fd28402df39dfa23bb4bce53d3c6d9833df7bc"/>
    <w:p>
      <w:pPr>
        <w:pStyle w:val="Heading3"/>
      </w:pPr>
      <w:r>
        <w:t xml:space="preserve">B1.3 Famille C — modèles économétriques et sectoriels</w:t>
      </w:r>
    </w:p>
    <w:tbl>
      <w:tblPr>
        <w:tblStyle w:val="Table"/>
        <w:tblW w:type="dxa" w:w="9354"/>
        <w:tblLayout w:type="fixed"/>
        <w:tblLook w:firstRow="1" w:lastRow="0" w:firstColumn="0" w:lastColumn="0" w:noHBand="0" w:noVBand="0" w:val="0020"/>
        <w:jc w:val="start"/>
      </w:tblPr>
      <w:tblGrid>
        <w:gridCol w:w="2378"/>
        <w:gridCol w:w="2393"/>
        <w:gridCol w:w="2253"/>
        <w:gridCol w:w="2330"/>
      </w:tblGrid>
      <w:tr>
        <w:trPr>
          <w:tblHeader w:val="true"/>
        </w:trPr>
        <w:tc>
          <w:tcPr/>
          <w:p>
            <w:pPr>
              <w:pStyle w:val="Compact"/>
              <w:jc w:val="left"/>
            </w:pPr>
            <w:r>
              <w:t xml:space="preserve">Modèle</w:t>
            </w:r>
          </w:p>
        </w:tc>
        <w:tc>
          <w:tcPr/>
          <w:p>
            <w:pPr>
              <w:pStyle w:val="Compact"/>
              <w:jc w:val="left"/>
            </w:pPr>
            <w:r>
              <w:t xml:space="preserve">Objet</w:t>
            </w:r>
          </w:p>
        </w:tc>
        <w:tc>
          <w:tcPr/>
          <w:p>
            <w:pPr>
              <w:pStyle w:val="Compact"/>
              <w:jc w:val="left"/>
            </w:pPr>
            <w:r>
              <w:t xml:space="preserve">Fréquence</w:t>
            </w:r>
          </w:p>
        </w:tc>
        <w:tc>
          <w:tcPr/>
          <w:p>
            <w:pPr>
              <w:pStyle w:val="Compact"/>
              <w:jc w:val="left"/>
            </w:pPr>
            <w:r>
              <w:t xml:space="preserve">Statut</w:t>
            </w:r>
          </w:p>
        </w:tc>
      </w:tr>
      <w:tr>
        <w:tc>
          <w:tcPr/>
          <w:p>
            <w:pPr>
              <w:pStyle w:val="Compact"/>
              <w:jc w:val="left"/>
            </w:pPr>
            <w:r>
              <w:t xml:space="preserve">IHPC</w:t>
            </w:r>
          </w:p>
        </w:tc>
        <w:tc>
          <w:tcPr/>
          <w:p>
            <w:pPr>
              <w:pStyle w:val="Compact"/>
              <w:jc w:val="left"/>
            </w:pPr>
            <w:r>
              <w:t xml:space="preserve">Inflation</w:t>
            </w:r>
          </w:p>
        </w:tc>
        <w:tc>
          <w:tcPr/>
          <w:p>
            <w:pPr>
              <w:pStyle w:val="Compact"/>
              <w:jc w:val="left"/>
            </w:pPr>
            <w:r>
              <w:t xml:space="preserve">Trimestrielle</w:t>
            </w:r>
          </w:p>
        </w:tc>
        <w:tc>
          <w:tcPr/>
          <w:p>
            <w:pPr>
              <w:pStyle w:val="Compact"/>
              <w:jc w:val="left"/>
            </w:pPr>
            <w:r>
              <w:t xml:space="preserve">Opérationnel</w:t>
            </w:r>
          </w:p>
        </w:tc>
      </w:tr>
      <w:tr>
        <w:tc>
          <w:tcPr/>
          <w:p>
            <w:pPr>
              <w:pStyle w:val="Compact"/>
              <w:jc w:val="left"/>
            </w:pPr>
            <w:r>
              <w:t xml:space="preserve">PIB_3FEUILLES</w:t>
            </w:r>
          </w:p>
        </w:tc>
        <w:tc>
          <w:tcPr/>
          <w:p>
            <w:pPr>
              <w:pStyle w:val="Compact"/>
              <w:jc w:val="left"/>
            </w:pPr>
            <w:r>
              <w:t xml:space="preserve">PIB, approche offre</w:t>
            </w:r>
          </w:p>
        </w:tc>
        <w:tc>
          <w:tcPr/>
          <w:p>
            <w:pPr>
              <w:pStyle w:val="Compact"/>
              <w:jc w:val="left"/>
            </w:pPr>
            <w:r>
              <w:t xml:space="preserve">Annuelle</w:t>
            </w:r>
          </w:p>
        </w:tc>
        <w:tc>
          <w:tcPr/>
          <w:p>
            <w:pPr>
              <w:pStyle w:val="Compact"/>
              <w:jc w:val="left"/>
            </w:pPr>
            <w:r>
              <w:t xml:space="preserve">Opérationnel</w:t>
            </w:r>
          </w:p>
        </w:tc>
      </w:tr>
      <w:tr>
        <w:tc>
          <w:tcPr/>
          <w:p>
            <w:pPr>
              <w:pStyle w:val="Compact"/>
              <w:jc w:val="left"/>
            </w:pPr>
            <w:r>
              <w:t xml:space="preserve">PIB_DEMANDE</w:t>
            </w:r>
          </w:p>
        </w:tc>
        <w:tc>
          <w:tcPr/>
          <w:p>
            <w:pPr>
              <w:pStyle w:val="Compact"/>
              <w:jc w:val="left"/>
            </w:pPr>
            <w:r>
              <w:t xml:space="preserve">PIB, approche demande, 6 composantes</w:t>
            </w:r>
          </w:p>
        </w:tc>
        <w:tc>
          <w:tcPr/>
          <w:p>
            <w:pPr>
              <w:pStyle w:val="Compact"/>
              <w:jc w:val="left"/>
            </w:pPr>
            <w:r>
              <w:t xml:space="preserve">Trimestrielle</w:t>
            </w:r>
          </w:p>
        </w:tc>
        <w:tc>
          <w:tcPr/>
          <w:p>
            <w:pPr>
              <w:pStyle w:val="Compact"/>
              <w:jc w:val="left"/>
            </w:pPr>
            <w:r>
              <w:t xml:space="preserve">Opérationnel</w:t>
            </w:r>
          </w:p>
        </w:tc>
      </w:tr>
      <w:tr>
        <w:tc>
          <w:tcPr/>
          <w:p>
            <w:pPr>
              <w:pStyle w:val="Compact"/>
              <w:jc w:val="left"/>
            </w:pPr>
            <w:r>
              <w:t xml:space="preserve">Input-Output, 31 branches, TRE 2021</w:t>
            </w:r>
          </w:p>
        </w:tc>
        <w:tc>
          <w:tcPr/>
          <w:p>
            <w:pPr>
              <w:pStyle w:val="Compact"/>
              <w:jc w:val="left"/>
            </w:pPr>
            <w:r>
              <w:t xml:space="preserve">Analyse sectorielle</w:t>
            </w:r>
          </w:p>
        </w:tc>
        <w:tc>
          <w:tcPr/>
          <w:p>
            <w:pPr>
              <w:pStyle w:val="Compact"/>
              <w:jc w:val="left"/>
            </w:pPr>
            <w:r>
              <w:t xml:space="preserve">Annuelle</w:t>
            </w:r>
          </w:p>
        </w:tc>
        <w:tc>
          <w:tcPr/>
          <w:p>
            <w:pPr>
              <w:pStyle w:val="Compact"/>
              <w:jc w:val="left"/>
            </w:pPr>
            <w:r>
              <w:t xml:space="preserve">Disponible</w:t>
            </w:r>
          </w:p>
        </w:tc>
      </w:tr>
      <w:tr>
        <w:tc>
          <w:tcPr/>
          <w:p>
            <w:pPr>
              <w:pStyle w:val="Compact"/>
              <w:jc w:val="left"/>
            </w:pPr>
            <w:r>
              <w:t xml:space="preserve">Prévision infra-annuelle, 4 secteurs</w:t>
            </w:r>
          </w:p>
        </w:tc>
        <w:tc>
          <w:tcPr/>
          <w:p>
            <w:pPr>
              <w:pStyle w:val="Compact"/>
              <w:jc w:val="left"/>
            </w:pPr>
            <w:r>
              <w:t xml:space="preserve">Sectoriel infra-annuel</w:t>
            </w:r>
          </w:p>
        </w:tc>
        <w:tc>
          <w:tcPr/>
          <w:p>
            <w:pPr>
              <w:pStyle w:val="Compact"/>
              <w:jc w:val="left"/>
            </w:pPr>
            <w:r>
              <w:t xml:space="preserve">Infra-annuelle</w:t>
            </w:r>
          </w:p>
        </w:tc>
        <w:tc>
          <w:tcPr/>
          <w:p>
            <w:pPr>
              <w:pStyle w:val="Compact"/>
              <w:jc w:val="left"/>
            </w:pPr>
            <w:r>
              <w:t xml:space="preserve">En conception, hors périmètre initial</w:t>
            </w:r>
          </w:p>
        </w:tc>
      </w:tr>
    </w:tbl>
    <w:bookmarkEnd w:id="223"/>
    <w:bookmarkStart w:id="224" w:name="b1.4-priorité-dintégration"/>
    <w:p>
      <w:pPr>
        <w:pStyle w:val="Heading3"/>
      </w:pPr>
      <w:r>
        <w:t xml:space="preserve">B1.4 Priorité d’intégration</w:t>
      </w:r>
    </w:p>
    <w:p>
      <w:pPr>
        <w:pStyle w:val="FirstParagraph"/>
      </w:pPr>
      <w:r>
        <w:t xml:space="preserve">L’ordre suit le lotissement de la Partie 0, section 12 : un modèle EGC de référence (SYLI Standard) au lot 2, les cinq autres modèles GAMS au lot 4, la famille B puis la famille C au lot 6. Le modèle de prévision infra-annuelle est intégré une fois sa conception stabilisée et n’entre pas dans le périmètre de réception initial (décision D-26).</w:t>
      </w:r>
    </w:p>
    <w:bookmarkEnd w:id="224"/>
    <w:bookmarkEnd w:id="225"/>
    <w:bookmarkStart w:id="229" w:name="Xdc1dbad07794df48d997ba061b7272fc2a0b8ba"/>
    <w:p>
      <w:pPr>
        <w:pStyle w:val="Heading2"/>
      </w:pPr>
      <w:r>
        <w:t xml:space="preserve">B2. Préalable — état des lieux et versions faisant foi</w:t>
      </w:r>
    </w:p>
    <w:p>
      <w:pPr>
        <w:pStyle w:val="FirstParagraph"/>
      </w:pPr>
      <w:r>
        <w:t xml:space="preserve">Ce travail conditionne tout le reste et ne peut pas être délégué au produit : un outil qui hérite de l’incertitude actuelle lui donne simplement l’apparence de l’autorité. Il est conduit en interne, par les économistes de la Direction, en amont et en parallèle du développement (Partie 0, section 12.1).</w:t>
      </w:r>
    </w:p>
    <w:bookmarkStart w:id="226" w:name="b2.1-contenu-de-létat-des-lieux"/>
    <w:p>
      <w:pPr>
        <w:pStyle w:val="Heading3"/>
      </w:pPr>
      <w:r>
        <w:t xml:space="preserve">B2.1 Contenu de l’état des lieux</w:t>
      </w:r>
    </w:p>
    <w:p>
      <w:pPr>
        <w:pStyle w:val="FirstParagraph"/>
      </w:pPr>
      <w:r>
        <w:t xml:space="preserve">Pour chaque modèle du catalogue, une fiche comportant :</w:t>
      </w:r>
    </w:p>
    <w:p>
      <w:pPr>
        <w:numPr>
          <w:ilvl w:val="0"/>
          <w:numId w:val="1041"/>
        </w:numPr>
        <w:pStyle w:val="Compact"/>
      </w:pPr>
      <w:r>
        <w:t xml:space="preserve">le fichier qui fait foi, son emplacement et sa date ;</w:t>
      </w:r>
    </w:p>
    <w:p>
      <w:pPr>
        <w:numPr>
          <w:ilvl w:val="0"/>
          <w:numId w:val="1041"/>
        </w:numPr>
        <w:pStyle w:val="Compact"/>
      </w:pPr>
      <w:r>
        <w:t xml:space="preserve">la liste des variantes existantes et, pour chacune, la décision : conservée comme version, archivée, ou écartée ;</w:t>
      </w:r>
    </w:p>
    <w:p>
      <w:pPr>
        <w:numPr>
          <w:ilvl w:val="0"/>
          <w:numId w:val="1041"/>
        </w:numPr>
        <w:pStyle w:val="Compact"/>
      </w:pPr>
      <w:r>
        <w:t xml:space="preserve">la base de données ou la matrice sur laquelle le modèle est calibré, avec son année et sa source ;</w:t>
      </w:r>
    </w:p>
    <w:p>
      <w:pPr>
        <w:numPr>
          <w:ilvl w:val="0"/>
          <w:numId w:val="1041"/>
        </w:numPr>
        <w:pStyle w:val="Compact"/>
      </w:pPr>
      <w:r>
        <w:t xml:space="preserve">la date du dernier calibrage validé et la personne qui l’a validé ;</w:t>
      </w:r>
    </w:p>
    <w:p>
      <w:pPr>
        <w:numPr>
          <w:ilvl w:val="0"/>
          <w:numId w:val="1041"/>
        </w:numPr>
        <w:pStyle w:val="Compact"/>
      </w:pPr>
      <w:r>
        <w:t xml:space="preserve">le résultat du test de réplication de l’année de base, exécuté à l’occasion de cet état des lieux ;</w:t>
      </w:r>
    </w:p>
    <w:p>
      <w:pPr>
        <w:numPr>
          <w:ilvl w:val="0"/>
          <w:numId w:val="1041"/>
        </w:numPr>
        <w:pStyle w:val="Compact"/>
      </w:pPr>
      <w:r>
        <w:t xml:space="preserve">le responsable désigné du modèle ;</w:t>
      </w:r>
    </w:p>
    <w:p>
      <w:pPr>
        <w:numPr>
          <w:ilvl w:val="0"/>
          <w:numId w:val="1041"/>
        </w:numPr>
        <w:pStyle w:val="Compact"/>
      </w:pPr>
      <w:r>
        <w:t xml:space="preserve">les dépendances externes : version de GAMS, solveur, classeurs liés, macros.</w:t>
      </w:r>
    </w:p>
    <w:bookmarkEnd w:id="226"/>
    <w:bookmarkStart w:id="227" w:name="b2.2-livrable"/>
    <w:p>
      <w:pPr>
        <w:pStyle w:val="Heading3"/>
      </w:pPr>
      <w:r>
        <w:t xml:space="preserve">B2.2 Livrable</w:t>
      </w:r>
    </w:p>
    <w:p>
      <w:pPr>
        <w:pStyle w:val="FirstParagraph"/>
      </w:pPr>
      <w:r>
        <w:t xml:space="preserve">Un</w:t>
      </w:r>
      <w:r>
        <w:t xml:space="preserve"> </w:t>
      </w:r>
      <w:r>
        <w:rPr>
          <w:bCs/>
          <w:b/>
        </w:rPr>
        <w:t xml:space="preserve">registre unique des modèles</w:t>
      </w:r>
      <w:r>
        <w:t xml:space="preserve">, validé par le chef de division, désignant sans ambiguïté une version active par modèle. Charge estimée : deux à trois semaines de travail interne pour l’ensemble du parc, mobilisant les responsables de modèles.</w:t>
      </w:r>
    </w:p>
    <w:p>
      <w:pPr>
        <w:pStyle w:val="BodyText"/>
      </w:pPr>
      <w:r>
        <w:t xml:space="preserve">Ce registre constitue le contenu initial du référentiel (B3) et le jeu de tests de non-régression de la recette.</w:t>
      </w:r>
      <w:r>
        <w:t xml:space="preserve"> </w:t>
      </w:r>
      <w:r>
        <w:rPr>
          <w:bCs/>
          <w:b/>
        </w:rPr>
        <w:t xml:space="preserve">À la mise en service d’un modèle, les fichiers correspondants conservés sur les postes et les partages de la division sont gelés en lecture seule et archivés</w:t>
      </w:r>
      <w:r>
        <w:t xml:space="preserve"> </w:t>
      </w:r>
      <w:r>
        <w:t xml:space="preserve">: c’est la mesure concrète qui fait vivre le principe du référentiel faisant foi. Elle engage la Direction au-delà de l’outil et suppose son adhésion explicite (décision D-11).</w:t>
      </w:r>
    </w:p>
    <w:bookmarkEnd w:id="227"/>
    <w:bookmarkStart w:id="228" w:name="X732e93a982b97a5f33ca7efabd5c9cc7859f83d"/>
    <w:p>
      <w:pPr>
        <w:pStyle w:val="Heading3"/>
      </w:pPr>
      <w:r>
        <w:t xml:space="preserve">B2.3 Effet sur le risque de perte d’expertise</w:t>
      </w:r>
    </w:p>
    <w:p>
      <w:pPr>
        <w:pStyle w:val="FirstParagraph"/>
      </w:pPr>
      <w:r>
        <w:t xml:space="preserve">L’état des lieux, complété par la documentation rétrospective de chaque modèle — structure, fermetures, sources de la matrice, paramétrage — est la seule réponse réelle au départ de l’expert concepteur. Le copilote assisté de la section B7 en est un complément d’usage courant, pas un substitut : il opère sur des modèles documentés, pas sur des modèles dont personne ne connaît plus la structure.</w:t>
      </w:r>
    </w:p>
    <w:bookmarkEnd w:id="228"/>
    <w:bookmarkEnd w:id="229"/>
    <w:bookmarkStart w:id="234" w:name="X5b621c9a06c07842ce60634af09fb84c7dadb0e"/>
    <w:p>
      <w:pPr>
        <w:pStyle w:val="Heading2"/>
      </w:pPr>
      <w:r>
        <w:t xml:space="preserve">B3. Référentiel des modèles et fiche de simulation</w:t>
      </w:r>
    </w:p>
    <w:p>
      <w:pPr>
        <w:pStyle w:val="FirstParagraph"/>
      </w:pPr>
      <w:r>
        <w:t xml:space="preserve">Deux objets structurent tout le domaine B : le</w:t>
      </w:r>
      <w:r>
        <w:t xml:space="preserve"> </w:t>
      </w:r>
      <w:r>
        <w:rPr>
          <w:bCs/>
          <w:b/>
        </w:rPr>
        <w:t xml:space="preserve">référentiel</w:t>
      </w:r>
      <w:r>
        <w:t xml:space="preserve">, qui dit ce qui fait foi, et la</w:t>
      </w:r>
      <w:r>
        <w:t xml:space="preserve"> </w:t>
      </w:r>
      <w:r>
        <w:rPr>
          <w:bCs/>
          <w:b/>
        </w:rPr>
        <w:t xml:space="preserve">fiche de simulation</w:t>
      </w:r>
      <w:r>
        <w:t xml:space="preserve">, qui dit ce qui a été fait. Tout le reste — interface assistée, graphiques, rapports — est une vue construite sur ces deux objets.</w:t>
      </w:r>
    </w:p>
    <w:bookmarkStart w:id="230" w:name="b3.1-le-référentiel"/>
    <w:p>
      <w:pPr>
        <w:pStyle w:val="Heading3"/>
      </w:pPr>
      <w:r>
        <w:t xml:space="preserve">B3.1 Le référentiel</w:t>
      </w:r>
    </w:p>
    <w:p>
      <w:pPr>
        <w:pStyle w:val="FirstParagraph"/>
      </w:pPr>
      <w:r>
        <w:t xml:space="preserve">Pour chaque modèle, le référentiel conserve :</w:t>
      </w:r>
    </w:p>
    <w:p>
      <w:pPr>
        <w:numPr>
          <w:ilvl w:val="0"/>
          <w:numId w:val="1042"/>
        </w:numPr>
        <w:pStyle w:val="Compact"/>
      </w:pPr>
      <w:r>
        <w:t xml:space="preserve">une</w:t>
      </w:r>
      <w:r>
        <w:t xml:space="preserve"> </w:t>
      </w:r>
      <w:r>
        <w:rPr>
          <w:bCs/>
          <w:b/>
        </w:rPr>
        <w:t xml:space="preserve">fiche d’identité</w:t>
      </w:r>
      <w:r>
        <w:t xml:space="preserve"> </w:t>
      </w:r>
      <w:r>
        <w:t xml:space="preserve">: intitulé courant et non technique, description, famille, moteur, responsable, données dont le modèle a besoin, chocs qu’il accepte, résultats qu’il produit ;</w:t>
      </w:r>
    </w:p>
    <w:p>
      <w:pPr>
        <w:numPr>
          <w:ilvl w:val="0"/>
          <w:numId w:val="1042"/>
        </w:numPr>
        <w:pStyle w:val="Compact"/>
      </w:pPr>
      <w:r>
        <w:t xml:space="preserve">des</w:t>
      </w:r>
      <w:r>
        <w:t xml:space="preserve"> </w:t>
      </w:r>
      <w:r>
        <w:rPr>
          <w:bCs/>
          <w:b/>
        </w:rPr>
        <w:t xml:space="preserve">versions</w:t>
      </w:r>
      <w:r>
        <w:t xml:space="preserve"> </w:t>
      </w:r>
      <w:r>
        <w:t xml:space="preserve">successives et immuables : fichiers du modèle, date de dépôt, auteur, note de version, indication de celle qui est active ;</w:t>
      </w:r>
    </w:p>
    <w:p>
      <w:pPr>
        <w:numPr>
          <w:ilvl w:val="0"/>
          <w:numId w:val="1042"/>
        </w:numPr>
        <w:pStyle w:val="Compact"/>
      </w:pPr>
      <w:r>
        <w:t xml:space="preserve">les</w:t>
      </w:r>
      <w:r>
        <w:t xml:space="preserve"> </w:t>
      </w:r>
      <w:r>
        <w:rPr>
          <w:bCs/>
          <w:b/>
        </w:rPr>
        <w:t xml:space="preserve">bases de référence associées</w:t>
      </w:r>
      <w:r>
        <w:t xml:space="preserve"> </w:t>
      </w:r>
      <w:r>
        <w:t xml:space="preserve">: matrice de comptabilité sociale, base trimestrielle ou comptes sectoriels, chacune versionnée par année, source et date d’import ;</w:t>
      </w:r>
    </w:p>
    <w:p>
      <w:pPr>
        <w:numPr>
          <w:ilvl w:val="0"/>
          <w:numId w:val="1042"/>
        </w:numPr>
        <w:pStyle w:val="Compact"/>
      </w:pPr>
      <w:r>
        <w:t xml:space="preserve">l’</w:t>
      </w:r>
      <w:r>
        <w:rPr>
          <w:bCs/>
          <w:b/>
        </w:rPr>
        <w:t xml:space="preserve">état de calibrage</w:t>
      </w:r>
      <w:r>
        <w:t xml:space="preserve"> </w:t>
      </w:r>
      <w:r>
        <w:t xml:space="preserve">de chaque version : date, contrôles passés, responsable de la validation.</w:t>
      </w:r>
    </w:p>
    <w:p>
      <w:pPr>
        <w:pStyle w:val="FirstParagraph"/>
      </w:pPr>
      <w:r>
        <w:rPr>
          <w:bCs/>
          <w:b/>
        </w:rPr>
        <w:t xml:space="preserve">Une version déposée n’est jamais écrasée ni modifiée.</w:t>
      </w:r>
      <w:r>
        <w:t xml:space="preserve"> </w:t>
      </w:r>
      <w:r>
        <w:t xml:space="preserve">Une modification produit une nouvelle version. Les versions antérieures et leurs bases restent disponibles pour rejouer d’anciennes simulations.</w:t>
      </w:r>
    </w:p>
    <w:p>
      <w:pPr>
        <w:pStyle w:val="BodyText"/>
      </w:pPr>
      <w:r>
        <w:t xml:space="preserve">La case « chocs possibles » est facultative : un modèle de projection sans mécanisme de choc structuré est accueilli normalement.</w:t>
      </w:r>
    </w:p>
    <w:bookmarkEnd w:id="230"/>
    <w:bookmarkStart w:id="231" w:name="b3.2-états-dune-version-de-modèle"/>
    <w:p>
      <w:pPr>
        <w:pStyle w:val="Heading3"/>
      </w:pPr>
      <w:r>
        <w:t xml:space="preserve">B3.2 États d’une version de modèle</w:t>
      </w:r>
    </w:p>
    <w:p>
      <w:pPr>
        <w:pStyle w:val="FirstParagraph"/>
      </w:pPr>
      <w:r>
        <w:t xml:space="preserve">Déposée → Contrôles en cours → Conforme ou Non conforme → Active → Remplacée → Archivée. Le dépôt exige une fiche d’identité complète et une base associée désignée. L’activation d’une version qui échoue aux contrôles exige une dérogation explicite et tracée du responsable du modèle.</w:t>
      </w:r>
    </w:p>
    <w:bookmarkEnd w:id="231"/>
    <w:bookmarkStart w:id="232" w:name="b3.3-la-fiche-de-simulation"/>
    <w:p>
      <w:pPr>
        <w:pStyle w:val="Heading3"/>
      </w:pPr>
      <w:r>
        <w:t xml:space="preserve">B3.3 La fiche de simulation</w:t>
      </w:r>
    </w:p>
    <w:p>
      <w:pPr>
        <w:pStyle w:val="FirstParagraph"/>
      </w:pPr>
      <w:r>
        <w:t xml:space="preserve">Toute exécution, quelle qu’en soit l’origine, produit une fiche.</w:t>
      </w:r>
    </w:p>
    <w:tbl>
      <w:tblPr>
        <w:tblStyle w:val="Table"/>
        <w:tblW w:type="dxa" w:w="9354"/>
        <w:tblLayout w:type="fixed"/>
        <w:tblLook w:firstRow="1" w:lastRow="0" w:firstColumn="0" w:lastColumn="0" w:noHBand="0" w:noVBand="0" w:val="0020"/>
        <w:jc w:val="start"/>
      </w:tblPr>
      <w:tblGrid>
        <w:gridCol w:w="4054"/>
        <w:gridCol w:w="5300"/>
      </w:tblGrid>
      <w:tr>
        <w:trPr>
          <w:tblHeader w:val="true"/>
        </w:trPr>
        <w:tc>
          <w:tcPr/>
          <w:p>
            <w:pPr>
              <w:pStyle w:val="Compact"/>
              <w:jc w:val="left"/>
            </w:pPr>
            <w:r>
              <w:t xml:space="preserve">Rubrique</w:t>
            </w:r>
          </w:p>
        </w:tc>
        <w:tc>
          <w:tcPr/>
          <w:p>
            <w:pPr>
              <w:pStyle w:val="Compact"/>
              <w:jc w:val="left"/>
            </w:pPr>
            <w:r>
              <w:t xml:space="preserve">Contenu</w:t>
            </w:r>
          </w:p>
        </w:tc>
      </w:tr>
      <w:tr>
        <w:tc>
          <w:tcPr/>
          <w:p>
            <w:pPr>
              <w:pStyle w:val="Compact"/>
              <w:jc w:val="left"/>
            </w:pPr>
            <w:r>
              <w:t xml:space="preserve">Question</w:t>
            </w:r>
          </w:p>
        </w:tc>
        <w:tc>
          <w:tcPr/>
          <w:p>
            <w:pPr>
              <w:pStyle w:val="Compact"/>
              <w:jc w:val="left"/>
            </w:pPr>
            <w:r>
              <w:t xml:space="preserve">La demande d’origine, en langage courant</w:t>
            </w:r>
          </w:p>
        </w:tc>
      </w:tr>
      <w:tr>
        <w:tc>
          <w:tcPr/>
          <w:p>
            <w:pPr>
              <w:pStyle w:val="Compact"/>
              <w:jc w:val="left"/>
            </w:pPr>
            <w:r>
              <w:t xml:space="preserve">Modèle</w:t>
            </w:r>
          </w:p>
        </w:tc>
        <w:tc>
          <w:tcPr/>
          <w:p>
            <w:pPr>
              <w:pStyle w:val="Compact"/>
              <w:jc w:val="left"/>
            </w:pPr>
            <w:r>
              <w:t xml:space="preserve">Identifiant et version exacte utilisée</w:t>
            </w:r>
          </w:p>
        </w:tc>
      </w:tr>
      <w:tr>
        <w:tc>
          <w:tcPr/>
          <w:p>
            <w:pPr>
              <w:pStyle w:val="Compact"/>
              <w:jc w:val="left"/>
            </w:pPr>
            <w:r>
              <w:t xml:space="preserve">Base</w:t>
            </w:r>
          </w:p>
        </w:tc>
        <w:tc>
          <w:tcPr/>
          <w:p>
            <w:pPr>
              <w:pStyle w:val="Compact"/>
              <w:jc w:val="left"/>
            </w:pPr>
            <w:r>
              <w:t xml:space="preserve">Matrice ou base de données et sa version</w:t>
            </w:r>
          </w:p>
        </w:tc>
      </w:tr>
      <w:tr>
        <w:tc>
          <w:tcPr/>
          <w:p>
            <w:pPr>
              <w:pStyle w:val="Compact"/>
              <w:jc w:val="left"/>
            </w:pPr>
            <w:r>
              <w:t xml:space="preserve">Référence</w:t>
            </w:r>
          </w:p>
        </w:tc>
        <w:tc>
          <w:tcPr/>
          <w:p>
            <w:pPr>
              <w:pStyle w:val="Compact"/>
              <w:jc w:val="left"/>
            </w:pPr>
            <w:r>
              <w:t xml:space="preserve">Scénario de référence utilisé comme point de comparaison</w:t>
            </w:r>
          </w:p>
        </w:tc>
      </w:tr>
      <w:tr>
        <w:tc>
          <w:tcPr/>
          <w:p>
            <w:pPr>
              <w:pStyle w:val="Compact"/>
              <w:jc w:val="left"/>
            </w:pPr>
            <w:r>
              <w:t xml:space="preserve">Choc</w:t>
            </w:r>
          </w:p>
        </w:tc>
        <w:tc>
          <w:tcPr/>
          <w:p>
            <w:pPr>
              <w:pStyle w:val="Compact"/>
              <w:jc w:val="left"/>
            </w:pPr>
            <w:r>
              <w:t xml:space="preserve">Variables, ampleurs, périodes, exprimées en variables du modèle</w:t>
            </w:r>
          </w:p>
        </w:tc>
      </w:tr>
      <w:tr>
        <w:tc>
          <w:tcPr/>
          <w:p>
            <w:pPr>
              <w:pStyle w:val="Compact"/>
              <w:jc w:val="left"/>
            </w:pPr>
            <w:r>
              <w:t xml:space="preserve">Options de résolution</w:t>
            </w:r>
          </w:p>
        </w:tc>
        <w:tc>
          <w:tcPr/>
          <w:p>
            <w:pPr>
              <w:pStyle w:val="Compact"/>
              <w:jc w:val="left"/>
            </w:pPr>
            <w:r>
              <w:t xml:space="preserve">Fermeture retenue, horizon, paramètres du solveur</w:t>
            </w:r>
          </w:p>
        </w:tc>
      </w:tr>
      <w:tr>
        <w:tc>
          <w:tcPr/>
          <w:p>
            <w:pPr>
              <w:pStyle w:val="Compact"/>
              <w:jc w:val="left"/>
            </w:pPr>
            <w:r>
              <w:t xml:space="preserve">Exécution</w:t>
            </w:r>
          </w:p>
        </w:tc>
        <w:tc>
          <w:tcPr/>
          <w:p>
            <w:pPr>
              <w:pStyle w:val="Compact"/>
              <w:jc w:val="left"/>
            </w:pPr>
            <w:r>
              <w:t xml:space="preserve">Date, auteur, durée, statut du solveur</w:t>
            </w:r>
          </w:p>
        </w:tc>
      </w:tr>
      <w:tr>
        <w:tc>
          <w:tcPr/>
          <w:p>
            <w:pPr>
              <w:pStyle w:val="Compact"/>
              <w:jc w:val="left"/>
            </w:pPr>
            <w:r>
              <w:t xml:space="preserve">Contrôles</w:t>
            </w:r>
          </w:p>
        </w:tc>
        <w:tc>
          <w:tcPr/>
          <w:p>
            <w:pPr>
              <w:pStyle w:val="Compact"/>
              <w:jc w:val="left"/>
            </w:pPr>
            <w:r>
              <w:t xml:space="preserve">Résultat de chaque test de cohérence exécuté</w:t>
            </w:r>
          </w:p>
        </w:tc>
      </w:tr>
      <w:tr>
        <w:tc>
          <w:tcPr/>
          <w:p>
            <w:pPr>
              <w:pStyle w:val="Compact"/>
              <w:jc w:val="left"/>
            </w:pPr>
            <w:r>
              <w:t xml:space="preserve">Résultats</w:t>
            </w:r>
          </w:p>
        </w:tc>
        <w:tc>
          <w:tcPr/>
          <w:p>
            <w:pPr>
              <w:pStyle w:val="Compact"/>
              <w:jc w:val="left"/>
            </w:pPr>
            <w:r>
              <w:t xml:space="preserve">Valeurs produites, socle d’indicateurs et compléments</w:t>
            </w:r>
          </w:p>
        </w:tc>
      </w:tr>
      <w:tr>
        <w:tc>
          <w:tcPr/>
          <w:p>
            <w:pPr>
              <w:pStyle w:val="Compact"/>
              <w:jc w:val="left"/>
            </w:pPr>
            <w:r>
              <w:t xml:space="preserve">Statut</w:t>
            </w:r>
          </w:p>
        </w:tc>
        <w:tc>
          <w:tcPr/>
          <w:p>
            <w:pPr>
              <w:pStyle w:val="Compact"/>
              <w:jc w:val="left"/>
            </w:pPr>
            <w:r>
              <w:t xml:space="preserve">Exploratoire, validée ou diffusable, avec l’auteur de la décision</w:t>
            </w:r>
          </w:p>
        </w:tc>
      </w:tr>
    </w:tbl>
    <w:p>
      <w:pPr>
        <w:pStyle w:val="BodyText"/>
      </w:pPr>
      <w:r>
        <w:t xml:space="preserve">La fiche est l’unité de travail du domaine B : comparaisons, graphiques, rapports et exports se construisent à partir de fiches,</w:t>
      </w:r>
      <w:r>
        <w:t xml:space="preserve"> </w:t>
      </w:r>
      <w:r>
        <w:rPr>
          <w:bCs/>
          <w:b/>
        </w:rPr>
        <w:t xml:space="preserve">jamais à partir du fil de conversation</w:t>
      </w:r>
      <w:r>
        <w:t xml:space="preserve">. Une fiche est rejouable : réexécutée à l’identique, elle doit produire les mêmes valeurs.</w:t>
      </w:r>
    </w:p>
    <w:bookmarkEnd w:id="232"/>
    <w:bookmarkStart w:id="233" w:name="b3.4-bases-de-données"/>
    <w:p>
      <w:pPr>
        <w:pStyle w:val="Heading3"/>
      </w:pPr>
      <w:r>
        <w:t xml:space="preserve">B3.4 Bases de données</w:t>
      </w:r>
    </w:p>
    <w:p>
      <w:pPr>
        <w:pStyle w:val="FirstParagraph"/>
      </w:pPr>
      <w:r>
        <w:t xml:space="preserve">La base commune couvre le PIB (offre et demande), les prix et l’inflation, les finances publiques, le commerce extérieur et la balance des paiements, la situation monétaire, la dette publique et les données sectorielles du TRE, aux fréquences trimestrielle et annuelle. Import Excel et CSV, avec contrôle de cohérence systématique. Les connecteurs vers la BCRG et l’INS sont envisageables ultérieurement et ne font pas partie du périmètre de réception.</w:t>
      </w:r>
    </w:p>
    <w:p>
      <w:pPr>
        <w:pStyle w:val="BodyText"/>
      </w:pPr>
      <w:r>
        <w:t xml:space="preserve">Chaque série porte sa fréquence, son unité, sa source et sa date d’import. Un</w:t>
      </w:r>
      <w:r>
        <w:t xml:space="preserve"> </w:t>
      </w:r>
      <w:r>
        <w:rPr>
          <w:bCs/>
          <w:b/>
        </w:rPr>
        <w:t xml:space="preserve">dictionnaire de correspondance des variables</w:t>
      </w:r>
      <w:r>
        <w:t xml:space="preserve"> </w:t>
      </w:r>
      <w:r>
        <w:t xml:space="preserve">entre modèles (PIB, GDP, Y) est tenu par les responsables de modèles ; il conditionne la bibliothèque de chocs et les enchaînements.</w:t>
      </w:r>
    </w:p>
    <w:bookmarkEnd w:id="233"/>
    <w:bookmarkEnd w:id="234"/>
    <w:bookmarkStart w:id="238" w:name="Xb48f7444ef8a5bf3e57fdc1216333d4dbd72a09"/>
    <w:p>
      <w:pPr>
        <w:pStyle w:val="Heading2"/>
      </w:pPr>
      <w:r>
        <w:t xml:space="preserve">B4. Intégration d’un modèle au référentiel</w:t>
      </w:r>
    </w:p>
    <w:p>
      <w:pPr>
        <w:pStyle w:val="FirstParagraph"/>
      </w:pPr>
      <w:r>
        <w:t xml:space="preserve">Un modèle n’est exécutable qu’une fois</w:t>
      </w:r>
      <w:r>
        <w:t xml:space="preserve"> </w:t>
      </w:r>
      <w:r>
        <w:rPr>
          <w:bCs/>
          <w:b/>
        </w:rPr>
        <w:t xml:space="preserve">introduit au référentiel</w:t>
      </w:r>
      <w:r>
        <w:t xml:space="preserve">. L’administrateur conduit cette intégration, le responsable du modèle la vise. Sans version active, le modèle n’apparaît pas dans l’écran de simulation.</w:t>
      </w:r>
    </w:p>
    <w:bookmarkStart w:id="235" w:name="b4.1-étapes-de-lintégration"/>
    <w:p>
      <w:pPr>
        <w:pStyle w:val="Heading3"/>
      </w:pPr>
      <w:r>
        <w:t xml:space="preserve">B4.1 Étapes de l’intégration</w:t>
      </w:r>
    </w:p>
    <w:tbl>
      <w:tblPr>
        <w:tblStyle w:val="Table"/>
        <w:tblW w:type="dxa" w:w="9354"/>
        <w:tblLayout w:type="fixed"/>
        <w:tblLook w:firstRow="1" w:lastRow="0" w:firstColumn="0" w:lastColumn="0" w:noHBand="0" w:noVBand="0" w:val="0020"/>
        <w:jc w:val="start"/>
      </w:tblPr>
      <w:tblGrid>
        <w:gridCol w:w="2223"/>
        <w:gridCol w:w="3622"/>
        <w:gridCol w:w="3509"/>
      </w:tblGrid>
      <w:tr>
        <w:trPr>
          <w:tblHeader w:val="true"/>
        </w:trPr>
        <w:tc>
          <w:tcPr/>
          <w:p>
            <w:pPr>
              <w:pStyle w:val="Compact"/>
              <w:jc w:val="left"/>
            </w:pPr>
            <w:r>
              <w:t xml:space="preserve">Étape</w:t>
            </w:r>
          </w:p>
        </w:tc>
        <w:tc>
          <w:tcPr/>
          <w:p>
            <w:pPr>
              <w:pStyle w:val="Compact"/>
              <w:jc w:val="left"/>
            </w:pPr>
            <w:r>
              <w:t xml:space="preserve">Contenu</w:t>
            </w:r>
          </w:p>
        </w:tc>
        <w:tc>
          <w:tcPr/>
          <w:p>
            <w:pPr>
              <w:pStyle w:val="Compact"/>
              <w:jc w:val="left"/>
            </w:pPr>
            <w:r>
              <w:t xml:space="preserve">Règle</w:t>
            </w:r>
          </w:p>
        </w:tc>
      </w:tr>
      <w:tr>
        <w:tc>
          <w:tcPr/>
          <w:p>
            <w:pPr>
              <w:pStyle w:val="Compact"/>
              <w:jc w:val="left"/>
            </w:pPr>
            <w:r>
              <w:t xml:space="preserve">1. Fiche d’identité</w:t>
            </w:r>
          </w:p>
        </w:tc>
        <w:tc>
          <w:tcPr/>
          <w:p>
            <w:pPr>
              <w:pStyle w:val="Compact"/>
              <w:jc w:val="left"/>
            </w:pPr>
            <w:r>
              <w:t xml:space="preserve">Intitulé courant tel que les analystes le verront, description en langage clair, moteur (GAMS, Excel, Python), nature dynamique ou statique,</w:t>
            </w:r>
            <w:r>
              <w:t xml:space="preserve"> </w:t>
            </w:r>
            <w:r>
              <w:rPr>
                <w:bCs/>
                <w:b/>
              </w:rPr>
              <w:t xml:space="preserve">responsable désigné</w:t>
            </w:r>
          </w:p>
        </w:tc>
        <w:tc>
          <w:tcPr/>
          <w:p>
            <w:pPr>
              <w:pStyle w:val="Compact"/>
              <w:jc w:val="left"/>
            </w:pPr>
            <w:r>
              <w:t xml:space="preserve">L’administrateur dépose et contrôle, mais ne peut pas activer seul</w:t>
            </w:r>
          </w:p>
        </w:tc>
      </w:tr>
      <w:tr>
        <w:tc>
          <w:tcPr/>
          <w:p>
            <w:pPr>
              <w:pStyle w:val="Compact"/>
              <w:jc w:val="left"/>
            </w:pPr>
            <w:r>
              <w:t xml:space="preserve">2. Fichiers du modèle</w:t>
            </w:r>
          </w:p>
        </w:tc>
        <w:tc>
          <w:tcPr/>
          <w:p>
            <w:pPr>
              <w:pStyle w:val="Compact"/>
              <w:jc w:val="left"/>
            </w:pPr>
            <w:r>
              <w:t xml:space="preserve">Dépôt des fichiers dans leur format d’origine —</w:t>
            </w:r>
            <w:r>
              <w:t xml:space="preserve"> </w:t>
            </w:r>
            <w:r>
              <w:rPr>
                <w:rStyle w:val="VerbatimChar"/>
              </w:rPr>
              <w:t xml:space="preserve">.gms</w:t>
            </w:r>
            <w:r>
              <w:t xml:space="preserve">,</w:t>
            </w:r>
            <w:r>
              <w:t xml:space="preserve"> </w:t>
            </w:r>
            <w:r>
              <w:rPr>
                <w:rStyle w:val="VerbatimChar"/>
              </w:rPr>
              <w:t xml:space="preserve">.inc</w:t>
            </w:r>
            <w:r>
              <w:t xml:space="preserve">,</w:t>
            </w:r>
            <w:r>
              <w:t xml:space="preserve"> </w:t>
            </w:r>
            <w:r>
              <w:rPr>
                <w:rStyle w:val="VerbatimChar"/>
              </w:rPr>
              <w:t xml:space="preserve">.gdx</w:t>
            </w:r>
            <w:r>
              <w:t xml:space="preserve">,</w:t>
            </w:r>
            <w:r>
              <w:t xml:space="preserve"> </w:t>
            </w:r>
            <w:r>
              <w:rPr>
                <w:rStyle w:val="VerbatimChar"/>
              </w:rPr>
              <w:t xml:space="preserve">.xlsx</w:t>
            </w:r>
            <w:r>
              <w:t xml:space="preserve">,</w:t>
            </w:r>
            <w:r>
              <w:t xml:space="preserve"> </w:t>
            </w:r>
            <w:r>
              <w:rPr>
                <w:rStyle w:val="VerbatimChar"/>
              </w:rPr>
              <w:t xml:space="preserve">.py</w:t>
            </w:r>
            <w:r>
              <w:t xml:space="preserve"> </w:t>
            </w:r>
            <w:r>
              <w:t xml:space="preserve">— avec leur taille et leur type</w:t>
            </w:r>
          </w:p>
        </w:tc>
        <w:tc>
          <w:tcPr/>
          <w:p>
            <w:pPr>
              <w:pStyle w:val="Compact"/>
              <w:jc w:val="left"/>
            </w:pPr>
            <w:r>
              <w:t xml:space="preserve">La plateforme conserve les fichiers tels quels ; elle n’a jamais vocation à réécrire un modèle</w:t>
            </w:r>
          </w:p>
        </w:tc>
      </w:tr>
      <w:tr>
        <w:tc>
          <w:tcPr/>
          <w:p>
            <w:pPr>
              <w:pStyle w:val="Compact"/>
              <w:jc w:val="left"/>
            </w:pPr>
            <w:r>
              <w:t xml:space="preserve">3. Base de référence</w:t>
            </w:r>
          </w:p>
        </w:tc>
        <w:tc>
          <w:tcPr/>
          <w:p>
            <w:pPr>
              <w:pStyle w:val="Compact"/>
              <w:jc w:val="left"/>
            </w:pPr>
            <w:r>
              <w:t xml:space="preserve">Désignation d’une base existante ou déclaration d’une nouvelle, avec année et source</w:t>
            </w:r>
          </w:p>
        </w:tc>
        <w:tc>
          <w:tcPr/>
          <w:p>
            <w:pPr>
              <w:pStyle w:val="Compact"/>
              <w:jc w:val="left"/>
            </w:pPr>
            <w:r>
              <w:t xml:space="preserve">Un modèle sans base désignée n’est pas calibrable</w:t>
            </w:r>
          </w:p>
        </w:tc>
      </w:tr>
      <w:tr>
        <w:tc>
          <w:tcPr/>
          <w:p>
            <w:pPr>
              <w:pStyle w:val="Compact"/>
              <w:jc w:val="left"/>
            </w:pPr>
            <w:r>
              <w:t xml:space="preserve">4. Paramètres de choc</w:t>
            </w:r>
          </w:p>
        </w:tc>
        <w:tc>
          <w:tcPr/>
          <w:p>
            <w:pPr>
              <w:pStyle w:val="Compact"/>
              <w:jc w:val="left"/>
            </w:pPr>
            <w:r>
              <w:t xml:space="preserve">Pour chaque variable choquable : libellé pour l’analyste, nom de la variable dans le modèle, unité, valeur par défaut</w:t>
            </w:r>
          </w:p>
        </w:tc>
        <w:tc>
          <w:tcPr/>
          <w:p>
            <w:pPr>
              <w:pStyle w:val="Compact"/>
              <w:jc w:val="left"/>
            </w:pPr>
            <w:r>
              <w:rPr>
                <w:bCs/>
                <w:b/>
              </w:rPr>
              <w:t xml:space="preserve">Une variable non déclarée ici ne sera jamais modifiable depuis l’interface</w:t>
            </w:r>
          </w:p>
        </w:tc>
      </w:tr>
      <w:tr>
        <w:tc>
          <w:tcPr/>
          <w:p>
            <w:pPr>
              <w:pStyle w:val="Compact"/>
              <w:jc w:val="left"/>
            </w:pPr>
            <w:r>
              <w:t xml:space="preserve">5. Indicateurs de sortie</w:t>
            </w:r>
          </w:p>
        </w:tc>
        <w:tc>
          <w:tcPr/>
          <w:p>
            <w:pPr>
              <w:pStyle w:val="Compact"/>
              <w:jc w:val="left"/>
            </w:pPr>
            <w:r>
              <w:t xml:space="preserve">Pour chaque résultat restitué : libellé,</w:t>
            </w:r>
            <w:r>
              <w:t xml:space="preserve"> </w:t>
            </w:r>
            <w:r>
              <w:rPr>
                <w:bCs/>
                <w:b/>
              </w:rPr>
              <w:t xml:space="preserve">nom de la variable telle qu’elle sort du moteur</w:t>
            </w:r>
            <w:r>
              <w:t xml:space="preserve">, unité et valeur de référence</w:t>
            </w:r>
          </w:p>
        </w:tc>
        <w:tc>
          <w:tcPr/>
          <w:p>
            <w:pPr>
              <w:pStyle w:val="Compact"/>
              <w:jc w:val="left"/>
            </w:pPr>
            <w:r>
              <w:rPr>
                <w:bCs/>
                <w:b/>
              </w:rPr>
              <w:t xml:space="preserve">Les valeurs sont lues dans les sorties nommées du moteur</w:t>
            </w:r>
            <w:r>
              <w:t xml:space="preserve"> </w:t>
            </w:r>
            <w:r>
              <w:t xml:space="preserve">(MOD-EF-85). La saisie manuelle de coefficients de réponse est un dispositif de maquette, réservé à la démonstration et au plan de recette ; elle n’est pas une fonction du produit (décision D-32)</w:t>
            </w:r>
          </w:p>
        </w:tc>
      </w:tr>
      <w:tr>
        <w:tc>
          <w:tcPr/>
          <w:p>
            <w:pPr>
              <w:pStyle w:val="Compact"/>
              <w:jc w:val="left"/>
            </w:pPr>
            <w:r>
              <w:t xml:space="preserve">6. Contrôles et dépôt</w:t>
            </w:r>
          </w:p>
        </w:tc>
        <w:tc>
          <w:tcPr/>
          <w:p>
            <w:pPr>
              <w:pStyle w:val="Compact"/>
              <w:jc w:val="left"/>
            </w:pPr>
            <w:r>
              <w:t xml:space="preserve">Choix de la batterie à exécuter et du caractère bloquant ou d’alerte de chaque test</w:t>
            </w:r>
          </w:p>
        </w:tc>
        <w:tc>
          <w:tcPr/>
          <w:p>
            <w:pPr>
              <w:pStyle w:val="Compact"/>
              <w:jc w:val="left"/>
            </w:pPr>
            <w:r>
              <w:t xml:space="preserve">Le dépôt crée la version v1 à l’état « déposée »</w:t>
            </w:r>
          </w:p>
        </w:tc>
      </w:tr>
    </w:tbl>
    <w:bookmarkEnd w:id="235"/>
    <w:bookmarkStart w:id="236" w:name="b4.2-suite-du-circuit"/>
    <w:p>
      <w:pPr>
        <w:pStyle w:val="Heading3"/>
      </w:pPr>
      <w:r>
        <w:t xml:space="preserve">B4.2 Suite du circuit</w:t>
      </w:r>
    </w:p>
    <w:p>
      <w:pPr>
        <w:pStyle w:val="FirstParagraph"/>
      </w:pPr>
      <w:r>
        <w:t xml:space="preserve">Contrôles lancés par l’administrateur → version conforme ou non conforme → en cas d’échec bloquant, dérogation motivée et journalisée →</w:t>
      </w:r>
      <w:r>
        <w:t xml:space="preserve"> </w:t>
      </w:r>
      <w:r>
        <w:rPr>
          <w:bCs/>
          <w:b/>
        </w:rPr>
        <w:t xml:space="preserve">visa du responsable du modèle</w:t>
      </w:r>
      <w:r>
        <w:t xml:space="preserve"> </w:t>
      </w:r>
      <w:r>
        <w:t xml:space="preserve">→ version active. Le modèle devient alors simulable, avec ses propres paramètres et ses propres indicateurs.</w:t>
      </w:r>
    </w:p>
    <w:bookmarkEnd w:id="236"/>
    <w:bookmarkStart w:id="237" w:name="b4.3-restitution-propre-à-chaque-modèle"/>
    <w:p>
      <w:pPr>
        <w:pStyle w:val="Heading3"/>
      </w:pPr>
      <w:r>
        <w:t xml:space="preserve">B4.3 Restitution propre à chaque modèle</w:t>
      </w:r>
    </w:p>
    <w:p>
      <w:pPr>
        <w:pStyle w:val="FirstParagraph"/>
      </w:pPr>
      <w:r>
        <w:t xml:space="preserve">Un modèle qui déclare ses propres indicateurs ne restitue que ceux-là ; les autres s’appuient sur le socle commun. Un modèle de dette ne montre pas des lignes de PIB à zéro, et un modèle d’équilibre général ne montre pas un ratio d’endettement qu’il ne produit pas.</w:t>
      </w:r>
    </w:p>
    <w:bookmarkEnd w:id="237"/>
    <w:bookmarkEnd w:id="238"/>
    <w:bookmarkStart w:id="247" w:name="b5.-exécution-scénarios-et-chocs"/>
    <w:p>
      <w:pPr>
        <w:pStyle w:val="Heading2"/>
      </w:pPr>
      <w:r>
        <w:t xml:space="preserve">B5. Exécution, scénarios et chocs</w:t>
      </w:r>
    </w:p>
    <w:bookmarkStart w:id="239" w:name="b5.1-exécution"/>
    <w:p>
      <w:pPr>
        <w:pStyle w:val="Heading3"/>
      </w:pPr>
      <w:r>
        <w:t xml:space="preserve">B5.1 Exécution</w:t>
      </w:r>
    </w:p>
    <w:p>
      <w:pPr>
        <w:numPr>
          <w:ilvl w:val="0"/>
          <w:numId w:val="1043"/>
        </w:numPr>
        <w:pStyle w:val="Compact"/>
      </w:pPr>
      <w:r>
        <w:t xml:space="preserve">Un utilisateur habilité lance une exécution depuis l’interface,</w:t>
      </w:r>
      <w:r>
        <w:t xml:space="preserve"> </w:t>
      </w:r>
      <w:r>
        <w:rPr>
          <w:bCs/>
          <w:b/>
        </w:rPr>
        <w:t xml:space="preserve">sans manipulation de fichier ni accès au moteur de calcul</w:t>
      </w:r>
      <w:r>
        <w:t xml:space="preserve">.</w:t>
      </w:r>
    </w:p>
    <w:p>
      <w:pPr>
        <w:numPr>
          <w:ilvl w:val="0"/>
          <w:numId w:val="1043"/>
        </w:numPr>
        <w:pStyle w:val="Compact"/>
      </w:pPr>
      <w:r>
        <w:t xml:space="preserve">Les exécutions sont asynchrones : l’utilisateur garde la main, suit l’avancement et est averti à la fin.</w:t>
      </w:r>
    </w:p>
    <w:p>
      <w:pPr>
        <w:numPr>
          <w:ilvl w:val="0"/>
          <w:numId w:val="1043"/>
        </w:numPr>
        <w:pStyle w:val="Compact"/>
      </w:pPr>
      <w:r>
        <w:t xml:space="preserve">Plusieurs exécutions simultanées par des utilisateurs différents, dans la limite des capacités du moteur, avec file d’attente visible.</w:t>
      </w:r>
    </w:p>
    <w:p>
      <w:pPr>
        <w:numPr>
          <w:ilvl w:val="0"/>
          <w:numId w:val="1043"/>
        </w:numPr>
        <w:pStyle w:val="Compact"/>
      </w:pPr>
      <w:r>
        <w:t xml:space="preserve">Les résultats des modèles GAMS sont lus depuis le fichier GDX</w:t>
      </w:r>
      <w:r>
        <w:t xml:space="preserve"> </w:t>
      </w:r>
      <w:r>
        <w:rPr>
          <w:bCs/>
          <w:b/>
        </w:rPr>
        <w:t xml:space="preserve">en désignant chaque variable par son nom, jamais par sa position</w:t>
      </w:r>
      <w:r>
        <w:t xml:space="preserve">. C’est ce qui supprime la fragilité des formules pointant sur des positions fixes.</w:t>
      </w:r>
    </w:p>
    <w:p>
      <w:pPr>
        <w:numPr>
          <w:ilvl w:val="0"/>
          <w:numId w:val="1043"/>
        </w:numPr>
        <w:pStyle w:val="Compact"/>
      </w:pPr>
      <w:r>
        <w:t xml:space="preserve">Le statut renvoyé par le solveur — statut de modèle et statut de résolution — est enregistré et affiché en clair. Une exécution non optimale ou non résolue est signalée comme telle et</w:t>
      </w:r>
      <w:r>
        <w:t xml:space="preserve"> </w:t>
      </w:r>
      <w:r>
        <w:rPr>
          <w:bCs/>
          <w:b/>
        </w:rPr>
        <w:t xml:space="preserve">ne produit pas de résultats présentés comme valides</w:t>
      </w:r>
      <w:r>
        <w:t xml:space="preserve">.</w:t>
      </w:r>
    </w:p>
    <w:p>
      <w:pPr>
        <w:numPr>
          <w:ilvl w:val="0"/>
          <w:numId w:val="1043"/>
        </w:numPr>
        <w:pStyle w:val="Compact"/>
      </w:pPr>
      <w:r>
        <w:t xml:space="preserve">En cas de non-convergence : message compréhensible par un non-spécialiste, journal d’exécution conservé pour le responsable du modèle, retour proposé aux paramètres du scénario.</w:t>
      </w:r>
    </w:p>
    <w:p>
      <w:pPr>
        <w:numPr>
          <w:ilvl w:val="0"/>
          <w:numId w:val="1043"/>
        </w:numPr>
        <w:pStyle w:val="Compact"/>
      </w:pPr>
      <w:r>
        <w:t xml:space="preserve">Une exécution peut être interrompue par son auteur ou par l’administrateur, et une exécution dépassant une durée paramétrable est arrêtée automatiquement et signalée.</w:t>
      </w:r>
    </w:p>
    <w:bookmarkEnd w:id="239"/>
    <w:bookmarkStart w:id="240" w:name="b5.2-scénario-de-référence"/>
    <w:p>
      <w:pPr>
        <w:pStyle w:val="Heading3"/>
      </w:pPr>
      <w:r>
        <w:t xml:space="preserve">B5.2 Scénario de référence</w:t>
      </w:r>
    </w:p>
    <w:p>
      <w:pPr>
        <w:pStyle w:val="FirstParagraph"/>
      </w:pPr>
      <w:r>
        <w:t xml:space="preserve">Chaque modèle dispose d’un scénario de référence identifié, exécuté et conservé.</w:t>
      </w:r>
      <w:r>
        <w:t xml:space="preserve"> </w:t>
      </w:r>
      <w:r>
        <w:rPr>
          <w:bCs/>
          <w:b/>
        </w:rPr>
        <w:t xml:space="preserve">Tout choc est calculé et présenté par écart à cette référence</w:t>
      </w:r>
      <w:r>
        <w:t xml:space="preserve"> </w:t>
      </w:r>
      <w:r>
        <w:t xml:space="preserve">— jamais en niveau absolu sans point de comparaison.</w:t>
      </w:r>
    </w:p>
    <w:bookmarkEnd w:id="240"/>
    <w:bookmarkStart w:id="241" w:name="b5.3-chocs"/>
    <w:p>
      <w:pPr>
        <w:pStyle w:val="Heading3"/>
      </w:pPr>
      <w:r>
        <w:t xml:space="preserve">B5.3 Chocs</w:t>
      </w:r>
    </w:p>
    <w:p>
      <w:pPr>
        <w:numPr>
          <w:ilvl w:val="0"/>
          <w:numId w:val="1044"/>
        </w:numPr>
        <w:pStyle w:val="Compact"/>
      </w:pPr>
      <w:r>
        <w:t xml:space="preserve">La définition d’un choc précise la variable, l’ampleur (en niveau ou en pourcentage) et la période : année unique, plage d’années, ou permanent à partir d’une année.</w:t>
      </w:r>
    </w:p>
    <w:p>
      <w:pPr>
        <w:numPr>
          <w:ilvl w:val="0"/>
          <w:numId w:val="1044"/>
        </w:numPr>
        <w:pStyle w:val="Compact"/>
      </w:pPr>
      <w:r>
        <w:t xml:space="preserve">Un scénario peut combiner plusieurs chocs simultanés sur un même modèle.</w:t>
      </w:r>
    </w:p>
    <w:p>
      <w:pPr>
        <w:numPr>
          <w:ilvl w:val="0"/>
          <w:numId w:val="1044"/>
        </w:numPr>
        <w:pStyle w:val="Compact"/>
      </w:pPr>
      <w:r>
        <w:t xml:space="preserve">Lorsque le modèle admet plusieurs fermetures — bouclage budgétaire, extérieur, épargne-investissement — le choix est exposé, celle retenue par défaut affichée, et le choix effectué enregistré dans la fiche de simulation.</w:t>
      </w:r>
    </w:p>
    <w:p>
      <w:pPr>
        <w:numPr>
          <w:ilvl w:val="0"/>
          <w:numId w:val="1044"/>
        </w:numPr>
        <w:pStyle w:val="Compact"/>
      </w:pPr>
      <w:r>
        <w:rPr>
          <w:bCs/>
          <w:b/>
        </w:rPr>
        <w:t xml:space="preserve">Les chocs proposés sont ceux déclarés dans la fiche d’identité du modèle</w:t>
      </w:r>
      <w:r>
        <w:t xml:space="preserve"> </w:t>
      </w:r>
      <w:r>
        <w:t xml:space="preserve">; aucune variable non déclarée ne peut être modifiée depuis l’interface.</w:t>
      </w:r>
    </w:p>
    <w:p>
      <w:pPr>
        <w:numPr>
          <w:ilvl w:val="0"/>
          <w:numId w:val="1044"/>
        </w:numPr>
        <w:pStyle w:val="Compact"/>
      </w:pPr>
      <w:r>
        <w:t xml:space="preserve">Une bibliothèque de chocs types — externes, budgétaires, monétaires et de change, réformes structurelles — est constituée, réutilisable et modifiable avant exécution.</w:t>
      </w:r>
    </w:p>
    <w:p>
      <w:pPr>
        <w:numPr>
          <w:ilvl w:val="0"/>
          <w:numId w:val="1044"/>
        </w:numPr>
        <w:pStyle w:val="Compact"/>
      </w:pPr>
      <w:r>
        <w:t xml:space="preserve">Un scénario est enregistrable, duplicable et modifiable, pour servir de point de départ à une variante.</w:t>
      </w:r>
    </w:p>
    <w:p>
      <w:pPr>
        <w:numPr>
          <w:ilvl w:val="0"/>
          <w:numId w:val="1044"/>
        </w:numPr>
        <w:pStyle w:val="Compact"/>
      </w:pPr>
      <w:r>
        <w:t xml:space="preserve">Un test de sensibilité peut être lancé en faisant varier l’ampleur d’un choc sur une plage définie, produisant une série de simulations comparables.</w:t>
      </w:r>
    </w:p>
    <w:bookmarkEnd w:id="241"/>
    <w:bookmarkStart w:id="242" w:name="b5.4-bibliothèque-de-chocs-types"/>
    <w:p>
      <w:pPr>
        <w:pStyle w:val="Heading3"/>
      </w:pPr>
      <w:r>
        <w:t xml:space="preserve">B5.4 Bibliothèque de chocs types</w:t>
      </w:r>
    </w:p>
    <w:p>
      <w:pPr>
        <w:pStyle w:val="FirstParagraph"/>
      </w:pPr>
      <w:r>
        <w:t xml:space="preserve">Des scénarios prédéfinis, classés par catégorie —</w:t>
      </w:r>
      <w:r>
        <w:t xml:space="preserve"> </w:t>
      </w:r>
      <w:r>
        <w:rPr>
          <w:bCs/>
          <w:b/>
        </w:rPr>
        <w:t xml:space="preserve">chocs externes</w:t>
      </w:r>
      <w:r>
        <w:t xml:space="preserve">,</w:t>
      </w:r>
      <w:r>
        <w:t xml:space="preserve"> </w:t>
      </w:r>
      <w:r>
        <w:rPr>
          <w:bCs/>
          <w:b/>
        </w:rPr>
        <w:t xml:space="preserve">chocs budgétaires</w:t>
      </w:r>
      <w:r>
        <w:t xml:space="preserve">,</w:t>
      </w:r>
      <w:r>
        <w:t xml:space="preserve"> </w:t>
      </w:r>
      <w:r>
        <w:rPr>
          <w:bCs/>
          <w:b/>
        </w:rPr>
        <w:t xml:space="preserve">chocs monétaires et de change</w:t>
      </w:r>
      <w:r>
        <w:t xml:space="preserve">,</w:t>
      </w:r>
      <w:r>
        <w:t xml:space="preserve"> </w:t>
      </w:r>
      <w:r>
        <w:rPr>
          <w:bCs/>
          <w:b/>
        </w:rPr>
        <w:t xml:space="preserve">réformes structurelles</w:t>
      </w:r>
      <w:r>
        <w:t xml:space="preserve"> </w:t>
      </w:r>
      <w:r>
        <w:t xml:space="preserve">— chacun rattaché à un modèle et à un jeu de paramètres. Charger un choc type remplit le modèle, les paramètres et les ampleurs ; l’analyste ajuste avant de lancer. Un choc type est un point de départ, jamais une exécution automatique.</w:t>
      </w:r>
    </w:p>
    <w:bookmarkEnd w:id="242"/>
    <w:bookmarkStart w:id="243" w:name="b5.5-test-de-sensibilité"/>
    <w:p>
      <w:pPr>
        <w:pStyle w:val="Heading3"/>
      </w:pPr>
      <w:r>
        <w:t xml:space="preserve">B5.5 Test de sensibilité</w:t>
      </w:r>
    </w:p>
    <w:p>
      <w:pPr>
        <w:pStyle w:val="FirstParagraph"/>
      </w:pPr>
      <w:r>
        <w:t xml:space="preserve">Faire varier l’ampleur d’un choc sur une plage et un pas définis produit une série de simulations comparables : tableau des écarts par indicateur pour chaque valeur, et courbe de l’indicateur principal en fonction de l’ampleur. Chaque point de la série est une simulation enregistrée, avec sa propre fiche.</w:t>
      </w:r>
    </w:p>
    <w:bookmarkEnd w:id="243"/>
    <w:bookmarkStart w:id="244" w:name="b5.6-comparaison-multi-scénarios"/>
    <w:p>
      <w:pPr>
        <w:pStyle w:val="Heading3"/>
      </w:pPr>
      <w:r>
        <w:t xml:space="preserve">B5.6 Comparaison multi-scénarios</w:t>
      </w:r>
    </w:p>
    <w:p>
      <w:pPr>
        <w:pStyle w:val="FirstParagraph"/>
      </w:pPr>
      <w:r>
        <w:t xml:space="preserve">Comparaison de deux à quatre simulations alignées sur le socle d’indicateurs, avec mise en évidence des valeurs extrêmes et de l’écart entre elles. Lorsque les simulations comparées ne reposent pas toutes sur la même version d’un modèle, la comparaison reste possible mais</w:t>
      </w:r>
      <w:r>
        <w:t xml:space="preserve"> </w:t>
      </w:r>
      <w:r>
        <w:rPr>
          <w:bCs/>
          <w:b/>
        </w:rPr>
        <w:t xml:space="preserve">l’écart de version est signalé</w:t>
      </w:r>
      <w:r>
        <w:t xml:space="preserve">.</w:t>
      </w:r>
    </w:p>
    <w:bookmarkEnd w:id="244"/>
    <w:bookmarkStart w:id="245" w:name="b5.7-rejeu-à-lidentique"/>
    <w:p>
      <w:pPr>
        <w:pStyle w:val="Heading3"/>
      </w:pPr>
      <w:r>
        <w:t xml:space="preserve">B5.7 Rejeu à l’identique</w:t>
      </w:r>
    </w:p>
    <w:p>
      <w:pPr>
        <w:pStyle w:val="FirstParagraph"/>
      </w:pPr>
      <w:r>
        <w:t xml:space="preserve">Toute fiche archivée peut être réexécutée depuis ses entrées conservées. L’écart relatif maximal constaté est comparé à la tolérance de rejeu de 10⁻⁶ et le verdict est journalisé. C’est le critère de réception CR-08 rendu exécutable à tout moment, et non seulement en recette.</w:t>
      </w:r>
    </w:p>
    <w:bookmarkEnd w:id="245"/>
    <w:bookmarkStart w:id="246" w:name="b5.8-enchaînements-entre-modèles"/>
    <w:p>
      <w:pPr>
        <w:pStyle w:val="Heading3"/>
      </w:pPr>
      <w:r>
        <w:t xml:space="preserve">B5.8 Enchaînements entre modèles</w:t>
      </w:r>
    </w:p>
    <w:p>
      <w:pPr>
        <w:pStyle w:val="FirstParagraph"/>
      </w:pPr>
      <w:r>
        <w:t xml:space="preserve">Les enchaînements — sortie d’un modèle alimentant l’entrée d’un autre — sont</w:t>
      </w:r>
      <w:r>
        <w:t xml:space="preserve"> </w:t>
      </w:r>
      <w:r>
        <w:rPr>
          <w:bCs/>
          <w:b/>
        </w:rPr>
        <w:t xml:space="preserve">supervisés et jamais automatiques</w:t>
      </w:r>
      <w:r>
        <w:t xml:space="preserve">. Chaque enchaînement est déclaré, repose sur des correspondances de variables validées par les responsables des deux modèles, et produit autant de fiches de simulation que d’étapes, chaînées entre elles. Le périmètre et le calendrier restent à arbitrer (décision D-27).</w:t>
      </w:r>
    </w:p>
    <w:bookmarkEnd w:id="246"/>
    <w:bookmarkEnd w:id="247"/>
    <w:bookmarkStart w:id="253" w:name="b6.-contrôles-de-cohérence-et-calibrage"/>
    <w:p>
      <w:pPr>
        <w:pStyle w:val="Heading2"/>
      </w:pPr>
      <w:r>
        <w:t xml:space="preserve">B6. Contrôles de cohérence et calibrage</w:t>
      </w:r>
    </w:p>
    <w:p>
      <w:pPr>
        <w:pStyle w:val="FirstParagraph"/>
      </w:pPr>
      <w:r>
        <w:t xml:space="preserve">Le produit exécute automatiquement, après chaque activation de version et à chaque simulation, la batterie de contrôles déclarée pour le modèle, et en consigne le résultat dans la fiche de simulation. C’est ce dispositif qui distingue un résultat vérifié d’un résultat simplement produit.</w:t>
      </w:r>
    </w:p>
    <w:bookmarkStart w:id="248" w:name="Xbc11167a5899e0d858f080f58301d29ccafd0c6"/>
    <w:p>
      <w:pPr>
        <w:pStyle w:val="Heading3"/>
      </w:pPr>
      <w:r>
        <w:t xml:space="preserve">B6.1 Batterie exigée pour les modèles d’équilibre général</w:t>
      </w:r>
    </w:p>
    <w:p>
      <w:pPr>
        <w:pStyle w:val="FirstParagraph"/>
      </w:pPr>
      <w:r>
        <w:t xml:space="preserve">Chaque test est vérifiable séparément.</w:t>
      </w:r>
    </w:p>
    <w:tbl>
      <w:tblPr>
        <w:tblStyle w:val="Table"/>
        <w:tblW w:type="dxa" w:w="9354"/>
        <w:tblLayout w:type="fixed"/>
        <w:tblLook w:firstRow="1" w:lastRow="0" w:firstColumn="0" w:lastColumn="0" w:noHBand="0" w:noVBand="0" w:val="0020"/>
        <w:jc w:val="start"/>
      </w:tblPr>
      <w:tblGrid>
        <w:gridCol w:w="1630"/>
        <w:gridCol w:w="1954"/>
        <w:gridCol w:w="2245"/>
        <w:gridCol w:w="1832"/>
        <w:gridCol w:w="1693"/>
      </w:tblGrid>
      <w:tr>
        <w:trPr>
          <w:tblHeader w:val="true"/>
        </w:trPr>
        <w:tc>
          <w:tcPr/>
          <w:p>
            <w:pPr>
              <w:pStyle w:val="Compact"/>
              <w:jc w:val="left"/>
            </w:pPr>
            <w:r>
              <w:t xml:space="preserve">Réf</w:t>
            </w:r>
          </w:p>
        </w:tc>
        <w:tc>
          <w:tcPr/>
          <w:p>
            <w:pPr>
              <w:pStyle w:val="Compact"/>
              <w:jc w:val="left"/>
            </w:pPr>
            <w:r>
              <w:t xml:space="preserve">Test</w:t>
            </w:r>
          </w:p>
        </w:tc>
        <w:tc>
          <w:tcPr/>
          <w:p>
            <w:pPr>
              <w:pStyle w:val="Compact"/>
              <w:jc w:val="left"/>
            </w:pPr>
            <w:r>
              <w:t xml:space="preserve">Critère de réussite</w:t>
            </w:r>
          </w:p>
        </w:tc>
        <w:tc>
          <w:tcPr/>
          <w:p>
            <w:pPr>
              <w:pStyle w:val="Compact"/>
              <w:jc w:val="left"/>
            </w:pPr>
            <w:r>
              <w:t xml:space="preserve">Seuil par défaut</w:t>
            </w:r>
          </w:p>
        </w:tc>
        <w:tc>
          <w:tcPr/>
          <w:p>
            <w:pPr>
              <w:pStyle w:val="Compact"/>
              <w:jc w:val="left"/>
            </w:pPr>
            <w:r>
              <w:t xml:space="preserve">Caractère</w:t>
            </w:r>
          </w:p>
        </w:tc>
      </w:tr>
      <w:tr>
        <w:tc>
          <w:tcPr/>
          <w:p>
            <w:pPr>
              <w:pStyle w:val="Compact"/>
              <w:jc w:val="left"/>
            </w:pPr>
            <w:r>
              <w:t xml:space="preserve">34.1</w:t>
            </w:r>
          </w:p>
        </w:tc>
        <w:tc>
          <w:tcPr/>
          <w:p>
            <w:pPr>
              <w:pStyle w:val="Compact"/>
              <w:jc w:val="left"/>
            </w:pPr>
            <w:r>
              <w:t xml:space="preserve">Homogénéité, prix</w:t>
            </w:r>
          </w:p>
        </w:tc>
        <w:tc>
          <w:tcPr/>
          <w:p>
            <w:pPr>
              <w:pStyle w:val="Compact"/>
              <w:jc w:val="left"/>
            </w:pPr>
            <w:r>
              <w:t xml:space="preserve">Numéraire doublé, les prix nominaux varient dans la même proportion</w:t>
            </w:r>
          </w:p>
        </w:tc>
        <w:tc>
          <w:tcPr/>
          <w:p>
            <w:pPr>
              <w:pStyle w:val="Compact"/>
              <w:jc w:val="left"/>
            </w:pPr>
            <w:r>
              <w:t xml:space="preserve">0,1 %</w:t>
            </w:r>
          </w:p>
        </w:tc>
        <w:tc>
          <w:tcPr/>
          <w:p>
            <w:pPr>
              <w:pStyle w:val="Compact"/>
              <w:jc w:val="left"/>
            </w:pPr>
            <w:r>
              <w:t xml:space="preserve">Bloquant</w:t>
            </w:r>
          </w:p>
        </w:tc>
      </w:tr>
      <w:tr>
        <w:tc>
          <w:tcPr/>
          <w:p>
            <w:pPr>
              <w:pStyle w:val="Compact"/>
              <w:jc w:val="left"/>
            </w:pPr>
            <w:r>
              <w:t xml:space="preserve">34.2</w:t>
            </w:r>
          </w:p>
        </w:tc>
        <w:tc>
          <w:tcPr/>
          <w:p>
            <w:pPr>
              <w:pStyle w:val="Compact"/>
              <w:jc w:val="left"/>
            </w:pPr>
            <w:r>
              <w:t xml:space="preserve">Homogénéité, quantités</w:t>
            </w:r>
          </w:p>
        </w:tc>
        <w:tc>
          <w:tcPr/>
          <w:p>
            <w:pPr>
              <w:pStyle w:val="Compact"/>
              <w:jc w:val="left"/>
            </w:pPr>
            <w:r>
              <w:t xml:space="preserve">Les quantités réelles restent inchangées</w:t>
            </w:r>
          </w:p>
        </w:tc>
        <w:tc>
          <w:tcPr/>
          <w:p>
            <w:pPr>
              <w:pStyle w:val="Compact"/>
              <w:jc w:val="left"/>
            </w:pPr>
            <w:r>
              <w:t xml:space="preserve">0,1 %</w:t>
            </w:r>
          </w:p>
        </w:tc>
        <w:tc>
          <w:tcPr/>
          <w:p>
            <w:pPr>
              <w:pStyle w:val="Compact"/>
              <w:jc w:val="left"/>
            </w:pPr>
            <w:r>
              <w:t xml:space="preserve">Bloquant</w:t>
            </w:r>
          </w:p>
        </w:tc>
      </w:tr>
      <w:tr>
        <w:tc>
          <w:tcPr/>
          <w:p>
            <w:pPr>
              <w:pStyle w:val="Compact"/>
              <w:jc w:val="left"/>
            </w:pPr>
            <w:r>
              <w:t xml:space="preserve">34.3</w:t>
            </w:r>
          </w:p>
        </w:tc>
        <w:tc>
          <w:tcPr/>
          <w:p>
            <w:pPr>
              <w:pStyle w:val="Compact"/>
              <w:jc w:val="left"/>
            </w:pPr>
            <w:r>
              <w:t xml:space="preserve">Équilibre de la matrice de comptabilité sociale</w:t>
            </w:r>
          </w:p>
        </w:tc>
        <w:tc>
          <w:tcPr/>
          <w:p>
            <w:pPr>
              <w:pStyle w:val="Compact"/>
              <w:jc w:val="left"/>
            </w:pPr>
            <w:r>
              <w:t xml:space="preserve">Totaux ligne et colonne égaux compte par compte</w:t>
            </w:r>
          </w:p>
        </w:tc>
        <w:tc>
          <w:tcPr/>
          <w:p>
            <w:pPr>
              <w:pStyle w:val="Compact"/>
              <w:jc w:val="left"/>
            </w:pPr>
            <w:r>
              <w:t xml:space="preserve">0,01 % du total du compte</w:t>
            </w:r>
          </w:p>
        </w:tc>
        <w:tc>
          <w:tcPr/>
          <w:p>
            <w:pPr>
              <w:pStyle w:val="Compact"/>
              <w:jc w:val="left"/>
            </w:pPr>
            <w:r>
              <w:t xml:space="preserve">Bloquant</w:t>
            </w:r>
          </w:p>
        </w:tc>
      </w:tr>
      <w:tr>
        <w:tc>
          <w:tcPr/>
          <w:p>
            <w:pPr>
              <w:pStyle w:val="Compact"/>
              <w:jc w:val="left"/>
            </w:pPr>
            <w:r>
              <w:t xml:space="preserve">34.4</w:t>
            </w:r>
          </w:p>
        </w:tc>
        <w:tc>
          <w:tcPr/>
          <w:p>
            <w:pPr>
              <w:pStyle w:val="Compact"/>
              <w:jc w:val="left"/>
            </w:pPr>
            <w:r>
              <w:t xml:space="preserve">Loi de Walras</w:t>
            </w:r>
          </w:p>
        </w:tc>
        <w:tc>
          <w:tcPr/>
          <w:p>
            <w:pPr>
              <w:pStyle w:val="Compact"/>
              <w:jc w:val="left"/>
            </w:pPr>
            <w:r>
              <w:t xml:space="preserve">Le marché redondant s’équilibre</w:t>
            </w:r>
          </w:p>
        </w:tc>
        <w:tc>
          <w:tcPr/>
          <w:p>
            <w:pPr>
              <w:pStyle w:val="Compact"/>
              <w:jc w:val="left"/>
            </w:pPr>
            <w:r>
              <w:t xml:space="preserve">0,1 % du PIB de référence</w:t>
            </w:r>
          </w:p>
        </w:tc>
        <w:tc>
          <w:tcPr/>
          <w:p>
            <w:pPr>
              <w:pStyle w:val="Compact"/>
              <w:jc w:val="left"/>
            </w:pPr>
            <w:r>
              <w:t xml:space="preserve">Bloquant</w:t>
            </w:r>
          </w:p>
        </w:tc>
      </w:tr>
      <w:tr>
        <w:tc>
          <w:tcPr/>
          <w:p>
            <w:pPr>
              <w:pStyle w:val="Compact"/>
              <w:jc w:val="left"/>
            </w:pPr>
            <w:r>
              <w:t xml:space="preserve">34.5</w:t>
            </w:r>
          </w:p>
        </w:tc>
        <w:tc>
          <w:tcPr/>
          <w:p>
            <w:pPr>
              <w:pStyle w:val="Compact"/>
              <w:jc w:val="left"/>
            </w:pPr>
            <w:r>
              <w:t xml:space="preserve">Réplication de l’année de base</w:t>
            </w:r>
          </w:p>
        </w:tc>
        <w:tc>
          <w:tcPr/>
          <w:p>
            <w:pPr>
              <w:pStyle w:val="Compact"/>
              <w:jc w:val="left"/>
            </w:pPr>
            <w:r>
              <w:t xml:space="preserve">Le scénario de référence reproduit l’année de base de la matrice</w:t>
            </w:r>
          </w:p>
        </w:tc>
        <w:tc>
          <w:tcPr/>
          <w:p>
            <w:pPr>
              <w:pStyle w:val="Compact"/>
              <w:jc w:val="left"/>
            </w:pPr>
            <w:r>
              <w:t xml:space="preserve">0,5 % par agrégat du socle</w:t>
            </w:r>
          </w:p>
        </w:tc>
        <w:tc>
          <w:tcPr/>
          <w:p>
            <w:pPr>
              <w:pStyle w:val="Compact"/>
              <w:jc w:val="left"/>
            </w:pPr>
            <w:r>
              <w:t xml:space="preserve">Bloquant</w:t>
            </w:r>
          </w:p>
        </w:tc>
      </w:tr>
      <w:tr>
        <w:tc>
          <w:tcPr/>
          <w:p>
            <w:pPr>
              <w:pStyle w:val="Compact"/>
              <w:jc w:val="left"/>
            </w:pPr>
            <w:r>
              <w:t xml:space="preserve">34.6</w:t>
            </w:r>
          </w:p>
        </w:tc>
        <w:tc>
          <w:tcPr/>
          <w:p>
            <w:pPr>
              <w:pStyle w:val="Compact"/>
              <w:jc w:val="left"/>
            </w:pPr>
            <w:r>
              <w:t xml:space="preserve">Comptage équations et variables</w:t>
            </w:r>
          </w:p>
        </w:tc>
        <w:tc>
          <w:tcPr/>
          <w:p>
            <w:pPr>
              <w:pStyle w:val="Compact"/>
              <w:jc w:val="left"/>
            </w:pPr>
            <w:r>
              <w:t xml:space="preserve">Le modèle est carré au sens attendu par son mode de résolution</w:t>
            </w:r>
          </w:p>
        </w:tc>
        <w:tc>
          <w:tcPr/>
          <w:p>
            <w:pPr>
              <w:pStyle w:val="Compact"/>
              <w:jc w:val="left"/>
            </w:pPr>
            <w:r>
              <w:t xml:space="preserve">Égalité stricte</w:t>
            </w:r>
          </w:p>
        </w:tc>
        <w:tc>
          <w:tcPr/>
          <w:p>
            <w:pPr>
              <w:pStyle w:val="Compact"/>
              <w:jc w:val="left"/>
            </w:pPr>
            <w:r>
              <w:t xml:space="preserve">Bloquant</w:t>
            </w:r>
          </w:p>
        </w:tc>
      </w:tr>
      <w:tr>
        <w:tc>
          <w:tcPr/>
          <w:p>
            <w:pPr>
              <w:pStyle w:val="Compact"/>
              <w:jc w:val="left"/>
            </w:pPr>
            <w:r>
              <w:t xml:space="preserve">37</w:t>
            </w:r>
          </w:p>
        </w:tc>
        <w:tc>
          <w:tcPr/>
          <w:p>
            <w:pPr>
              <w:pStyle w:val="Compact"/>
              <w:jc w:val="left"/>
            </w:pPr>
            <w:r>
              <w:t xml:space="preserve">Bornes de plausibilité, croissance du PIB réel</w:t>
            </w:r>
          </w:p>
        </w:tc>
        <w:tc>
          <w:tcPr/>
          <w:p>
            <w:pPr>
              <w:pStyle w:val="Compact"/>
              <w:jc w:val="left"/>
            </w:pPr>
            <w:r>
              <w:t xml:space="preserve">Variation dans un intervalle vraisemblable</w:t>
            </w:r>
          </w:p>
        </w:tc>
        <w:tc>
          <w:tcPr/>
          <w:p>
            <w:pPr>
              <w:pStyle w:val="Compact"/>
              <w:jc w:val="left"/>
            </w:pPr>
            <w:r>
              <w:t xml:space="preserve">−15 % à +15 % par période</w:t>
            </w:r>
          </w:p>
        </w:tc>
        <w:tc>
          <w:tcPr/>
          <w:p>
            <w:pPr>
              <w:pStyle w:val="Compact"/>
              <w:jc w:val="left"/>
            </w:pPr>
            <w:r>
              <w:t xml:space="preserve">Alerte</w:t>
            </w:r>
          </w:p>
        </w:tc>
      </w:tr>
    </w:tbl>
    <w:p>
      <w:pPr>
        <w:pStyle w:val="BodyText"/>
      </w:pPr>
      <w:r>
        <w:t xml:space="preserve">Ces seuils sont des valeurs de départ, confirmées ou corrigées par le responsable de chaque modèle lors de l’état des lieux (décision D-17).</w:t>
      </w:r>
    </w:p>
    <w:bookmarkEnd w:id="248"/>
    <w:bookmarkStart w:id="249" w:name="b6.2-familles-b-et-c"/>
    <w:p>
      <w:pPr>
        <w:pStyle w:val="Heading3"/>
      </w:pPr>
      <w:r>
        <w:t xml:space="preserve">B6.2 Familles B et C</w:t>
      </w:r>
    </w:p>
    <w:p>
      <w:pPr>
        <w:pStyle w:val="FirstParagraph"/>
      </w:pPr>
      <w:r>
        <w:t xml:space="preserve">Les modèles de cadrage et d’économétrie disposent de leurs propres contrôles déclarés : bouclage comptable du cadre macro-budgétaire, cohérence des identités du TOFE, reproduction d’un exercice témoin pour les modèles économétriques.</w:t>
      </w:r>
    </w:p>
    <w:bookmarkEnd w:id="249"/>
    <w:bookmarkStart w:id="250" w:name="b6.3-comportement-en-cas-déchec"/>
    <w:p>
      <w:pPr>
        <w:pStyle w:val="Heading3"/>
      </w:pPr>
      <w:r>
        <w:t xml:space="preserve">B6.3 Comportement en cas d’échec</w:t>
      </w:r>
    </w:p>
    <w:p>
      <w:pPr>
        <w:pStyle w:val="FirstParagraph"/>
      </w:pPr>
      <w:r>
        <w:t xml:space="preserve">Chaque contrôle dispose d’un seuil paramétrable et d’un comportement défini : bloquant ou signalé.</w:t>
      </w:r>
      <w:r>
        <w:t xml:space="preserve"> </w:t>
      </w:r>
      <w:r>
        <w:rPr>
          <w:bCs/>
          <w:b/>
        </w:rPr>
        <w:t xml:space="preserve">Un échec bloquant empêche la présentation des résultats comme valides et interdit l’activation de la version concernée</w:t>
      </w:r>
      <w:r>
        <w:t xml:space="preserve">, sauf dérogation explicite de l’administrateur, enregistrée avec sa justification et notifiée au responsable du modèle. Les bornes de plausibilité déclenchent une alerte visible sans bloquer la simulation.</w:t>
      </w:r>
    </w:p>
    <w:bookmarkEnd w:id="250"/>
    <w:bookmarkStart w:id="251" w:name="b6.4-tolérances"/>
    <w:p>
      <w:pPr>
        <w:pStyle w:val="Heading3"/>
      </w:pPr>
      <w:r>
        <w:t xml:space="preserve">B6.4 Tolérances</w:t>
      </w:r>
    </w:p>
    <w:tbl>
      <w:tblPr>
        <w:tblStyle w:val="Table"/>
        <w:tblW w:type="dxa" w:w="9354"/>
        <w:tblLayout w:type="fixed"/>
        <w:tblLook w:firstRow="1" w:lastRow="0" w:firstColumn="0" w:lastColumn="0" w:noHBand="0" w:noVBand="0" w:val="0020"/>
        <w:jc w:val="start"/>
      </w:tblPr>
      <w:tblGrid>
        <w:gridCol w:w="4689"/>
        <w:gridCol w:w="4665"/>
      </w:tblGrid>
      <w:tr>
        <w:trPr>
          <w:tblHeader w:val="true"/>
        </w:trPr>
        <w:tc>
          <w:tcPr/>
          <w:p>
            <w:pPr>
              <w:pStyle w:val="Compact"/>
              <w:jc w:val="left"/>
            </w:pPr>
            <w:r>
              <w:t xml:space="preserve">Usage</w:t>
            </w:r>
          </w:p>
        </w:tc>
        <w:tc>
          <w:tcPr/>
          <w:p>
            <w:pPr>
              <w:pStyle w:val="Compact"/>
              <w:jc w:val="left"/>
            </w:pPr>
            <w:r>
              <w:t xml:space="preserve">Valeur par défaut</w:t>
            </w:r>
          </w:p>
        </w:tc>
      </w:tr>
      <w:tr>
        <w:tc>
          <w:tcPr/>
          <w:p>
            <w:pPr>
              <w:pStyle w:val="Compact"/>
              <w:jc w:val="left"/>
            </w:pPr>
            <w:r>
              <w:t xml:space="preserve">Rejeu d’une simulation à l’identique</w:t>
            </w:r>
          </w:p>
        </w:tc>
        <w:tc>
          <w:tcPr/>
          <w:p>
            <w:pPr>
              <w:pStyle w:val="Compact"/>
              <w:jc w:val="left"/>
            </w:pPr>
            <w:r>
              <w:t xml:space="preserve">Écart relatif de 10⁻⁶ sur chaque indicateur du socle</w:t>
            </w:r>
          </w:p>
        </w:tc>
      </w:tr>
      <w:tr>
        <w:tc>
          <w:tcPr/>
          <w:p>
            <w:pPr>
              <w:pStyle w:val="Compact"/>
              <w:jc w:val="left"/>
            </w:pPr>
            <w:r>
              <w:t xml:space="preserve">Non-régression d’un modèle par rapport au jeu témoin</w:t>
            </w:r>
          </w:p>
        </w:tc>
        <w:tc>
          <w:tcPr/>
          <w:p>
            <w:pPr>
              <w:pStyle w:val="Compact"/>
              <w:jc w:val="left"/>
            </w:pPr>
            <w:r>
              <w:t xml:space="preserve">Écart relatif de 10⁻⁴</w:t>
            </w:r>
          </w:p>
        </w:tc>
      </w:tr>
      <w:tr>
        <w:tc>
          <w:tcPr/>
          <w:p>
            <w:pPr>
              <w:pStyle w:val="Compact"/>
              <w:jc w:val="left"/>
            </w:pPr>
            <w:r>
              <w:t xml:space="preserve">Non-régression d’un classeur porté en Python</w:t>
            </w:r>
          </w:p>
        </w:tc>
        <w:tc>
          <w:tcPr/>
          <w:p>
            <w:pPr>
              <w:pStyle w:val="Compact"/>
              <w:jc w:val="left"/>
            </w:pPr>
            <w:r>
              <w:t xml:space="preserve">Écart relatif de 10⁻⁴ sur un exercice témoin</w:t>
            </w:r>
          </w:p>
        </w:tc>
      </w:tr>
    </w:tbl>
    <w:bookmarkEnd w:id="251"/>
    <w:bookmarkStart w:id="252" w:name="b6.5-quotas-dexécution"/>
    <w:p>
      <w:pPr>
        <w:pStyle w:val="Heading3"/>
      </w:pPr>
      <w:r>
        <w:t xml:space="preserve">B6.5 Quotas d’exécution</w:t>
      </w:r>
    </w:p>
    <w:p>
      <w:pPr>
        <w:pStyle w:val="FirstParagraph"/>
      </w:pPr>
      <w:r>
        <w:t xml:space="preserve">Durée maximale d’une exécution : 30 minutes, paramétrable par modèle. Plafond mémoire par exécution : 8 Go. Ces valeurs sont révisées après la mesure effective du lot 2.</w:t>
      </w:r>
    </w:p>
    <w:bookmarkEnd w:id="252"/>
    <w:bookmarkEnd w:id="253"/>
    <w:bookmarkStart w:id="259" w:name="Xf8b2ce59252ee36da292e4fd9ab703c4e5e9c90"/>
    <w:p>
      <w:pPr>
        <w:pStyle w:val="Heading2"/>
      </w:pPr>
      <w:r>
        <w:t xml:space="preserve">B7. Restitution, interface assistée et rapports</w:t>
      </w:r>
    </w:p>
    <w:bookmarkStart w:id="254" w:name="b7.1-socle-dindicateurs"/>
    <w:p>
      <w:pPr>
        <w:pStyle w:val="Heading3"/>
      </w:pPr>
      <w:r>
        <w:t xml:space="preserve">B7.1 Socle d’indicateurs</w:t>
      </w:r>
    </w:p>
    <w:p>
      <w:pPr>
        <w:pStyle w:val="FirstParagraph"/>
      </w:pPr>
      <w:r>
        <w:t xml:space="preserve">Chaque modèle dispose d’un socle d’indicateurs de restitution défini à l’avance,</w:t>
      </w:r>
      <w:r>
        <w:t xml:space="preserve"> </w:t>
      </w:r>
      <w:r>
        <w:rPr>
          <w:bCs/>
          <w:b/>
        </w:rPr>
        <w:t xml:space="preserve">identique d’une simulation à l’autre</w:t>
      </w:r>
      <w:r>
        <w:t xml:space="preserve">. Pour les modèles d’équilibre général, ce socle reprend la synthèse utilisée aujourd’hui : PIB, exportations, importations, consommation finale, investissement, valeur ajoutée totale et par grand secteur, recettes fiscales par type.</w:t>
      </w:r>
    </w:p>
    <w:bookmarkEnd w:id="254"/>
    <w:bookmarkStart w:id="255" w:name="b7.2-présentation"/>
    <w:p>
      <w:pPr>
        <w:pStyle w:val="Heading3"/>
      </w:pPr>
      <w:r>
        <w:t xml:space="preserve">B7.2 Présentation</w:t>
      </w:r>
    </w:p>
    <w:p>
      <w:pPr>
        <w:numPr>
          <w:ilvl w:val="0"/>
          <w:numId w:val="1045"/>
        </w:numPr>
        <w:pStyle w:val="Compact"/>
      </w:pPr>
      <w:r>
        <w:t xml:space="preserve">Résultats en tableaux organisés par période, avec la valeur de référence, la valeur simulée et l’écart.</w:t>
      </w:r>
    </w:p>
    <w:p>
      <w:pPr>
        <w:numPr>
          <w:ilvl w:val="0"/>
          <w:numId w:val="1045"/>
        </w:numPr>
        <w:pStyle w:val="Compact"/>
      </w:pPr>
      <w:r>
        <w:t xml:space="preserve">Restitution adaptée à la nature du modèle : courbes d’évolution pour les modèles dynamiques, comparaison avant-après pour les modèles statiques.</w:t>
      </w:r>
    </w:p>
    <w:p>
      <w:pPr>
        <w:numPr>
          <w:ilvl w:val="0"/>
          <w:numId w:val="1045"/>
        </w:numPr>
        <w:pStyle w:val="Compact"/>
      </w:pPr>
      <w:r>
        <w:t xml:space="preserve">Comparaison de deux simulations, y compris issues de deux versions différentes d’un même modèle, avec mise en évidence des écarts sur le socle.</w:t>
      </w:r>
    </w:p>
    <w:p>
      <w:pPr>
        <w:numPr>
          <w:ilvl w:val="0"/>
          <w:numId w:val="1045"/>
        </w:numPr>
        <w:pStyle w:val="Compact"/>
      </w:pPr>
      <w:r>
        <w:rPr>
          <w:bCs/>
          <w:b/>
        </w:rPr>
        <w:t xml:space="preserve">Toute restitution affiche en permanence le modèle, sa version, la base utilisée et le statut de la simulation.</w:t>
      </w:r>
    </w:p>
    <w:p>
      <w:pPr>
        <w:numPr>
          <w:ilvl w:val="0"/>
          <w:numId w:val="1045"/>
        </w:numPr>
        <w:pStyle w:val="Compact"/>
      </w:pPr>
      <w:r>
        <w:t xml:space="preserve">Export Excel et PDF reprenant l’ensemble des rubriques de la fiche de simulation, avec la mention du statut.</w:t>
      </w:r>
    </w:p>
    <w:bookmarkEnd w:id="255"/>
    <w:bookmarkStart w:id="256" w:name="b7.3-interface-assistée"/>
    <w:p>
      <w:pPr>
        <w:pStyle w:val="Heading3"/>
      </w:pPr>
      <w:r>
        <w:t xml:space="preserve">B7.3 Interface assistée</w:t>
      </w:r>
    </w:p>
    <w:p>
      <w:pPr>
        <w:pStyle w:val="FirstParagraph"/>
      </w:pPr>
      <w:r>
        <w:t xml:space="preserve">La couche assistée sert à formuler la demande et à interpréter le résultat. Elle ne décide de rien.</w:t>
      </w:r>
    </w:p>
    <w:p>
      <w:pPr>
        <w:numPr>
          <w:ilvl w:val="0"/>
          <w:numId w:val="1046"/>
        </w:numPr>
        <w:pStyle w:val="Compact"/>
      </w:pPr>
      <w:r>
        <w:t xml:space="preserve">L’utilisateur formule sa demande en langage courant ; l’assistant identifie les modèles pertinents et les propose à la sélection,</w:t>
      </w:r>
      <w:r>
        <w:t xml:space="preserve"> </w:t>
      </w:r>
      <w:r>
        <w:rPr>
          <w:bCs/>
          <w:b/>
        </w:rPr>
        <w:t xml:space="preserve">sans en lancer aucun d’office</w:t>
      </w:r>
      <w:r>
        <w:t xml:space="preserve">.</w:t>
      </w:r>
    </w:p>
    <w:p>
      <w:pPr>
        <w:numPr>
          <w:ilvl w:val="0"/>
          <w:numId w:val="1046"/>
        </w:numPr>
        <w:pStyle w:val="Compact"/>
      </w:pPr>
      <w:r>
        <w:t xml:space="preserve">À chaque étape, l’utilisateur peut cliquer une suggestion ou saisir librement sa réponse ; aucun vocabulaire technique n’est exigé.</w:t>
      </w:r>
    </w:p>
    <w:p>
      <w:pPr>
        <w:numPr>
          <w:ilvl w:val="0"/>
          <w:numId w:val="1046"/>
        </w:numPr>
        <w:pStyle w:val="Compact"/>
      </w:pPr>
      <w:r>
        <w:t xml:space="preserve">L’assistant traduit la demande en une proposition de choc exprimée dans les variables du modèle, et l’affiche pour confirmation avant toute exécution.</w:t>
      </w:r>
    </w:p>
    <w:p>
      <w:pPr>
        <w:numPr>
          <w:ilvl w:val="0"/>
          <w:numId w:val="1046"/>
        </w:numPr>
        <w:pStyle w:val="Compact"/>
      </w:pPr>
      <w:r>
        <w:rPr>
          <w:bCs/>
          <w:b/>
        </w:rPr>
        <w:t xml:space="preserve">Aucune exécution, modification ou diffusion n’est déclenchée sans validation explicite de l’utilisateur.</w:t>
      </w:r>
    </w:p>
    <w:p>
      <w:pPr>
        <w:numPr>
          <w:ilvl w:val="0"/>
          <w:numId w:val="1046"/>
        </w:numPr>
        <w:pStyle w:val="Compact"/>
      </w:pPr>
      <w:r>
        <w:t xml:space="preserve">Les modèles sont présentés par leur intitulé courant et leur description, jamais par un nom de fichier technique.</w:t>
      </w:r>
    </w:p>
    <w:p>
      <w:pPr>
        <w:numPr>
          <w:ilvl w:val="0"/>
          <w:numId w:val="1046"/>
        </w:numPr>
        <w:pStyle w:val="Compact"/>
      </w:pPr>
      <w:r>
        <w:t xml:space="preserve">L’échange est conservé et rattaché à la fiche de simulation qu’il a produite.</w:t>
      </w:r>
    </w:p>
    <w:p>
      <w:pPr>
        <w:numPr>
          <w:ilvl w:val="0"/>
          <w:numId w:val="1046"/>
        </w:numPr>
        <w:pStyle w:val="Compact"/>
      </w:pPr>
      <w:r>
        <w:t xml:space="preserve">Lorsque la demande ne correspond à aucun modèle du référentiel, l’assistant le dit explicitement plutôt que de proposer un modèle par défaut.</w:t>
      </w:r>
    </w:p>
    <w:p>
      <w:pPr>
        <w:numPr>
          <w:ilvl w:val="0"/>
          <w:numId w:val="1046"/>
        </w:numPr>
        <w:pStyle w:val="Compact"/>
      </w:pPr>
      <w:r>
        <w:t xml:space="preserve">Les indicateurs complémentaires proposés sont présentés distinctement du socle et identifiés comme tels ; le résumé en langage clair est identifié comme</w:t>
      </w:r>
      <w:r>
        <w:t xml:space="preserve"> </w:t>
      </w:r>
      <w:r>
        <w:rPr>
          <w:bCs/>
          <w:b/>
        </w:rPr>
        <w:t xml:space="preserve">une interprétation assistée et non comme une conclusion validée</w:t>
      </w:r>
      <w:r>
        <w:t xml:space="preserve">.</w:t>
      </w:r>
    </w:p>
    <w:p>
      <w:pPr>
        <w:pStyle w:val="FirstParagraph"/>
      </w:pPr>
      <w:r>
        <w:t xml:space="preserve">Le recours à un fournisseur externe est encadré par la Partie 0, section 10.4. Le produit doit rester pleinement utilisable sans la couche assistée : un mode expert permet de définir un scénario, de l’exécuter et de lire les résultats sans passer par elle.</w:t>
      </w:r>
    </w:p>
    <w:bookmarkEnd w:id="256"/>
    <w:bookmarkStart w:id="257" w:name="Xd810fec55f050e8d537751b2a76919af4c15bb3"/>
    <w:p>
      <w:pPr>
        <w:pStyle w:val="Heading3"/>
      </w:pPr>
      <w:r>
        <w:t xml:space="preserve">B7.4 Copilote d’administration des modèles</w:t>
      </w:r>
    </w:p>
    <w:p>
      <w:pPr>
        <w:numPr>
          <w:ilvl w:val="0"/>
          <w:numId w:val="1047"/>
        </w:numPr>
        <w:pStyle w:val="Compact"/>
      </w:pPr>
      <w:r>
        <w:t xml:space="preserve">L’administrateur ou le responsable de modèle décrit en langage courant une modification souhaitée ; l’assistant identifie les équations et paramètres concernés et présente une</w:t>
      </w:r>
      <w:r>
        <w:t xml:space="preserve"> </w:t>
      </w:r>
      <w:r>
        <w:rPr>
          <w:bCs/>
          <w:b/>
        </w:rPr>
        <w:t xml:space="preserve">analyse d’impact avant toute action</w:t>
      </w:r>
      <w:r>
        <w:t xml:space="preserve">.</w:t>
      </w:r>
    </w:p>
    <w:p>
      <w:pPr>
        <w:numPr>
          <w:ilvl w:val="0"/>
          <w:numId w:val="1047"/>
        </w:numPr>
        <w:pStyle w:val="Compact"/>
      </w:pPr>
      <w:r>
        <w:t xml:space="preserve">L’analyse énonce explicitement les risques : ce qui peut être affecté, ce qui peut cesser de converger, ce qui peut invalider le calibrage.</w:t>
      </w:r>
    </w:p>
    <w:p>
      <w:pPr>
        <w:numPr>
          <w:ilvl w:val="0"/>
          <w:numId w:val="1047"/>
        </w:numPr>
        <w:pStyle w:val="Compact"/>
      </w:pPr>
      <w:r>
        <w:rPr>
          <w:bCs/>
          <w:b/>
        </w:rPr>
        <w:t xml:space="preserve">Toute modification produit une nouvelle version distincte ; la version active n’est jamais modifiée.</w:t>
      </w:r>
    </w:p>
    <w:bookmarkEnd w:id="257"/>
    <w:bookmarkStart w:id="258" w:name="b7.5-rapports-et-livrables"/>
    <w:p>
      <w:pPr>
        <w:pStyle w:val="Heading3"/>
      </w:pPr>
      <w:r>
        <w:t xml:space="preserve">B7.5 Rapports et livrables</w:t>
      </w:r>
    </w:p>
    <w:p>
      <w:pPr>
        <w:pStyle w:val="FirstParagraph"/>
      </w:pPr>
      <w:r>
        <w:t xml:space="preserve">Génération assistée du RPEF, des notes de conjoncture et des éléments de cadrage du CDMT, à partir d’une ou plusieurs fiches de simulation. Le rapport est un</w:t>
      </w:r>
      <w:r>
        <w:t xml:space="preserve"> </w:t>
      </w:r>
      <w:r>
        <w:rPr>
          <w:rStyle w:val="VerbatimChar"/>
        </w:rPr>
        <w:t xml:space="preserve">document</w:t>
      </w:r>
      <w:r>
        <w:t xml:space="preserve"> </w:t>
      </w:r>
      <w:r>
        <w:t xml:space="preserve">de la GED au sens de la Partie 0, section 6.2, soumis au circuit de statut et de visa de la Partie 0, section 7. Aucun envoi périodique automatique : la production reste déclenchée par un utilisateur.</w:t>
      </w:r>
    </w:p>
    <w:bookmarkEnd w:id="258"/>
    <w:bookmarkEnd w:id="259"/>
    <w:bookmarkStart w:id="300" w:name="b8.-parcours-utilisateur-et-écrans"/>
    <w:p>
      <w:pPr>
        <w:pStyle w:val="Heading2"/>
      </w:pPr>
      <w:r>
        <w:t xml:space="preserve">B8. Parcours utilisateur et écrans</w:t>
      </w:r>
    </w:p>
    <w:p>
      <w:pPr>
        <w:pStyle w:val="FirstParagraph"/>
      </w:pPr>
      <w:r>
        <w:t xml:space="preserve">Douze écrans couvrent l’ensemble des exigences fonctionnelles du domaine. Pour chacun : ce qu’il montre, ce qu’on y fait, et les règles à respecter. Les maquettes sont</w:t>
      </w:r>
      <w:r>
        <w:t xml:space="preserve"> </w:t>
      </w:r>
      <w:r>
        <w:rPr>
          <w:bCs/>
          <w:b/>
        </w:rPr>
        <w:t xml:space="preserve">indicatives quant au style graphique</w:t>
      </w:r>
      <w:r>
        <w:t xml:space="preserve"> </w:t>
      </w:r>
      <w:r>
        <w:t xml:space="preserve">et</w:t>
      </w:r>
      <w:r>
        <w:t xml:space="preserve"> </w:t>
      </w:r>
      <w:r>
        <w:rPr>
          <w:bCs/>
          <w:b/>
        </w:rPr>
        <w:t xml:space="preserve">normatives quant au contenu affiché, à son cloisonnement et aux mentions obligatoires</w:t>
      </w:r>
      <w:r>
        <w:t xml:space="preserve">. Les données représentées sont fictives ; l’en-tête porte le nom du produit, NIMBA.</w:t>
      </w:r>
    </w:p>
    <w:bookmarkStart w:id="281" w:name="b8.1-écrans-analyste-et-décideur"/>
    <w:p>
      <w:pPr>
        <w:pStyle w:val="Heading3"/>
      </w:pPr>
      <w:r>
        <w:t xml:space="preserve">B8.1 Écrans analyste et décideur</w:t>
      </w:r>
    </w:p>
    <w:p>
      <w:pPr>
        <w:pStyle w:val="FirstParagraph"/>
      </w:pPr>
      <w:r>
        <w:rPr>
          <w:bCs/>
          <w:b/>
        </w:rPr>
        <w:t xml:space="preserve">E1 — Conversation.</w:t>
      </w:r>
      <w:r>
        <w:t xml:space="preserve"> </w:t>
      </w:r>
      <w:r>
        <w:t xml:space="preserve">Fil de discussion, question de l’utilisateur à droite, réponses à gauche. À chaque étape, des suggestions cliquables et un champ de saisie libre. Les modèles proposés apparaissent en cartes (intitulé courant, description courte, famille), jamais sous leur nom de fichier. Bouton permanent « mode expert » pour basculer vers E2 sans couche assistée.</w:t>
      </w:r>
    </w:p>
    <w:p>
      <w:pPr>
        <w:pStyle w:val="CaptionedFigure"/>
      </w:pPr>
      <w:r>
        <w:drawing>
          <wp:inline>
            <wp:extent cx="5759999" cy="3323076"/>
            <wp:effectExtent b="0" l="0" r="0" t="0"/>
            <wp:docPr descr="Figure 9 — E1, conversation" title="" id="261" name="Picture"/>
            <a:graphic>
              <a:graphicData uri="http://schemas.openxmlformats.org/drawingml/2006/picture">
                <pic:pic>
                  <pic:nvPicPr>
                    <pic:cNvPr descr="media_v2/fig09-e1.png" id="262" name="Picture"/>
                    <pic:cNvPicPr>
                      <a:picLocks noChangeArrowheads="1" noChangeAspect="1"/>
                    </pic:cNvPicPr>
                  </pic:nvPicPr>
                  <pic:blipFill>
                    <a:blip r:embed="rId260"/>
                    <a:stretch>
                      <a:fillRect/>
                    </a:stretch>
                  </pic:blipFill>
                  <pic:spPr bwMode="auto">
                    <a:xfrm>
                      <a:off x="0" y="0"/>
                      <a:ext cx="5759999" cy="3323076"/>
                    </a:xfrm>
                    <a:prstGeom prst="rect">
                      <a:avLst/>
                    </a:prstGeom>
                    <a:noFill/>
                    <a:ln w="9525">
                      <a:noFill/>
                      <a:headEnd/>
                      <a:tailEnd/>
                    </a:ln>
                  </pic:spPr>
                </pic:pic>
              </a:graphicData>
            </a:graphic>
          </wp:inline>
        </w:drawing>
      </w:r>
    </w:p>
    <w:p>
      <w:pPr>
        <w:pStyle w:val="ImageCaption"/>
      </w:pPr>
      <w:r>
        <w:t xml:space="preserve">Figure 9 — E1, conversation</w:t>
      </w:r>
    </w:p>
    <w:p>
      <w:pPr>
        <w:pStyle w:val="BodyText"/>
      </w:pPr>
      <w:r>
        <w:t xml:space="preserve">Les modèles sont présentés en cartes par leur intitulé courant ; le mode expert reste accessible en permanence.</w:t>
      </w:r>
    </w:p>
    <w:p>
      <w:pPr>
        <w:pStyle w:val="BodyText"/>
      </w:pPr>
      <w:r>
        <w:rPr>
          <w:bCs/>
          <w:b/>
        </w:rPr>
        <w:t xml:space="preserve">E2 — Définition du choc.</w:t>
      </w:r>
      <w:r>
        <w:t xml:space="preserve"> </w:t>
      </w:r>
      <w:r>
        <w:t xml:space="preserve">Formulaire construit dynamiquement à partir des</w:t>
      </w:r>
      <w:r>
        <w:t xml:space="preserve"> </w:t>
      </w:r>
      <w:r>
        <w:rPr>
          <w:rStyle w:val="VerbatimChar"/>
        </w:rPr>
        <w:t xml:space="preserve">parametre_choc</w:t>
      </w:r>
      <w:r>
        <w:t xml:space="preserve"> </w:t>
      </w:r>
      <w:r>
        <w:t xml:space="preserve">du modèle : sélection du paramètre, des index (produit, branche, institution), de l’ampleur avec son unité, du type de période. Affichage de la fermeture retenue, avec possibilité de la changer si le modèle en admet plusieurs. Récapitulatif avant lancement : modèle, version, base, scénario de référence, chocs, fermeture. Le bouton de lancement est le seul point de déclenchement d’un calcul.</w:t>
      </w:r>
    </w:p>
    <w:p>
      <w:pPr>
        <w:pStyle w:val="CaptionedFigure"/>
      </w:pPr>
      <w:r>
        <w:drawing>
          <wp:inline>
            <wp:extent cx="5759999" cy="3212307"/>
            <wp:effectExtent b="0" l="0" r="0" t="0"/>
            <wp:docPr descr="Figure 10 — E2, définition du choc" title="" id="264" name="Picture"/>
            <a:graphic>
              <a:graphicData uri="http://schemas.openxmlformats.org/drawingml/2006/picture">
                <pic:pic>
                  <pic:nvPicPr>
                    <pic:cNvPr descr="media_v2/fig10-e2.png" id="265" name="Picture"/>
                    <pic:cNvPicPr>
                      <a:picLocks noChangeArrowheads="1" noChangeAspect="1"/>
                    </pic:cNvPicPr>
                  </pic:nvPicPr>
                  <pic:blipFill>
                    <a:blip r:embed="rId263"/>
                    <a:stretch>
                      <a:fillRect/>
                    </a:stretch>
                  </pic:blipFill>
                  <pic:spPr bwMode="auto">
                    <a:xfrm>
                      <a:off x="0" y="0"/>
                      <a:ext cx="5759999" cy="3212307"/>
                    </a:xfrm>
                    <a:prstGeom prst="rect">
                      <a:avLst/>
                    </a:prstGeom>
                    <a:noFill/>
                    <a:ln w="9525">
                      <a:noFill/>
                      <a:headEnd/>
                      <a:tailEnd/>
                    </a:ln>
                  </pic:spPr>
                </pic:pic>
              </a:graphicData>
            </a:graphic>
          </wp:inline>
        </w:drawing>
      </w:r>
    </w:p>
    <w:p>
      <w:pPr>
        <w:pStyle w:val="ImageCaption"/>
      </w:pPr>
      <w:r>
        <w:t xml:space="preserve">Figure 10 — E2, définition du choc</w:t>
      </w:r>
    </w:p>
    <w:p>
      <w:pPr>
        <w:pStyle w:val="BodyText"/>
      </w:pPr>
      <w:r>
        <w:t xml:space="preserve">Le formulaire est construit à partir des paramètres déclarés du modèle ; le récapitulatif précède le seul bouton qui déclenche un calcul.</w:t>
      </w:r>
    </w:p>
    <w:p>
      <w:pPr>
        <w:pStyle w:val="BodyText"/>
      </w:pPr>
      <w:r>
        <w:rPr>
          <w:bCs/>
          <w:b/>
        </w:rPr>
        <w:t xml:space="preserve">E3 — Exécution.</w:t>
      </w:r>
      <w:r>
        <w:t xml:space="preserve"> </w:t>
      </w:r>
      <w:r>
        <w:t xml:space="preserve">Position dans la file, durée écoulée, durée moyenne observée pour ce modèle, bouton d’annulation. L’utilisateur peut quitter l’écran sans interrompre le calcul et être averti à la fin.</w:t>
      </w:r>
    </w:p>
    <w:p>
      <w:pPr>
        <w:pStyle w:val="CaptionedFigure"/>
      </w:pPr>
      <w:r>
        <w:drawing>
          <wp:inline>
            <wp:extent cx="5759999" cy="2326153"/>
            <wp:effectExtent b="0" l="0" r="0" t="0"/>
            <wp:docPr descr="Figure 11 — E3, exécution" title="" id="267" name="Picture"/>
            <a:graphic>
              <a:graphicData uri="http://schemas.openxmlformats.org/drawingml/2006/picture">
                <pic:pic>
                  <pic:nvPicPr>
                    <pic:cNvPr descr="media_v2/fig11-e3.png" id="268" name="Picture"/>
                    <pic:cNvPicPr>
                      <a:picLocks noChangeArrowheads="1" noChangeAspect="1"/>
                    </pic:cNvPicPr>
                  </pic:nvPicPr>
                  <pic:blipFill>
                    <a:blip r:embed="rId266"/>
                    <a:stretch>
                      <a:fillRect/>
                    </a:stretch>
                  </pic:blipFill>
                  <pic:spPr bwMode="auto">
                    <a:xfrm>
                      <a:off x="0" y="0"/>
                      <a:ext cx="5759999" cy="2326153"/>
                    </a:xfrm>
                    <a:prstGeom prst="rect">
                      <a:avLst/>
                    </a:prstGeom>
                    <a:noFill/>
                    <a:ln w="9525">
                      <a:noFill/>
                      <a:headEnd/>
                      <a:tailEnd/>
                    </a:ln>
                  </pic:spPr>
                </pic:pic>
              </a:graphicData>
            </a:graphic>
          </wp:inline>
        </w:drawing>
      </w:r>
    </w:p>
    <w:p>
      <w:pPr>
        <w:pStyle w:val="ImageCaption"/>
      </w:pPr>
      <w:r>
        <w:t xml:space="preserve">Figure 11 — E3, exécution</w:t>
      </w:r>
    </w:p>
    <w:p>
      <w:pPr>
        <w:pStyle w:val="BodyText"/>
      </w:pPr>
      <w:r>
        <w:t xml:space="preserve">La file est visible, la durée moyenne du modèle sert de repère, et l’utilisateur peut quitter l’écran sans interrompre le calcul.</w:t>
      </w:r>
    </w:p>
    <w:p>
      <w:pPr>
        <w:pStyle w:val="BodyText"/>
      </w:pPr>
      <w:r>
        <w:rPr>
          <w:bCs/>
          <w:b/>
        </w:rPr>
        <w:t xml:space="preserve">E4 — Résultats.</w:t>
      </w:r>
      <w:r>
        <w:t xml:space="preserve"> </w:t>
      </w:r>
      <w:r>
        <w:t xml:space="preserve">En-tête permanent : modèle, version, base, scénario de référence, fermeture, statut de diffusion, statut du solveur. Bloc d’indicateurs clés du socle, puis tableau par période (référence, simulé, écart absolu, écart en pourcentage). Graphiques d’évolution pour les modèles dynamiques, comparaison avant-après pour les statiques. Bandeau des contrôles de cohérence, vert ou rouge, dépliable. Résumé en langage clair identifié comme interprétation assistée. Boutons d’export Excel et PDF. En cas de non-convergence, l’écran affiche un message clair, les paramètres du scénario et un bouton de retour à E2,</w:t>
      </w:r>
      <w:r>
        <w:t xml:space="preserve"> </w:t>
      </w:r>
      <w:r>
        <w:rPr>
          <w:bCs/>
          <w:b/>
        </w:rPr>
        <w:t xml:space="preserve">sans aucun chiffre de résultat</w:t>
      </w:r>
      <w:r>
        <w:t xml:space="preserve">.</w:t>
      </w:r>
    </w:p>
    <w:p>
      <w:pPr>
        <w:pStyle w:val="CaptionedFigure"/>
      </w:pPr>
      <w:r>
        <w:drawing>
          <wp:inline>
            <wp:extent cx="5759999" cy="3433846"/>
            <wp:effectExtent b="0" l="0" r="0" t="0"/>
            <wp:docPr descr="Figure 12 — E4, résultats" title="" id="270" name="Picture"/>
            <a:graphic>
              <a:graphicData uri="http://schemas.openxmlformats.org/drawingml/2006/picture">
                <pic:pic>
                  <pic:nvPicPr>
                    <pic:cNvPr descr="media_v2/fig12-e4.png" id="271" name="Picture"/>
                    <pic:cNvPicPr>
                      <a:picLocks noChangeArrowheads="1" noChangeAspect="1"/>
                    </pic:cNvPicPr>
                  </pic:nvPicPr>
                  <pic:blipFill>
                    <a:blip r:embed="rId269"/>
                    <a:stretch>
                      <a:fillRect/>
                    </a:stretch>
                  </pic:blipFill>
                  <pic:spPr bwMode="auto">
                    <a:xfrm>
                      <a:off x="0" y="0"/>
                      <a:ext cx="5759999" cy="3433846"/>
                    </a:xfrm>
                    <a:prstGeom prst="rect">
                      <a:avLst/>
                    </a:prstGeom>
                    <a:noFill/>
                    <a:ln w="9525">
                      <a:noFill/>
                      <a:headEnd/>
                      <a:tailEnd/>
                    </a:ln>
                  </pic:spPr>
                </pic:pic>
              </a:graphicData>
            </a:graphic>
          </wp:inline>
        </w:drawing>
      </w:r>
    </w:p>
    <w:p>
      <w:pPr>
        <w:pStyle w:val="ImageCaption"/>
      </w:pPr>
      <w:r>
        <w:t xml:space="preserve">Figure 12 — E4, résultats</w:t>
      </w:r>
    </w:p>
    <w:p>
      <w:pPr>
        <w:pStyle w:val="BodyText"/>
      </w:pPr>
      <w:r>
        <w:t xml:space="preserve">L’en-tête rappelle en permanence le modèle, sa version, la base et le statut ; le bandeau des contrôles précède tout chiffre.</w:t>
      </w:r>
    </w:p>
    <w:p>
      <w:pPr>
        <w:pStyle w:val="BodyText"/>
      </w:pPr>
      <w:r>
        <w:rPr>
          <w:bCs/>
          <w:b/>
        </w:rPr>
        <w:t xml:space="preserve">E5 — Comparaison.</w:t>
      </w:r>
      <w:r>
        <w:t xml:space="preserve"> </w:t>
      </w:r>
      <w:r>
        <w:t xml:space="preserve">Sélection de deux à quatre simulations, tableau aligné sur le socle d’indicateurs, mise en évidence des écarts, mention de la version de modèle de chacune lorsque celles-ci diffèrent.</w:t>
      </w:r>
    </w:p>
    <w:p>
      <w:pPr>
        <w:pStyle w:val="CaptionedFigure"/>
      </w:pPr>
      <w:r>
        <w:drawing>
          <wp:inline>
            <wp:extent cx="5759999" cy="2603076"/>
            <wp:effectExtent b="0" l="0" r="0" t="0"/>
            <wp:docPr descr="Figure 13 — E5, comparaison" title="" id="273" name="Picture"/>
            <a:graphic>
              <a:graphicData uri="http://schemas.openxmlformats.org/drawingml/2006/picture">
                <pic:pic>
                  <pic:nvPicPr>
                    <pic:cNvPr descr="media_v2/fig13-e5.png" id="274" name="Picture"/>
                    <pic:cNvPicPr>
                      <a:picLocks noChangeArrowheads="1" noChangeAspect="1"/>
                    </pic:cNvPicPr>
                  </pic:nvPicPr>
                  <pic:blipFill>
                    <a:blip r:embed="rId272"/>
                    <a:stretch>
                      <a:fillRect/>
                    </a:stretch>
                  </pic:blipFill>
                  <pic:spPr bwMode="auto">
                    <a:xfrm>
                      <a:off x="0" y="0"/>
                      <a:ext cx="5759999" cy="2603076"/>
                    </a:xfrm>
                    <a:prstGeom prst="rect">
                      <a:avLst/>
                    </a:prstGeom>
                    <a:noFill/>
                    <a:ln w="9525">
                      <a:noFill/>
                      <a:headEnd/>
                      <a:tailEnd/>
                    </a:ln>
                  </pic:spPr>
                </pic:pic>
              </a:graphicData>
            </a:graphic>
          </wp:inline>
        </w:drawing>
      </w:r>
    </w:p>
    <w:p>
      <w:pPr>
        <w:pStyle w:val="ImageCaption"/>
      </w:pPr>
      <w:r>
        <w:t xml:space="preserve">Figure 13 — E5, comparaison</w:t>
      </w:r>
    </w:p>
    <w:p>
      <w:pPr>
        <w:pStyle w:val="BodyText"/>
      </w:pPr>
      <w:r>
        <w:t xml:space="preserve">La version et la base de chaque simulation sont rappelées : comparer deux simulations issues de versions différentes reste possible, mais s’affiche comme tel.</w:t>
      </w:r>
    </w:p>
    <w:p>
      <w:pPr>
        <w:pStyle w:val="BodyText"/>
      </w:pPr>
      <w:r>
        <w:rPr>
          <w:bCs/>
          <w:b/>
        </w:rPr>
        <w:t xml:space="preserve">E6 — Historique.</w:t>
      </w:r>
      <w:r>
        <w:t xml:space="preserve"> </w:t>
      </w:r>
      <w:r>
        <w:t xml:space="preserve">Liste filtrable par modèle, auteur, période et statut ; accès à la fiche complète, au rejeu à l’identique et au partage par lien interne.</w:t>
      </w:r>
    </w:p>
    <w:p>
      <w:pPr>
        <w:pStyle w:val="CaptionedFigure"/>
      </w:pPr>
      <w:r>
        <w:drawing>
          <wp:inline>
            <wp:extent cx="5759999" cy="2436923"/>
            <wp:effectExtent b="0" l="0" r="0" t="0"/>
            <wp:docPr descr="Figure 14 — E6, historique" title="" id="276" name="Picture"/>
            <a:graphic>
              <a:graphicData uri="http://schemas.openxmlformats.org/drawingml/2006/picture">
                <pic:pic>
                  <pic:nvPicPr>
                    <pic:cNvPr descr="media_v2/fig14-e6.png" id="277" name="Picture"/>
                    <pic:cNvPicPr>
                      <a:picLocks noChangeArrowheads="1" noChangeAspect="1"/>
                    </pic:cNvPicPr>
                  </pic:nvPicPr>
                  <pic:blipFill>
                    <a:blip r:embed="rId275"/>
                    <a:stretch>
                      <a:fillRect/>
                    </a:stretch>
                  </pic:blipFill>
                  <pic:spPr bwMode="auto">
                    <a:xfrm>
                      <a:off x="0" y="0"/>
                      <a:ext cx="5759999" cy="2436923"/>
                    </a:xfrm>
                    <a:prstGeom prst="rect">
                      <a:avLst/>
                    </a:prstGeom>
                    <a:noFill/>
                    <a:ln w="9525">
                      <a:noFill/>
                      <a:headEnd/>
                      <a:tailEnd/>
                    </a:ln>
                  </pic:spPr>
                </pic:pic>
              </a:graphicData>
            </a:graphic>
          </wp:inline>
        </w:drawing>
      </w:r>
    </w:p>
    <w:p>
      <w:pPr>
        <w:pStyle w:val="ImageCaption"/>
      </w:pPr>
      <w:r>
        <w:t xml:space="preserve">Figure 14 — E6, historique</w:t>
      </w:r>
    </w:p>
    <w:p>
      <w:pPr>
        <w:pStyle w:val="BodyText"/>
      </w:pPr>
      <w:r>
        <w:t xml:space="preserve">Filtres par modèle, auteur, statut et période ; chaque ligne ouvre la fiche complète, rejouable et partageable.</w:t>
      </w:r>
    </w:p>
    <w:p>
      <w:pPr>
        <w:pStyle w:val="BodyText"/>
      </w:pPr>
      <w:r>
        <w:rPr>
          <w:bCs/>
          <w:b/>
        </w:rPr>
        <w:t xml:space="preserve">E7 — Rapports.</w:t>
      </w:r>
      <w:r>
        <w:t xml:space="preserve"> </w:t>
      </w:r>
      <w:r>
        <w:t xml:space="preserve">Composition d’un rapport à partir de simulations sélectionnées, choix d’un modèle de rapport, prévisualisation, soumission au validateur. Chaque chiffre reste rattaché à sa simulation d’origine.</w:t>
      </w:r>
    </w:p>
    <w:p>
      <w:pPr>
        <w:pStyle w:val="CaptionedFigure"/>
      </w:pPr>
      <w:r>
        <w:drawing>
          <wp:inline>
            <wp:extent cx="5759999" cy="2603076"/>
            <wp:effectExtent b="0" l="0" r="0" t="0"/>
            <wp:docPr descr="Figure 15 — E7, rapports" title="" id="279" name="Picture"/>
            <a:graphic>
              <a:graphicData uri="http://schemas.openxmlformats.org/drawingml/2006/picture">
                <pic:pic>
                  <pic:nvPicPr>
                    <pic:cNvPr descr="media_v2/fig15-e7.png" id="280" name="Picture"/>
                    <pic:cNvPicPr>
                      <a:picLocks noChangeArrowheads="1" noChangeAspect="1"/>
                    </pic:cNvPicPr>
                  </pic:nvPicPr>
                  <pic:blipFill>
                    <a:blip r:embed="rId278"/>
                    <a:stretch>
                      <a:fillRect/>
                    </a:stretch>
                  </pic:blipFill>
                  <pic:spPr bwMode="auto">
                    <a:xfrm>
                      <a:off x="0" y="0"/>
                      <a:ext cx="5759999" cy="2603076"/>
                    </a:xfrm>
                    <a:prstGeom prst="rect">
                      <a:avLst/>
                    </a:prstGeom>
                    <a:noFill/>
                    <a:ln w="9525">
                      <a:noFill/>
                      <a:headEnd/>
                      <a:tailEnd/>
                    </a:ln>
                  </pic:spPr>
                </pic:pic>
              </a:graphicData>
            </a:graphic>
          </wp:inline>
        </w:drawing>
      </w:r>
    </w:p>
    <w:p>
      <w:pPr>
        <w:pStyle w:val="ImageCaption"/>
      </w:pPr>
      <w:r>
        <w:t xml:space="preserve">Figure 15 — E7, rapports</w:t>
      </w:r>
    </w:p>
    <w:p>
      <w:pPr>
        <w:pStyle w:val="BodyText"/>
      </w:pPr>
      <w:r>
        <w:t xml:space="preserve">Le rapport se compose à partir de fiches de simulation ; le statut des sources conditionne la mention portée sur le document.</w:t>
      </w:r>
    </w:p>
    <w:bookmarkEnd w:id="281"/>
    <w:bookmarkStart w:id="297" w:name="X1f96197424c530a2084c9e92306c25e2001837c"/>
    <w:p>
      <w:pPr>
        <w:pStyle w:val="Heading3"/>
      </w:pPr>
      <w:r>
        <w:t xml:space="preserve">B8.2 Écrans administrateur et responsable de modèle</w:t>
      </w:r>
    </w:p>
    <w:p>
      <w:pPr>
        <w:pStyle w:val="FirstParagraph"/>
      </w:pPr>
      <w:r>
        <w:rPr>
          <w:bCs/>
          <w:b/>
        </w:rPr>
        <w:t xml:space="preserve">E8 — Référentiel.</w:t>
      </w:r>
      <w:r>
        <w:t xml:space="preserve"> </w:t>
      </w:r>
      <w:r>
        <w:t xml:space="preserve">Tableau de tous les modèles : intitulé, famille, moteur, version active, date du dernier calibrage validé, responsable, état des derniers contrôles. C’est l’écran d’accueil de l’administrateur.</w:t>
      </w:r>
    </w:p>
    <w:p>
      <w:pPr>
        <w:pStyle w:val="CaptionedFigure"/>
      </w:pPr>
      <w:r>
        <w:drawing>
          <wp:inline>
            <wp:extent cx="5759999" cy="2603076"/>
            <wp:effectExtent b="0" l="0" r="0" t="0"/>
            <wp:docPr descr="Figure 16 — E8, référentiel" title="" id="283" name="Picture"/>
            <a:graphic>
              <a:graphicData uri="http://schemas.openxmlformats.org/drawingml/2006/picture">
                <pic:pic>
                  <pic:nvPicPr>
                    <pic:cNvPr descr="media_v2/fig16-e8.png" id="284" name="Picture"/>
                    <pic:cNvPicPr>
                      <a:picLocks noChangeArrowheads="1" noChangeAspect="1"/>
                    </pic:cNvPicPr>
                  </pic:nvPicPr>
                  <pic:blipFill>
                    <a:blip r:embed="rId282"/>
                    <a:stretch>
                      <a:fillRect/>
                    </a:stretch>
                  </pic:blipFill>
                  <pic:spPr bwMode="auto">
                    <a:xfrm>
                      <a:off x="0" y="0"/>
                      <a:ext cx="5759999" cy="2603076"/>
                    </a:xfrm>
                    <a:prstGeom prst="rect">
                      <a:avLst/>
                    </a:prstGeom>
                    <a:noFill/>
                    <a:ln w="9525">
                      <a:noFill/>
                      <a:headEnd/>
                      <a:tailEnd/>
                    </a:ln>
                  </pic:spPr>
                </pic:pic>
              </a:graphicData>
            </a:graphic>
          </wp:inline>
        </w:drawing>
      </w:r>
    </w:p>
    <w:p>
      <w:pPr>
        <w:pStyle w:val="ImageCaption"/>
      </w:pPr>
      <w:r>
        <w:t xml:space="preserve">Figure 16 — E8, référentiel</w:t>
      </w:r>
    </w:p>
    <w:p>
      <w:pPr>
        <w:pStyle w:val="BodyText"/>
      </w:pPr>
      <w:r>
        <w:t xml:space="preserve">Un modèle sans version active est signalé : il n’est pas exécutable tant qu’une version n’a pas été déposée et validée.</w:t>
      </w:r>
    </w:p>
    <w:p>
      <w:pPr>
        <w:pStyle w:val="BodyText"/>
      </w:pPr>
      <w:r>
        <w:rPr>
          <w:bCs/>
          <w:b/>
        </w:rPr>
        <w:t xml:space="preserve">E9 — Fiche modèle.</w:t>
      </w:r>
      <w:r>
        <w:t xml:space="preserve"> </w:t>
      </w:r>
      <w:r>
        <w:t xml:space="preserve">Fiche d’identité éditable, liste des</w:t>
      </w:r>
      <w:r>
        <w:t xml:space="preserve"> </w:t>
      </w:r>
      <w:r>
        <w:rPr>
          <w:rStyle w:val="VerbatimChar"/>
        </w:rPr>
        <w:t xml:space="preserve">parametre_choc</w:t>
      </w:r>
      <w:r>
        <w:t xml:space="preserve"> </w:t>
      </w:r>
      <w:r>
        <w:t xml:space="preserve">et des</w:t>
      </w:r>
      <w:r>
        <w:t xml:space="preserve"> </w:t>
      </w:r>
      <w:r>
        <w:rPr>
          <w:rStyle w:val="VerbatimChar"/>
        </w:rPr>
        <w:t xml:space="preserve">indicateur_sortie</w:t>
      </w:r>
      <w:r>
        <w:t xml:space="preserve"> </w:t>
      </w:r>
      <w:r>
        <w:t xml:space="preserve">avec la marque d’appartenance au socle, éléments protégés, historique des versions avec leur état, bouton de dépôt d’une nouvelle version, comparaison de deux versions.</w:t>
      </w:r>
    </w:p>
    <w:p>
      <w:pPr>
        <w:pStyle w:val="CaptionedFigure"/>
      </w:pPr>
      <w:r>
        <w:drawing>
          <wp:inline>
            <wp:extent cx="5759999" cy="2769230"/>
            <wp:effectExtent b="0" l="0" r="0" t="0"/>
            <wp:docPr descr="Figure 17 — E9, fiche modèle" title="" id="286" name="Picture"/>
            <a:graphic>
              <a:graphicData uri="http://schemas.openxmlformats.org/drawingml/2006/picture">
                <pic:pic>
                  <pic:nvPicPr>
                    <pic:cNvPr descr="media_v2/fig17-e9.png" id="287" name="Picture"/>
                    <pic:cNvPicPr>
                      <a:picLocks noChangeArrowheads="1" noChangeAspect="1"/>
                    </pic:cNvPicPr>
                  </pic:nvPicPr>
                  <pic:blipFill>
                    <a:blip r:embed="rId285"/>
                    <a:stretch>
                      <a:fillRect/>
                    </a:stretch>
                  </pic:blipFill>
                  <pic:spPr bwMode="auto">
                    <a:xfrm>
                      <a:off x="0" y="0"/>
                      <a:ext cx="5759999" cy="2769230"/>
                    </a:xfrm>
                    <a:prstGeom prst="rect">
                      <a:avLst/>
                    </a:prstGeom>
                    <a:noFill/>
                    <a:ln w="9525">
                      <a:noFill/>
                      <a:headEnd/>
                      <a:tailEnd/>
                    </a:ln>
                  </pic:spPr>
                </pic:pic>
              </a:graphicData>
            </a:graphic>
          </wp:inline>
        </w:drawing>
      </w:r>
    </w:p>
    <w:p>
      <w:pPr>
        <w:pStyle w:val="ImageCaption"/>
      </w:pPr>
      <w:r>
        <w:t xml:space="preserve">Figure 17 — E9, fiche modèle</w:t>
      </w:r>
    </w:p>
    <w:p>
      <w:pPr>
        <w:pStyle w:val="BodyText"/>
      </w:pPr>
      <w:r>
        <w:t xml:space="preserve">Les paramètres de choc déclarés ici sont les seuls choquables depuis l’interface ; ils portent leur unité, leurs dimensions et leurs bornes.</w:t>
      </w:r>
    </w:p>
    <w:p>
      <w:pPr>
        <w:pStyle w:val="BodyText"/>
      </w:pPr>
      <w:r>
        <w:rPr>
          <w:bCs/>
          <w:b/>
        </w:rPr>
        <w:t xml:space="preserve">E10 — Dépôt et activation.</w:t>
      </w:r>
      <w:r>
        <w:t xml:space="preserve"> </w:t>
      </w:r>
      <w:r>
        <w:t xml:space="preserve">Téléversement des fichiers, note de version, désignation de la base, lancement des contrôles, affichage détaillé de leur résultat, activation soumise à la co-validation du responsable, dérogation motivée le cas échéant.</w:t>
      </w:r>
    </w:p>
    <w:p>
      <w:pPr>
        <w:pStyle w:val="CaptionedFigure"/>
      </w:pPr>
      <w:r>
        <w:drawing>
          <wp:inline>
            <wp:extent cx="5759999" cy="2879999"/>
            <wp:effectExtent b="0" l="0" r="0" t="0"/>
            <wp:docPr descr="Figure 18 — E10, dépôt et activation" title="" id="289" name="Picture"/>
            <a:graphic>
              <a:graphicData uri="http://schemas.openxmlformats.org/drawingml/2006/picture">
                <pic:pic>
                  <pic:nvPicPr>
                    <pic:cNvPr descr="media_v2/fig18-e10.png" id="290" name="Picture"/>
                    <pic:cNvPicPr>
                      <a:picLocks noChangeArrowheads="1" noChangeAspect="1"/>
                    </pic:cNvPicPr>
                  </pic:nvPicPr>
                  <pic:blipFill>
                    <a:blip r:embed="rId288"/>
                    <a:stretch>
                      <a:fillRect/>
                    </a:stretch>
                  </pic:blipFill>
                  <pic:spPr bwMode="auto">
                    <a:xfrm>
                      <a:off x="0" y="0"/>
                      <a:ext cx="5759999" cy="2879999"/>
                    </a:xfrm>
                    <a:prstGeom prst="rect">
                      <a:avLst/>
                    </a:prstGeom>
                    <a:noFill/>
                    <a:ln w="9525">
                      <a:noFill/>
                      <a:headEnd/>
                      <a:tailEnd/>
                    </a:ln>
                  </pic:spPr>
                </pic:pic>
              </a:graphicData>
            </a:graphic>
          </wp:inline>
        </w:drawing>
      </w:r>
    </w:p>
    <w:p>
      <w:pPr>
        <w:pStyle w:val="ImageCaption"/>
      </w:pPr>
      <w:r>
        <w:t xml:space="preserve">Figure 18 — E10, dépôt et activation</w:t>
      </w:r>
    </w:p>
    <w:p>
      <w:pPr>
        <w:pStyle w:val="BodyText"/>
      </w:pPr>
      <w:r>
        <w:t xml:space="preserve">Le résultat de chaque contrôle est détaillé avec son écart et son seuil ; un échec bloquant impose une dérogation motivée avant toute demande d’activation.</w:t>
      </w:r>
    </w:p>
    <w:p>
      <w:pPr>
        <w:pStyle w:val="BodyText"/>
      </w:pPr>
      <w:r>
        <w:rPr>
          <w:bCs/>
          <w:b/>
        </w:rPr>
        <w:t xml:space="preserve">E11 — Bases de référence.</w:t>
      </w:r>
      <w:r>
        <w:t xml:space="preserve"> </w:t>
      </w:r>
      <w:r>
        <w:t xml:space="preserve">Liste des bases, versions, sources, modèles associés, résultat des contrôles d’import, association ou remplacement.</w:t>
      </w:r>
    </w:p>
    <w:p>
      <w:pPr>
        <w:pStyle w:val="CaptionedFigure"/>
      </w:pPr>
      <w:r>
        <w:drawing>
          <wp:inline>
            <wp:extent cx="5759999" cy="2326153"/>
            <wp:effectExtent b="0" l="0" r="0" t="0"/>
            <wp:docPr descr="Figure 19 — E11, bases de référence" title="" id="292" name="Picture"/>
            <a:graphic>
              <a:graphicData uri="http://schemas.openxmlformats.org/drawingml/2006/picture">
                <pic:pic>
                  <pic:nvPicPr>
                    <pic:cNvPr descr="media_v2/fig19-e11.png" id="293" name="Picture"/>
                    <pic:cNvPicPr>
                      <a:picLocks noChangeArrowheads="1" noChangeAspect="1"/>
                    </pic:cNvPicPr>
                  </pic:nvPicPr>
                  <pic:blipFill>
                    <a:blip r:embed="rId291"/>
                    <a:stretch>
                      <a:fillRect/>
                    </a:stretch>
                  </pic:blipFill>
                  <pic:spPr bwMode="auto">
                    <a:xfrm>
                      <a:off x="0" y="0"/>
                      <a:ext cx="5759999" cy="2326153"/>
                    </a:xfrm>
                    <a:prstGeom prst="rect">
                      <a:avLst/>
                    </a:prstGeom>
                    <a:noFill/>
                    <a:ln w="9525">
                      <a:noFill/>
                      <a:headEnd/>
                      <a:tailEnd/>
                    </a:ln>
                  </pic:spPr>
                </pic:pic>
              </a:graphicData>
            </a:graphic>
          </wp:inline>
        </w:drawing>
      </w:r>
    </w:p>
    <w:p>
      <w:pPr>
        <w:pStyle w:val="ImageCaption"/>
      </w:pPr>
      <w:r>
        <w:t xml:space="preserve">Figure 19 — E11, bases de référence</w:t>
      </w:r>
    </w:p>
    <w:p>
      <w:pPr>
        <w:pStyle w:val="BodyText"/>
      </w:pPr>
      <w:r>
        <w:t xml:space="preserve">Une base qui échoue aux contrôles d’import ne peut pas être associée à un modèle.</w:t>
      </w:r>
    </w:p>
    <w:p>
      <w:pPr>
        <w:pStyle w:val="BodyText"/>
      </w:pPr>
      <w:r>
        <w:rPr>
          <w:bCs/>
          <w:b/>
        </w:rPr>
        <w:t xml:space="preserve">E12 — Copilote et administration.</w:t>
      </w:r>
      <w:r>
        <w:t xml:space="preserve"> </w:t>
      </w:r>
      <w:r>
        <w:t xml:space="preserve">Description d’une modification en langage courant, analyse d’impact, création d’une version candidate, résultat des contrôles, activation. Sur le même écran : gestion des comptes et des rôles, journal des actions, tableau de bord de consommation du moteur et du service d’IA.</w:t>
      </w:r>
    </w:p>
    <w:p>
      <w:pPr>
        <w:pStyle w:val="CaptionedFigure"/>
      </w:pPr>
      <w:r>
        <w:drawing>
          <wp:inline>
            <wp:extent cx="5759999" cy="2879999"/>
            <wp:effectExtent b="0" l="0" r="0" t="0"/>
            <wp:docPr descr="Figure 20 — E12, copilote et administration" title="" id="295" name="Picture"/>
            <a:graphic>
              <a:graphicData uri="http://schemas.openxmlformats.org/drawingml/2006/picture">
                <pic:pic>
                  <pic:nvPicPr>
                    <pic:cNvPr descr="media_v2/fig20-e12.png" id="296" name="Picture"/>
                    <pic:cNvPicPr>
                      <a:picLocks noChangeArrowheads="1" noChangeAspect="1"/>
                    </pic:cNvPicPr>
                  </pic:nvPicPr>
                  <pic:blipFill>
                    <a:blip r:embed="rId294"/>
                    <a:stretch>
                      <a:fillRect/>
                    </a:stretch>
                  </pic:blipFill>
                  <pic:spPr bwMode="auto">
                    <a:xfrm>
                      <a:off x="0" y="0"/>
                      <a:ext cx="5759999" cy="2879999"/>
                    </a:xfrm>
                    <a:prstGeom prst="rect">
                      <a:avLst/>
                    </a:prstGeom>
                    <a:noFill/>
                    <a:ln w="9525">
                      <a:noFill/>
                      <a:headEnd/>
                      <a:tailEnd/>
                    </a:ln>
                  </pic:spPr>
                </pic:pic>
              </a:graphicData>
            </a:graphic>
          </wp:inline>
        </w:drawing>
      </w:r>
    </w:p>
    <w:p>
      <w:pPr>
        <w:pStyle w:val="ImageCaption"/>
      </w:pPr>
      <w:r>
        <w:t xml:space="preserve">Figure 20 — E12, copilote et administration</w:t>
      </w:r>
    </w:p>
    <w:p>
      <w:pPr>
        <w:pStyle w:val="BodyText"/>
      </w:pPr>
      <w:r>
        <w:t xml:space="preserve">L’analyse d’impact précède toute action, et la consommation du moteur comme du service d’IA est suivie dès la mise en service.</w:t>
      </w:r>
    </w:p>
    <w:bookmarkEnd w:id="297"/>
    <w:bookmarkStart w:id="298" w:name="b8.3-écrans-ajoutés-en-version-2.0"/>
    <w:p>
      <w:pPr>
        <w:pStyle w:val="Heading3"/>
      </w:pPr>
      <w:r>
        <w:t xml:space="preserve">B8.3 Écrans ajoutés en version 2.0</w:t>
      </w:r>
    </w:p>
    <w:p>
      <w:pPr>
        <w:pStyle w:val="FirstParagraph"/>
      </w:pPr>
      <w:r>
        <w:t xml:space="preserve">Six écrans complètent le parcours, décrits aux sections correspondantes.</w:t>
      </w:r>
    </w:p>
    <w:tbl>
      <w:tblPr>
        <w:tblStyle w:val="Table"/>
        <w:tblW w:type="dxa" w:w="9354"/>
        <w:tblLayout w:type="fixed"/>
        <w:tblLook w:firstRow="1" w:lastRow="0" w:firstColumn="0" w:lastColumn="0" w:noHBand="0" w:noVBand="0" w:val="0020"/>
        <w:jc w:val="start"/>
      </w:tblPr>
      <w:tblGrid>
        <w:gridCol w:w="2623"/>
        <w:gridCol w:w="3995"/>
        <w:gridCol w:w="2736"/>
      </w:tblGrid>
      <w:tr>
        <w:trPr>
          <w:tblHeader w:val="true"/>
        </w:trPr>
        <w:tc>
          <w:tcPr/>
          <w:p>
            <w:pPr>
              <w:pStyle w:val="Compact"/>
              <w:jc w:val="left"/>
            </w:pPr>
            <w:r>
              <w:t xml:space="preserve">Écran</w:t>
            </w:r>
          </w:p>
        </w:tc>
        <w:tc>
          <w:tcPr/>
          <w:p>
            <w:pPr>
              <w:pStyle w:val="Compact"/>
              <w:jc w:val="left"/>
            </w:pPr>
            <w:r>
              <w:t xml:space="preserve">Objet</w:t>
            </w:r>
          </w:p>
        </w:tc>
        <w:tc>
          <w:tcPr/>
          <w:p>
            <w:pPr>
              <w:pStyle w:val="Compact"/>
              <w:jc w:val="left"/>
            </w:pPr>
            <w:r>
              <w:t xml:space="preserve">Rôle requis</w:t>
            </w:r>
          </w:p>
        </w:tc>
      </w:tr>
      <w:tr>
        <w:tc>
          <w:tcPr/>
          <w:p>
            <w:pPr>
              <w:pStyle w:val="Compact"/>
              <w:jc w:val="left"/>
            </w:pPr>
            <w:r>
              <w:t xml:space="preserve">Intégration d’un modèle</w:t>
            </w:r>
          </w:p>
        </w:tc>
        <w:tc>
          <w:tcPr/>
          <w:p>
            <w:pPr>
              <w:pStyle w:val="Compact"/>
              <w:jc w:val="left"/>
            </w:pPr>
            <w:r>
              <w:t xml:space="preserve">Assistant en six étapes : identité, fichiers, base, paramètres, indicateurs, contrôles (section B4)</w:t>
            </w:r>
          </w:p>
        </w:tc>
        <w:tc>
          <w:tcPr/>
          <w:p>
            <w:pPr>
              <w:pStyle w:val="Compact"/>
              <w:jc w:val="left"/>
            </w:pPr>
            <w:r>
              <w:t xml:space="preserve">Administrateur</w:t>
            </w:r>
          </w:p>
        </w:tc>
      </w:tr>
      <w:tr>
        <w:tc>
          <w:tcPr/>
          <w:p>
            <w:pPr>
              <w:pStyle w:val="Compact"/>
              <w:jc w:val="left"/>
            </w:pPr>
            <w:r>
              <w:t xml:space="preserve">Versions et bases</w:t>
            </w:r>
          </w:p>
        </w:tc>
        <w:tc>
          <w:tcPr/>
          <w:p>
            <w:pPr>
              <w:pStyle w:val="Compact"/>
              <w:jc w:val="left"/>
            </w:pPr>
            <w:r>
              <w:t xml:space="preserve">Cycle de vie des versions, contrôles, dérogation motivée, visa d’activation, bases de référence</w:t>
            </w:r>
          </w:p>
        </w:tc>
        <w:tc>
          <w:tcPr/>
          <w:p>
            <w:pPr>
              <w:pStyle w:val="Compact"/>
              <w:jc w:val="left"/>
            </w:pPr>
            <w:r>
              <w:t xml:space="preserve">Administrateur et responsable de modèle</w:t>
            </w:r>
          </w:p>
        </w:tc>
      </w:tr>
      <w:tr>
        <w:tc>
          <w:tcPr/>
          <w:p>
            <w:pPr>
              <w:pStyle w:val="Compact"/>
              <w:jc w:val="left"/>
            </w:pPr>
            <w:r>
              <w:t xml:space="preserve">Données et séries</w:t>
            </w:r>
          </w:p>
        </w:tc>
        <w:tc>
          <w:tcPr/>
          <w:p>
            <w:pPr>
              <w:pStyle w:val="Compact"/>
              <w:jc w:val="left"/>
            </w:pPr>
            <w:r>
              <w:t xml:space="preserve">Base commune, dictionnaire de correspondance des variables, historique des imports et leurs anomalies</w:t>
            </w:r>
          </w:p>
        </w:tc>
        <w:tc>
          <w:tcPr/>
          <w:p>
            <w:pPr>
              <w:pStyle w:val="Compact"/>
              <w:jc w:val="left"/>
            </w:pPr>
            <w:r>
              <w:t xml:space="preserve">Tout rôle du domaine B</w:t>
            </w:r>
          </w:p>
        </w:tc>
      </w:tr>
      <w:tr>
        <w:tc>
          <w:tcPr/>
          <w:p>
            <w:pPr>
              <w:pStyle w:val="Compact"/>
              <w:jc w:val="left"/>
            </w:pPr>
            <w:r>
              <w:t xml:space="preserve">Comparaison</w:t>
            </w:r>
          </w:p>
        </w:tc>
        <w:tc>
          <w:tcPr/>
          <w:p>
            <w:pPr>
              <w:pStyle w:val="Compact"/>
              <w:jc w:val="left"/>
            </w:pPr>
            <w:r>
              <w:t xml:space="preserve">Deux à quatre simulations alignées sur le socle, écarts extrêmes, avertissement en cas de versions différentes</w:t>
            </w:r>
          </w:p>
        </w:tc>
        <w:tc>
          <w:tcPr/>
          <w:p>
            <w:pPr>
              <w:pStyle w:val="Compact"/>
              <w:jc w:val="left"/>
            </w:pPr>
            <w:r>
              <w:t xml:space="preserve">Tout rôle du domaine B</w:t>
            </w:r>
          </w:p>
        </w:tc>
      </w:tr>
      <w:tr>
        <w:tc>
          <w:tcPr/>
          <w:p>
            <w:pPr>
              <w:pStyle w:val="Compact"/>
              <w:jc w:val="left"/>
            </w:pPr>
            <w:r>
              <w:t xml:space="preserve">Test de sensibilité</w:t>
            </w:r>
          </w:p>
        </w:tc>
        <w:tc>
          <w:tcPr/>
          <w:p>
            <w:pPr>
              <w:pStyle w:val="Compact"/>
              <w:jc w:val="left"/>
            </w:pPr>
            <w:r>
              <w:t xml:space="preserve">Plage d’ampleurs, courbe de l’indicateur principal, tableau par valeur</w:t>
            </w:r>
          </w:p>
        </w:tc>
        <w:tc>
          <w:tcPr/>
          <w:p>
            <w:pPr>
              <w:pStyle w:val="Compact"/>
              <w:jc w:val="left"/>
            </w:pPr>
            <w:r>
              <w:t xml:space="preserve">Analyste</w:t>
            </w:r>
          </w:p>
        </w:tc>
      </w:tr>
      <w:tr>
        <w:tc>
          <w:tcPr/>
          <w:p>
            <w:pPr>
              <w:pStyle w:val="Compact"/>
              <w:jc w:val="left"/>
            </w:pPr>
            <w:r>
              <w:t xml:space="preserve">Copilote d’administration</w:t>
            </w:r>
          </w:p>
        </w:tc>
        <w:tc>
          <w:tcPr/>
          <w:p>
            <w:pPr>
              <w:pStyle w:val="Compact"/>
              <w:jc w:val="left"/>
            </w:pPr>
            <w:r>
              <w:t xml:space="preserve">Description d’une modification en langage courant, analyse d’impact, création d’une version candidate</w:t>
            </w:r>
          </w:p>
        </w:tc>
        <w:tc>
          <w:tcPr/>
          <w:p>
            <w:pPr>
              <w:pStyle w:val="Compact"/>
              <w:jc w:val="left"/>
            </w:pPr>
            <w:r>
              <w:t xml:space="preserve">Administrateur et responsable de modèle</w:t>
            </w:r>
          </w:p>
        </w:tc>
      </w:tr>
    </w:tbl>
    <w:bookmarkEnd w:id="298"/>
    <w:bookmarkStart w:id="299" w:name="b8.4-règles-dinterface-transversales"/>
    <w:p>
      <w:pPr>
        <w:pStyle w:val="Heading3"/>
      </w:pPr>
      <w:r>
        <w:t xml:space="preserve">B8.4 Règles d’interface transversales</w:t>
      </w:r>
    </w:p>
    <w:p>
      <w:pPr>
        <w:numPr>
          <w:ilvl w:val="0"/>
          <w:numId w:val="1048"/>
        </w:numPr>
        <w:pStyle w:val="Compact"/>
      </w:pPr>
      <w:r>
        <w:t xml:space="preserve">Le modèle, sa version et le statut de la simulation sont visibles sur tout écran affichant un résultat, sans avoir à défiler.</w:t>
      </w:r>
    </w:p>
    <w:p>
      <w:pPr>
        <w:numPr>
          <w:ilvl w:val="0"/>
          <w:numId w:val="1048"/>
        </w:numPr>
        <w:pStyle w:val="Compact"/>
      </w:pPr>
      <w:r>
        <w:t xml:space="preserve">Aucun message d’erreur technique brut n’est présenté ; le détail reste accessible au responsable du modèle depuis la fiche de simulation.</w:t>
      </w:r>
    </w:p>
    <w:p>
      <w:pPr>
        <w:numPr>
          <w:ilvl w:val="0"/>
          <w:numId w:val="1048"/>
        </w:numPr>
        <w:pStyle w:val="Compact"/>
      </w:pPr>
      <w:r>
        <w:t xml:space="preserve">Toute action irréversible ou sensible — activation, dérogation, changement de statut, archivage — demande une confirmation explicite et un motif lorsque celui-ci est exigé.</w:t>
      </w:r>
    </w:p>
    <w:p>
      <w:pPr>
        <w:numPr>
          <w:ilvl w:val="0"/>
          <w:numId w:val="1048"/>
        </w:numPr>
        <w:pStyle w:val="Compact"/>
      </w:pPr>
      <w:r>
        <w:t xml:space="preserve">Les exports d’une simulation non diffusable portent la mention de statut sur chaque page.</w:t>
      </w:r>
    </w:p>
    <w:p>
      <w:pPr>
        <w:numPr>
          <w:ilvl w:val="0"/>
          <w:numId w:val="1048"/>
        </w:numPr>
        <w:pStyle w:val="Compact"/>
      </w:pPr>
      <w:r>
        <w:t xml:space="preserve">L’interface est en français, utilisable sur poste de travail et sur mobile ; les tableaux longs restent lisibles par défilement horizontal maîtrisé.</w:t>
      </w:r>
    </w:p>
    <w:p>
      <w:pPr>
        <w:numPr>
          <w:ilvl w:val="0"/>
          <w:numId w:val="1048"/>
        </w:numPr>
        <w:pStyle w:val="Compact"/>
      </w:pPr>
      <w:r>
        <w:t xml:space="preserve">Les durées d’attente supérieures à cinq secondes s’accompagnent d’un indicateur d’avancement, jamais d’un écran figé.</w:t>
      </w:r>
    </w:p>
    <w:bookmarkEnd w:id="299"/>
    <w:bookmarkEnd w:id="300"/>
    <w:bookmarkStart w:id="313" w:name="Xe797aeb4c4d7fa24af2bde24f406c1bdf22f4c1"/>
    <w:p>
      <w:pPr>
        <w:pStyle w:val="Heading2"/>
      </w:pPr>
      <w:r>
        <w:t xml:space="preserve">B9. Exigences fonctionnelles du domaine B</w:t>
      </w:r>
    </w:p>
    <w:p>
      <w:pPr>
        <w:pStyle w:val="FirstParagraph"/>
      </w:pPr>
      <w:r>
        <w:t xml:space="preserve">Chaque exigence porte un identifiant unique, une priorité (1 = indispensable, 2 = important, 3 = souhaitable) et le lot au plus tard duquel elle doit être satisfaite. Les identifiants du cahier Plateforme Simulation sont conservés à l’identique, préfixés</w:t>
      </w:r>
      <w:r>
        <w:t xml:space="preserve"> </w:t>
      </w:r>
      <w:r>
        <w:rPr>
          <w:rStyle w:val="VerbatimChar"/>
        </w:rPr>
        <w:t xml:space="preserve">MOD-</w:t>
      </w:r>
      <w:r>
        <w:t xml:space="preserve">.</w:t>
      </w:r>
    </w:p>
    <w:p>
      <w:pPr>
        <w:pStyle w:val="BodyText"/>
      </w:pPr>
      <w:r>
        <w:t xml:space="preserve">Les exigences de droits, de traçabilité, d’export et de sécurité du cahier source ont été absorbées par la Partie 0, sections 5, 6, 7 et 10 ; elles figurent dans la table de correspondance (Partie 0, section 15.2).</w:t>
      </w:r>
    </w:p>
    <w:p>
      <w:pPr>
        <w:pStyle w:val="BodyText"/>
      </w:pPr>
      <w:r>
        <w:t xml:space="preserve">Les exigences</w:t>
      </w:r>
      <w:r>
        <w:t xml:space="preserve"> </w:t>
      </w:r>
      <w:r>
        <w:rPr>
          <w:rStyle w:val="VerbatimChar"/>
        </w:rPr>
        <w:t xml:space="preserve">MOD-EF-01</w:t>
      </w:r>
      <w:r>
        <w:t xml:space="preserve"> </w:t>
      </w:r>
      <w:r>
        <w:t xml:space="preserve">à</w:t>
      </w:r>
      <w:r>
        <w:t xml:space="preserve"> </w:t>
      </w:r>
      <w:r>
        <w:rPr>
          <w:rStyle w:val="VerbatimChar"/>
        </w:rPr>
        <w:t xml:space="preserve">EF-79</w:t>
      </w:r>
      <w:r>
        <w:t xml:space="preserve"> </w:t>
      </w:r>
      <w:r>
        <w:t xml:space="preserve">sont celles du cahier d’origine. La version 2.1 y ajoute</w:t>
      </w:r>
      <w:r>
        <w:t xml:space="preserve"> </w:t>
      </w:r>
      <w:r>
        <w:rPr>
          <w:rStyle w:val="VerbatimChar"/>
        </w:rPr>
        <w:t xml:space="preserve">MOD-EF-80</w:t>
      </w:r>
      <w:r>
        <w:t xml:space="preserve"> </w:t>
      </w:r>
      <w:r>
        <w:t xml:space="preserve">à</w:t>
      </w:r>
      <w:r>
        <w:t xml:space="preserve"> </w:t>
      </w:r>
      <w:r>
        <w:rPr>
          <w:rStyle w:val="VerbatimChar"/>
        </w:rPr>
        <w:t xml:space="preserve">EF-99</w:t>
      </w:r>
      <w:r>
        <w:t xml:space="preserve">, détaillées aux sections B9.13 à B9.15 : intégration d’un modèle au référentiel, fonctions d’analyse, données et dictionnaire des variables.</w:t>
      </w:r>
    </w:p>
    <w:bookmarkStart w:id="301" w:name="X7cdb10d3775ef4eb79c072615c8031092b8dec5"/>
    <w:p>
      <w:pPr>
        <w:pStyle w:val="Heading3"/>
      </w:pPr>
      <w:r>
        <w:t xml:space="preserve">B9.1 Référentiel des modèles et gestion des versions</w:t>
      </w:r>
    </w:p>
    <w:tbl>
      <w:tblPr>
        <w:tblStyle w:val="Table"/>
        <w:tblW w:type="dxa" w:w="9354"/>
        <w:tblLayout w:type="fixed"/>
        <w:tblLook w:firstRow="1" w:lastRow="0" w:firstColumn="0" w:lastColumn="0" w:noHBand="0" w:noVBand="0" w:val="0020"/>
        <w:jc w:val="start"/>
      </w:tblPr>
      <w:tblGrid>
        <w:gridCol w:w="1950"/>
        <w:gridCol w:w="3737"/>
        <w:gridCol w:w="1833"/>
        <w:gridCol w:w="1834"/>
      </w:tblGrid>
      <w:tr>
        <w:trPr>
          <w:tblHeader w:val="true"/>
        </w:trPr>
        <w:tc>
          <w:tcPr/>
          <w:p>
            <w:pPr>
              <w:pStyle w:val="Compact"/>
              <w:jc w:val="left"/>
            </w:pPr>
            <w:r>
              <w:t xml:space="preserve">Réf</w:t>
            </w:r>
          </w:p>
        </w:tc>
        <w:tc>
          <w:tcPr/>
          <w:p>
            <w:pPr>
              <w:pStyle w:val="Compact"/>
              <w:jc w:val="left"/>
            </w:pPr>
            <w:r>
              <w:t xml:space="preserve">Exigence</w:t>
            </w:r>
          </w:p>
        </w:tc>
        <w:tc>
          <w:tcPr/>
          <w:p>
            <w:pPr>
              <w:pStyle w:val="Compact"/>
              <w:jc w:val="left"/>
            </w:pPr>
            <w:r>
              <w:t xml:space="preserve">Pri.</w:t>
            </w:r>
          </w:p>
        </w:tc>
        <w:tc>
          <w:tcPr/>
          <w:p>
            <w:pPr>
              <w:pStyle w:val="Compact"/>
              <w:jc w:val="left"/>
            </w:pPr>
            <w:r>
              <w:t xml:space="preserve">Lot</w:t>
            </w:r>
          </w:p>
        </w:tc>
      </w:tr>
      <w:tr>
        <w:tc>
          <w:tcPr/>
          <w:p>
            <w:pPr>
              <w:pStyle w:val="Compact"/>
              <w:jc w:val="left"/>
            </w:pPr>
            <w:r>
              <w:t xml:space="preserve">MOD-EF-01</w:t>
            </w:r>
          </w:p>
        </w:tc>
        <w:tc>
          <w:tcPr/>
          <w:p>
            <w:pPr>
              <w:pStyle w:val="Compact"/>
              <w:jc w:val="left"/>
            </w:pPr>
            <w:r>
              <w:t xml:space="preserve">L’administrateur peut déposer un modèle en téléversant ses fichiers et en renseignant sa fiche d’identité.</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MOD-EF-02</w:t>
            </w:r>
          </w:p>
        </w:tc>
        <w:tc>
          <w:tcPr/>
          <w:p>
            <w:pPr>
              <w:pStyle w:val="Compact"/>
              <w:jc w:val="left"/>
            </w:pPr>
            <w:r>
              <w:t xml:space="preserve">Chaque dépôt crée une version immuable, horodatée, attribuée à son auteur, accompagnée d’une note de version.</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MOD-EF-03</w:t>
            </w:r>
          </w:p>
        </w:tc>
        <w:tc>
          <w:tcPr/>
          <w:p>
            <w:pPr>
              <w:pStyle w:val="Compact"/>
              <w:jc w:val="left"/>
            </w:pPr>
            <w:r>
              <w:t xml:space="preserve">Une version déposée ne peut être ni modifiée ni supprimée ; seule son activation ou sa désactivation est possible.</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MOD-EF-04</w:t>
            </w:r>
          </w:p>
        </w:tc>
        <w:tc>
          <w:tcPr/>
          <w:p>
            <w:pPr>
              <w:pStyle w:val="Compact"/>
              <w:jc w:val="left"/>
            </w:pPr>
            <w:r>
              <w:t xml:space="preserve">Pour chaque modèle, une version et une seule porte l’état « active », désignée explicitement par l’administrateur.</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MOD-EF-05</w:t>
            </w:r>
          </w:p>
        </w:tc>
        <w:tc>
          <w:tcPr/>
          <w:p>
            <w:pPr>
              <w:pStyle w:val="Compact"/>
              <w:jc w:val="left"/>
            </w:pPr>
            <w:r>
              <w:t xml:space="preserve">La plateforme affiche, pour chaque modèle, la version active, sa date, son responsable et la date de son dernier calibrage validé.</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MOD-EF-06</w:t>
            </w:r>
          </w:p>
        </w:tc>
        <w:tc>
          <w:tcPr/>
          <w:p>
            <w:pPr>
              <w:pStyle w:val="Compact"/>
              <w:jc w:val="left"/>
            </w:pPr>
            <w:r>
              <w:t xml:space="preserve">Toute version antérieure reste consultable et réexécutable avec la base qui lui était associée.</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MOD-EF-07</w:t>
            </w:r>
          </w:p>
        </w:tc>
        <w:tc>
          <w:tcPr/>
          <w:p>
            <w:pPr>
              <w:pStyle w:val="Compact"/>
              <w:jc w:val="left"/>
            </w:pPr>
            <w:r>
              <w:t xml:space="preserve">La fiche d’identité comporte au minimum : intitulé courant non technique, description, famille, moteur, responsable, données requises, chocs acceptés, résultats produits.</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MOD-EF-08</w:t>
            </w:r>
          </w:p>
        </w:tc>
        <w:tc>
          <w:tcPr/>
          <w:p>
            <w:pPr>
              <w:pStyle w:val="Compact"/>
              <w:jc w:val="left"/>
            </w:pPr>
            <w:r>
              <w:t xml:space="preserve">Lors d’un dépôt, l’IA propose une première version de la fiche d’identité par analyse des fichiers ; l’administrateur la relit, la corrige et la valide avant enregistrement.</w:t>
            </w:r>
          </w:p>
        </w:tc>
        <w:tc>
          <w:tcPr/>
          <w:p>
            <w:pPr>
              <w:pStyle w:val="Compact"/>
              <w:jc w:val="left"/>
            </w:pPr>
            <w:r>
              <w:t xml:space="preserve">2</w:t>
            </w:r>
          </w:p>
        </w:tc>
        <w:tc>
          <w:tcPr/>
          <w:p>
            <w:pPr>
              <w:pStyle w:val="Compact"/>
              <w:jc w:val="left"/>
            </w:pPr>
            <w:r>
              <w:t xml:space="preserve">1</w:t>
            </w:r>
          </w:p>
        </w:tc>
      </w:tr>
      <w:tr>
        <w:tc>
          <w:tcPr/>
          <w:p>
            <w:pPr>
              <w:pStyle w:val="Compact"/>
              <w:jc w:val="left"/>
            </w:pPr>
            <w:r>
              <w:t xml:space="preserve">MOD-EF-09</w:t>
            </w:r>
          </w:p>
        </w:tc>
        <w:tc>
          <w:tcPr/>
          <w:p>
            <w:pPr>
              <w:pStyle w:val="Compact"/>
              <w:jc w:val="left"/>
            </w:pPr>
            <w:r>
              <w:t xml:space="preserve">La plateforme permet de comparer deux versions d’un même modèle : différences de fichiers, de fiche d’identité et de résultats sur un scénario témoin.</w:t>
            </w:r>
          </w:p>
        </w:tc>
        <w:tc>
          <w:tcPr/>
          <w:p>
            <w:pPr>
              <w:pStyle w:val="Compact"/>
              <w:jc w:val="left"/>
            </w:pPr>
            <w:r>
              <w:t xml:space="preserve">2</w:t>
            </w:r>
          </w:p>
        </w:tc>
        <w:tc>
          <w:tcPr/>
          <w:p>
            <w:pPr>
              <w:pStyle w:val="Compact"/>
              <w:jc w:val="left"/>
            </w:pPr>
            <w:r>
              <w:t xml:space="preserve">1</w:t>
            </w:r>
          </w:p>
        </w:tc>
      </w:tr>
    </w:tbl>
    <w:bookmarkEnd w:id="301"/>
    <w:bookmarkStart w:id="302" w:name="b9.2-données-et-bases-de-référence"/>
    <w:p>
      <w:pPr>
        <w:pStyle w:val="Heading3"/>
      </w:pPr>
      <w:r>
        <w:t xml:space="preserve">B9.2 Données et bases de référence</w:t>
      </w:r>
    </w:p>
    <w:tbl>
      <w:tblPr>
        <w:tblStyle w:val="Table"/>
        <w:tblW w:type="dxa" w:w="9354"/>
        <w:tblLayout w:type="fixed"/>
        <w:tblLook w:firstRow="1" w:lastRow="0" w:firstColumn="0" w:lastColumn="0" w:noHBand="0" w:noVBand="0" w:val="0020"/>
        <w:jc w:val="start"/>
      </w:tblPr>
      <w:tblGrid>
        <w:gridCol w:w="1830"/>
        <w:gridCol w:w="4076"/>
        <w:gridCol w:w="1724"/>
        <w:gridCol w:w="1724"/>
      </w:tblGrid>
      <w:tr>
        <w:trPr>
          <w:tblHeader w:val="true"/>
        </w:trPr>
        <w:tc>
          <w:tcPr/>
          <w:p>
            <w:pPr>
              <w:pStyle w:val="Compact"/>
              <w:jc w:val="left"/>
            </w:pPr>
            <w:r>
              <w:t xml:space="preserve">Réf</w:t>
            </w:r>
          </w:p>
        </w:tc>
        <w:tc>
          <w:tcPr/>
          <w:p>
            <w:pPr>
              <w:pStyle w:val="Compact"/>
              <w:jc w:val="left"/>
            </w:pPr>
            <w:r>
              <w:t xml:space="preserve">Exigence</w:t>
            </w:r>
          </w:p>
        </w:tc>
        <w:tc>
          <w:tcPr/>
          <w:p>
            <w:pPr>
              <w:pStyle w:val="Compact"/>
              <w:jc w:val="left"/>
            </w:pPr>
            <w:r>
              <w:t xml:space="preserve">Pri.</w:t>
            </w:r>
          </w:p>
        </w:tc>
        <w:tc>
          <w:tcPr/>
          <w:p>
            <w:pPr>
              <w:pStyle w:val="Compact"/>
              <w:jc w:val="left"/>
            </w:pPr>
            <w:r>
              <w:t xml:space="preserve">Lot</w:t>
            </w:r>
          </w:p>
        </w:tc>
      </w:tr>
      <w:tr>
        <w:tc>
          <w:tcPr/>
          <w:p>
            <w:pPr>
              <w:pStyle w:val="Compact"/>
              <w:jc w:val="left"/>
            </w:pPr>
            <w:r>
              <w:t xml:space="preserve">MOD-EF-10</w:t>
            </w:r>
          </w:p>
        </w:tc>
        <w:tc>
          <w:tcPr/>
          <w:p>
            <w:pPr>
              <w:pStyle w:val="Compact"/>
              <w:jc w:val="left"/>
            </w:pPr>
            <w:r>
              <w:t xml:space="preserve">L’administrateur peut déposer une base de référence (matrice de comptabilité sociale, base trimestrielle, comptes sectoriels) en précisant année, source et date d’import.</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MOD-EF-11</w:t>
            </w:r>
          </w:p>
        </w:tc>
        <w:tc>
          <w:tcPr/>
          <w:p>
            <w:pPr>
              <w:pStyle w:val="Compact"/>
              <w:jc w:val="left"/>
            </w:pPr>
            <w:r>
              <w:t xml:space="preserve">Chaque base est versionnée et immuable ; les versions antérieures restent disponibles.</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MOD-EF-12</w:t>
            </w:r>
          </w:p>
        </w:tc>
        <w:tc>
          <w:tcPr/>
          <w:p>
            <w:pPr>
              <w:pStyle w:val="Compact"/>
              <w:jc w:val="left"/>
            </w:pPr>
            <w:r>
              <w:t xml:space="preserve">L’administrateur associe une base à un modèle, l’association étant portée par une version de ce modèle (MOD-EF-14), et peut imposer une même base à un ensemble de modèles.</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MOD-EF-13</w:t>
            </w:r>
          </w:p>
        </w:tc>
        <w:tc>
          <w:tcPr/>
          <w:p>
            <w:pPr>
              <w:pStyle w:val="Compact"/>
              <w:jc w:val="left"/>
            </w:pPr>
            <w:r>
              <w:t xml:space="preserve">À l’import, la plateforme exécute des contrôles de cohérence formels (complétude, format, équilibre comptable pour une matrice) et refuse l’import en cas d’échec bloquant, avec un rapport d’erreurs lisible.</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MOD-EF-14</w:t>
            </w:r>
          </w:p>
        </w:tc>
        <w:tc>
          <w:tcPr/>
          <w:p>
            <w:pPr>
              <w:pStyle w:val="Compact"/>
              <w:jc w:val="left"/>
            </w:pPr>
            <w:r>
              <w:t xml:space="preserve">L’association d’une nouvelle base à un modèle crée une nouvelle version de ce modèle, marquée « calibrage à valider », et déclenche l’exécution des contrôles de la section B6. L’activation reste subordonnée à la validation du responsable du modèle.</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MOD-EF-15</w:t>
            </w:r>
          </w:p>
        </w:tc>
        <w:tc>
          <w:tcPr/>
          <w:p>
            <w:pPr>
              <w:pStyle w:val="Compact"/>
              <w:jc w:val="left"/>
            </w:pPr>
            <w:r>
              <w:t xml:space="preserve">L’import de séries macroéconomiques depuis Excel et CSV est possible pour les modèles des familles B et C, avec contrôle de fréquence, d’unité et de continuité des séries.</w:t>
            </w:r>
          </w:p>
        </w:tc>
        <w:tc>
          <w:tcPr/>
          <w:p>
            <w:pPr>
              <w:pStyle w:val="Compact"/>
              <w:jc w:val="left"/>
            </w:pPr>
            <w:r>
              <w:t xml:space="preserve">2</w:t>
            </w:r>
          </w:p>
        </w:tc>
        <w:tc>
          <w:tcPr/>
          <w:p>
            <w:pPr>
              <w:pStyle w:val="Compact"/>
              <w:jc w:val="left"/>
            </w:pPr>
            <w:r>
              <w:t xml:space="preserve">1</w:t>
            </w:r>
          </w:p>
        </w:tc>
      </w:tr>
      <w:tr>
        <w:tc>
          <w:tcPr/>
          <w:p>
            <w:pPr>
              <w:pStyle w:val="Compact"/>
              <w:jc w:val="left"/>
            </w:pPr>
            <w:r>
              <w:t xml:space="preserve">MOD-EF-16</w:t>
            </w:r>
          </w:p>
        </w:tc>
        <w:tc>
          <w:tcPr/>
          <w:p>
            <w:pPr>
              <w:pStyle w:val="Compact"/>
              <w:jc w:val="left"/>
            </w:pPr>
            <w:r>
              <w:t xml:space="preserve">Un dictionnaire de variables établit la correspondance entre les noms utilisés par chaque modèle et un libellé commun, consultable et modifiable par l’administrateur.</w:t>
            </w:r>
          </w:p>
        </w:tc>
        <w:tc>
          <w:tcPr/>
          <w:p>
            <w:pPr>
              <w:pStyle w:val="Compact"/>
              <w:jc w:val="left"/>
            </w:pPr>
            <w:r>
              <w:t xml:space="preserve">2</w:t>
            </w:r>
          </w:p>
        </w:tc>
        <w:tc>
          <w:tcPr/>
          <w:p>
            <w:pPr>
              <w:pStyle w:val="Compact"/>
              <w:jc w:val="left"/>
            </w:pPr>
            <w:r>
              <w:t xml:space="preserve">1</w:t>
            </w:r>
          </w:p>
        </w:tc>
      </w:tr>
    </w:tbl>
    <w:bookmarkEnd w:id="302"/>
    <w:bookmarkStart w:id="303" w:name="b9.3-exécution-des-modèles"/>
    <w:p>
      <w:pPr>
        <w:pStyle w:val="Heading3"/>
      </w:pPr>
      <w:r>
        <w:t xml:space="preserve">B9.3 Exécution des modèles</w:t>
      </w:r>
    </w:p>
    <w:tbl>
      <w:tblPr>
        <w:tblStyle w:val="Table"/>
        <w:tblW w:type="dxa" w:w="9354"/>
        <w:tblLayout w:type="fixed"/>
        <w:tblLook w:firstRow="1" w:lastRow="0" w:firstColumn="0" w:lastColumn="0" w:noHBand="0" w:noVBand="0" w:val="0020"/>
        <w:jc w:val="start"/>
      </w:tblPr>
      <w:tblGrid>
        <w:gridCol w:w="1913"/>
        <w:gridCol w:w="3840"/>
        <w:gridCol w:w="1800"/>
        <w:gridCol w:w="1801"/>
      </w:tblGrid>
      <w:tr>
        <w:trPr>
          <w:tblHeader w:val="true"/>
        </w:trPr>
        <w:tc>
          <w:tcPr/>
          <w:p>
            <w:pPr>
              <w:pStyle w:val="Compact"/>
              <w:jc w:val="left"/>
            </w:pPr>
            <w:r>
              <w:t xml:space="preserve">Réf</w:t>
            </w:r>
          </w:p>
        </w:tc>
        <w:tc>
          <w:tcPr/>
          <w:p>
            <w:pPr>
              <w:pStyle w:val="Compact"/>
              <w:jc w:val="left"/>
            </w:pPr>
            <w:r>
              <w:t xml:space="preserve">Exigence</w:t>
            </w:r>
          </w:p>
        </w:tc>
        <w:tc>
          <w:tcPr/>
          <w:p>
            <w:pPr>
              <w:pStyle w:val="Compact"/>
              <w:jc w:val="left"/>
            </w:pPr>
            <w:r>
              <w:t xml:space="preserve">Pri.</w:t>
            </w:r>
          </w:p>
        </w:tc>
        <w:tc>
          <w:tcPr/>
          <w:p>
            <w:pPr>
              <w:pStyle w:val="Compact"/>
              <w:jc w:val="left"/>
            </w:pPr>
            <w:r>
              <w:t xml:space="preserve">Lot</w:t>
            </w:r>
          </w:p>
        </w:tc>
      </w:tr>
      <w:tr>
        <w:tc>
          <w:tcPr/>
          <w:p>
            <w:pPr>
              <w:pStyle w:val="Compact"/>
              <w:jc w:val="left"/>
            </w:pPr>
            <w:r>
              <w:t xml:space="preserve">MOD-EF-17</w:t>
            </w:r>
          </w:p>
        </w:tc>
        <w:tc>
          <w:tcPr/>
          <w:p>
            <w:pPr>
              <w:pStyle w:val="Compact"/>
              <w:jc w:val="left"/>
            </w:pPr>
            <w:r>
              <w:t xml:space="preserve">Un utilisateur habilité peut lancer l’exécution d’un modèle depuis l’interface, sans manipulation de fichier ni accès au moteur de calcul.</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MOD-EF-18</w:t>
            </w:r>
          </w:p>
        </w:tc>
        <w:tc>
          <w:tcPr/>
          <w:p>
            <w:pPr>
              <w:pStyle w:val="Compact"/>
              <w:jc w:val="left"/>
            </w:pPr>
            <w:r>
              <w:t xml:space="preserve">Les exécutions sont asynchrones : l’utilisateur garde la main, suit l’avancement, et est averti à la fin.</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MOD-EF-19</w:t>
            </w:r>
          </w:p>
        </w:tc>
        <w:tc>
          <w:tcPr/>
          <w:p>
            <w:pPr>
              <w:pStyle w:val="Compact"/>
              <w:jc w:val="left"/>
            </w:pPr>
            <w:r>
              <w:t xml:space="preserve">Plusieurs exécutions peuvent être lancées simultanément par des utilisateurs différents, dans la limite des capacités du moteur, avec une file d’attente visible.</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MOD-EF-20</w:t>
            </w:r>
          </w:p>
        </w:tc>
        <w:tc>
          <w:tcPr/>
          <w:p>
            <w:pPr>
              <w:pStyle w:val="Compact"/>
              <w:jc w:val="left"/>
            </w:pPr>
            <w:r>
              <w:t xml:space="preserve">Les résultats des modèles GAMS sont lus depuis le fichier GDX en désignant chaque variable par son nom, jamais par sa position.</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MOD-EF-21</w:t>
            </w:r>
          </w:p>
        </w:tc>
        <w:tc>
          <w:tcPr/>
          <w:p>
            <w:pPr>
              <w:pStyle w:val="Compact"/>
              <w:jc w:val="left"/>
            </w:pPr>
            <w:r>
              <w:t xml:space="preserve">Le statut renvoyé par le solveur (statut de modèle et statut de résolution) est enregistré et affiché en clair ; une exécution non optimale ou non résolue est signalée comme telle et ne produit pas de résultats présentés comme valides.</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MOD-EF-22</w:t>
            </w:r>
          </w:p>
        </w:tc>
        <w:tc>
          <w:tcPr/>
          <w:p>
            <w:pPr>
              <w:pStyle w:val="Compact"/>
              <w:jc w:val="left"/>
            </w:pPr>
            <w:r>
              <w:t xml:space="preserve">En cas de non-convergence, la plateforme affiche un message compréhensible par un non-spécialiste, conserve le journal d’exécution pour le responsable du modèle, et propose de revenir aux paramètres du scénario.</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MOD-EF-23</w:t>
            </w:r>
          </w:p>
        </w:tc>
        <w:tc>
          <w:tcPr/>
          <w:p>
            <w:pPr>
              <w:pStyle w:val="Compact"/>
              <w:jc w:val="left"/>
            </w:pPr>
            <w:r>
              <w:t xml:space="preserve">Une exécution peut être interrompue par son auteur ou par l’administrateur.</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MOD-EF-24</w:t>
            </w:r>
          </w:p>
        </w:tc>
        <w:tc>
          <w:tcPr/>
          <w:p>
            <w:pPr>
              <w:pStyle w:val="Compact"/>
              <w:jc w:val="left"/>
            </w:pPr>
            <w:r>
              <w:t xml:space="preserve">Une exécution dépassant une durée paramétrable est arrêtée automatiquement et signalée.</w:t>
            </w:r>
          </w:p>
        </w:tc>
        <w:tc>
          <w:tcPr/>
          <w:p>
            <w:pPr>
              <w:pStyle w:val="Compact"/>
              <w:jc w:val="left"/>
            </w:pPr>
            <w:r>
              <w:t xml:space="preserve">2</w:t>
            </w:r>
          </w:p>
        </w:tc>
        <w:tc>
          <w:tcPr/>
          <w:p>
            <w:pPr>
              <w:pStyle w:val="Compact"/>
              <w:jc w:val="left"/>
            </w:pPr>
            <w:r>
              <w:t xml:space="preserve">2</w:t>
            </w:r>
          </w:p>
        </w:tc>
      </w:tr>
    </w:tbl>
    <w:bookmarkEnd w:id="303"/>
    <w:bookmarkStart w:id="304" w:name="b9.4-scénarios-et-chocs"/>
    <w:p>
      <w:pPr>
        <w:pStyle w:val="Heading3"/>
      </w:pPr>
      <w:r>
        <w:t xml:space="preserve">B9.4 Scénarios et chocs</w:t>
      </w:r>
    </w:p>
    <w:tbl>
      <w:tblPr>
        <w:tblStyle w:val="Table"/>
        <w:tblW w:type="dxa" w:w="9354"/>
        <w:tblLayout w:type="fixed"/>
        <w:tblLook w:firstRow="1" w:lastRow="0" w:firstColumn="0" w:lastColumn="0" w:noHBand="0" w:noVBand="0" w:val="0020"/>
        <w:jc w:val="start"/>
      </w:tblPr>
      <w:tblGrid>
        <w:gridCol w:w="1892"/>
        <w:gridCol w:w="3902"/>
        <w:gridCol w:w="1780"/>
        <w:gridCol w:w="1780"/>
      </w:tblGrid>
      <w:tr>
        <w:trPr>
          <w:tblHeader w:val="true"/>
        </w:trPr>
        <w:tc>
          <w:tcPr/>
          <w:p>
            <w:pPr>
              <w:pStyle w:val="Compact"/>
              <w:jc w:val="left"/>
            </w:pPr>
            <w:r>
              <w:t xml:space="preserve">Réf</w:t>
            </w:r>
          </w:p>
        </w:tc>
        <w:tc>
          <w:tcPr/>
          <w:p>
            <w:pPr>
              <w:pStyle w:val="Compact"/>
              <w:jc w:val="left"/>
            </w:pPr>
            <w:r>
              <w:t xml:space="preserve">Exigence</w:t>
            </w:r>
          </w:p>
        </w:tc>
        <w:tc>
          <w:tcPr/>
          <w:p>
            <w:pPr>
              <w:pStyle w:val="Compact"/>
              <w:jc w:val="left"/>
            </w:pPr>
            <w:r>
              <w:t xml:space="preserve">Pri.</w:t>
            </w:r>
          </w:p>
        </w:tc>
        <w:tc>
          <w:tcPr/>
          <w:p>
            <w:pPr>
              <w:pStyle w:val="Compact"/>
              <w:jc w:val="left"/>
            </w:pPr>
            <w:r>
              <w:t xml:space="preserve">Lot</w:t>
            </w:r>
          </w:p>
        </w:tc>
      </w:tr>
      <w:tr>
        <w:tc>
          <w:tcPr/>
          <w:p>
            <w:pPr>
              <w:pStyle w:val="Compact"/>
              <w:jc w:val="left"/>
            </w:pPr>
            <w:r>
              <w:t xml:space="preserve">MOD-EF-25</w:t>
            </w:r>
          </w:p>
        </w:tc>
        <w:tc>
          <w:tcPr/>
          <w:p>
            <w:pPr>
              <w:pStyle w:val="Compact"/>
              <w:jc w:val="left"/>
            </w:pPr>
            <w:r>
              <w:t xml:space="preserve">Chaque modèle dispose d’un scénario de référence identifié, exécuté et conservé ; tout choc est calculé et présenté par écart à cette référence.</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MOD-EF-26</w:t>
            </w:r>
          </w:p>
        </w:tc>
        <w:tc>
          <w:tcPr/>
          <w:p>
            <w:pPr>
              <w:pStyle w:val="Compact"/>
              <w:jc w:val="left"/>
            </w:pPr>
            <w:r>
              <w:t xml:space="preserve">La définition d’un choc précise la variable, l’ampleur (en niveau ou en pourcentage), et la période : année unique, plage d’années, ou permanent à partir d’une année.</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MOD-EF-27</w:t>
            </w:r>
          </w:p>
        </w:tc>
        <w:tc>
          <w:tcPr/>
          <w:p>
            <w:pPr>
              <w:pStyle w:val="Compact"/>
              <w:jc w:val="left"/>
            </w:pPr>
            <w:r>
              <w:t xml:space="preserve">Un scénario peut combiner plusieurs chocs simultanés sur un même modèle.</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MOD-EF-28</w:t>
            </w:r>
          </w:p>
        </w:tc>
        <w:tc>
          <w:tcPr/>
          <w:p>
            <w:pPr>
              <w:pStyle w:val="Compact"/>
              <w:jc w:val="left"/>
            </w:pPr>
            <w:r>
              <w:t xml:space="preserve">Lorsque le modèle admet plusieurs fermetures (bouclage budgétaire, extérieur, épargne-investissement), la plateforme expose le choix de fermeture, affiche celle retenue par défaut et enregistre le choix effectué dans la fiche de simulation.</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MOD-EF-29</w:t>
            </w:r>
          </w:p>
        </w:tc>
        <w:tc>
          <w:tcPr/>
          <w:p>
            <w:pPr>
              <w:pStyle w:val="Compact"/>
              <w:jc w:val="left"/>
            </w:pPr>
            <w:r>
              <w:t xml:space="preserve">Les chocs proposés à l’utilisateur sont ceux déclarés dans la fiche d’identité du modèle ; aucune variable non déclarée ne peut être modifiée depuis l’interface.</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MOD-EF-30</w:t>
            </w:r>
          </w:p>
        </w:tc>
        <w:tc>
          <w:tcPr/>
          <w:p>
            <w:pPr>
              <w:pStyle w:val="Compact"/>
              <w:jc w:val="left"/>
            </w:pPr>
            <w:r>
              <w:t xml:space="preserve">Une bibliothèque de chocs types (externes, budgétaires, monétaires et de change, réformes structurelles) est constituée, réutilisable et modifiable avant exécution.</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MOD-EF-31</w:t>
            </w:r>
          </w:p>
        </w:tc>
        <w:tc>
          <w:tcPr/>
          <w:p>
            <w:pPr>
              <w:pStyle w:val="Compact"/>
              <w:jc w:val="left"/>
            </w:pPr>
            <w:r>
              <w:t xml:space="preserve">Un scénario est enregistrable, duplicable et modifiable, pour servir de point de départ à une variante.</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MOD-EF-32</w:t>
            </w:r>
          </w:p>
        </w:tc>
        <w:tc>
          <w:tcPr/>
          <w:p>
            <w:pPr>
              <w:pStyle w:val="Compact"/>
              <w:jc w:val="left"/>
            </w:pPr>
            <w:r>
              <w:t xml:space="preserve">Un test de sensibilité peut être lancé en faisant varier l’ampleur d’un choc sur une plage définie, produisant une série de simulations comparables.</w:t>
            </w:r>
          </w:p>
        </w:tc>
        <w:tc>
          <w:tcPr/>
          <w:p>
            <w:pPr>
              <w:pStyle w:val="Compact"/>
              <w:jc w:val="left"/>
            </w:pPr>
            <w:r>
              <w:t xml:space="preserve">3</w:t>
            </w:r>
          </w:p>
        </w:tc>
        <w:tc>
          <w:tcPr/>
          <w:p>
            <w:pPr>
              <w:pStyle w:val="Compact"/>
              <w:jc w:val="left"/>
            </w:pPr>
            <w:r>
              <w:t xml:space="preserve">2</w:t>
            </w:r>
          </w:p>
        </w:tc>
      </w:tr>
    </w:tbl>
    <w:bookmarkEnd w:id="304"/>
    <w:bookmarkStart w:id="305" w:name="X6f2cc8e70e3857e3710f398129d478a89ea06b0"/>
    <w:p>
      <w:pPr>
        <w:pStyle w:val="Heading3"/>
      </w:pPr>
      <w:r>
        <w:t xml:space="preserve">B9.5 Contrôles de cohérence et de calibrage</w:t>
      </w:r>
    </w:p>
    <w:tbl>
      <w:tblPr>
        <w:tblStyle w:val="Table"/>
        <w:tblW w:type="dxa" w:w="9354"/>
        <w:tblLayout w:type="fixed"/>
        <w:tblLook w:firstRow="1" w:lastRow="0" w:firstColumn="0" w:lastColumn="0" w:noHBand="0" w:noVBand="0" w:val="0020"/>
        <w:jc w:val="start"/>
      </w:tblPr>
      <w:tblGrid>
        <w:gridCol w:w="1704"/>
        <w:gridCol w:w="4436"/>
        <w:gridCol w:w="1607"/>
        <w:gridCol w:w="1607"/>
      </w:tblGrid>
      <w:tr>
        <w:trPr>
          <w:tblHeader w:val="true"/>
        </w:trPr>
        <w:tc>
          <w:tcPr/>
          <w:p>
            <w:pPr>
              <w:pStyle w:val="Compact"/>
              <w:jc w:val="left"/>
            </w:pPr>
            <w:r>
              <w:t xml:space="preserve">Réf</w:t>
            </w:r>
          </w:p>
        </w:tc>
        <w:tc>
          <w:tcPr/>
          <w:p>
            <w:pPr>
              <w:pStyle w:val="Compact"/>
              <w:jc w:val="left"/>
            </w:pPr>
            <w:r>
              <w:t xml:space="preserve">Exigence</w:t>
            </w:r>
          </w:p>
        </w:tc>
        <w:tc>
          <w:tcPr/>
          <w:p>
            <w:pPr>
              <w:pStyle w:val="Compact"/>
              <w:jc w:val="left"/>
            </w:pPr>
            <w:r>
              <w:t xml:space="preserve">Pri.</w:t>
            </w:r>
          </w:p>
        </w:tc>
        <w:tc>
          <w:tcPr/>
          <w:p>
            <w:pPr>
              <w:pStyle w:val="Compact"/>
              <w:jc w:val="left"/>
            </w:pPr>
            <w:r>
              <w:t xml:space="preserve">Lot</w:t>
            </w:r>
          </w:p>
        </w:tc>
      </w:tr>
      <w:tr>
        <w:tc>
          <w:tcPr/>
          <w:p>
            <w:pPr>
              <w:pStyle w:val="Compact"/>
              <w:jc w:val="left"/>
            </w:pPr>
            <w:r>
              <w:t xml:space="preserve">MOD-EF-33</w:t>
            </w:r>
          </w:p>
        </w:tc>
        <w:tc>
          <w:tcPr/>
          <w:p>
            <w:pPr>
              <w:pStyle w:val="Compact"/>
              <w:jc w:val="left"/>
            </w:pPr>
            <w:r>
              <w:t xml:space="preserve">La plateforme exécute automatiquement, après chaque activation de version et à chaque simulation, la batterie de contrôles déclarée pour le modèle, et en consigne le résultat dans la fiche de simulation.</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MOD-EF-34</w:t>
            </w:r>
          </w:p>
        </w:tc>
        <w:tc>
          <w:tcPr/>
          <w:p>
            <w:pPr>
              <w:pStyle w:val="Compact"/>
              <w:jc w:val="left"/>
            </w:pPr>
            <w:r>
              <w:t xml:space="preserve">Pour les modèles d’équilibre général, la batterie comprend au minimum : test d’homogénéité (doublement du numéraire, invariance des quantités réelles et proportionnalité des prix nominaux), équilibre de la matrice de comptabilité sociale, vérification de la loi de Walras sur le marché redondant, réplication de l’année de base par le scénario de référence, et cohérence du nombre d’équations et de variables.</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MOD-EF-35</w:t>
            </w:r>
          </w:p>
        </w:tc>
        <w:tc>
          <w:tcPr/>
          <w:p>
            <w:pPr>
              <w:pStyle w:val="Compact"/>
              <w:jc w:val="left"/>
            </w:pPr>
            <w:r>
              <w:t xml:space="preserve">Chaque contrôle dispose d’un seuil de tolérance paramétrable et d’un comportement défini en cas d’échec : bloquant ou signalé.</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MOD-EF-36</w:t>
            </w:r>
          </w:p>
        </w:tc>
        <w:tc>
          <w:tcPr/>
          <w:p>
            <w:pPr>
              <w:pStyle w:val="Compact"/>
              <w:jc w:val="left"/>
            </w:pPr>
            <w:r>
              <w:t xml:space="preserve">Un échec de contrôle bloquant empêche la présentation des résultats comme valides et interdit l’activation de la version concernée, sauf dérogation explicite de l’administrateur, enregistrée avec sa justification.</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MOD-EF-37</w:t>
            </w:r>
          </w:p>
        </w:tc>
        <w:tc>
          <w:tcPr/>
          <w:p>
            <w:pPr>
              <w:pStyle w:val="Compact"/>
              <w:jc w:val="left"/>
            </w:pPr>
            <w:r>
              <w:t xml:space="preserve">Des bornes de plausibilité paramétrables par indicateur (par exemple une variation du PIB réel en dehors d’un intervalle jugé vraisemblable) déclenchent une alerte visible sans bloquer la simulation.</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MOD-EF-38</w:t>
            </w:r>
          </w:p>
        </w:tc>
        <w:tc>
          <w:tcPr/>
          <w:p>
            <w:pPr>
              <w:pStyle w:val="Compact"/>
              <w:jc w:val="left"/>
            </w:pPr>
            <w:r>
              <w:t xml:space="preserve">Les modèles des familles B et C disposent de leurs propres contrôles déclarés : bouclage comptable du cadre macro-budgétaire, cohérence des identités du TOFE, reproduction d’un exercice témoin pour les modèles économétriques.</w:t>
            </w:r>
          </w:p>
        </w:tc>
        <w:tc>
          <w:tcPr/>
          <w:p>
            <w:pPr>
              <w:pStyle w:val="Compact"/>
              <w:jc w:val="left"/>
            </w:pPr>
            <w:r>
              <w:t xml:space="preserve">2</w:t>
            </w:r>
          </w:p>
        </w:tc>
        <w:tc>
          <w:tcPr/>
          <w:p>
            <w:pPr>
              <w:pStyle w:val="Compact"/>
              <w:jc w:val="left"/>
            </w:pPr>
            <w:r>
              <w:t xml:space="preserve">2</w:t>
            </w:r>
          </w:p>
        </w:tc>
      </w:tr>
    </w:tbl>
    <w:p>
      <w:pPr>
        <w:pStyle w:val="BodyText"/>
      </w:pPr>
      <w:r>
        <w:t xml:space="preserve">Détail de la batterie exigée par MOD-EF-34, chaque test étant vérifiable</w:t>
      </w:r>
      <w:r>
        <w:t xml:space="preserve"> </w:t>
      </w:r>
      <w:r>
        <w:t xml:space="preserve">séparément :</w:t>
      </w:r>
    </w:p>
    <w:tbl>
      <w:tblPr>
        <w:tblStyle w:val="Table"/>
        <w:tblW w:type="dxa" w:w="9354"/>
        <w:tblLayout w:type="fixed"/>
        <w:tblLook w:firstRow="1" w:lastRow="0" w:firstColumn="0" w:lastColumn="0" w:noHBand="0" w:noVBand="0" w:val="0020"/>
        <w:jc w:val="start"/>
      </w:tblPr>
      <w:tblGrid>
        <w:gridCol w:w="1716"/>
        <w:gridCol w:w="1902"/>
        <w:gridCol w:w="2450"/>
        <w:gridCol w:w="1687"/>
        <w:gridCol w:w="1599"/>
      </w:tblGrid>
      <w:tr>
        <w:trPr>
          <w:tblHeader w:val="true"/>
        </w:trPr>
        <w:tc>
          <w:tcPr/>
          <w:p>
            <w:pPr>
              <w:pStyle w:val="Compact"/>
              <w:jc w:val="left"/>
            </w:pPr>
            <w:r>
              <w:t xml:space="preserve">Réf</w:t>
            </w:r>
          </w:p>
        </w:tc>
        <w:tc>
          <w:tcPr/>
          <w:p>
            <w:pPr>
              <w:pStyle w:val="Compact"/>
              <w:jc w:val="left"/>
            </w:pPr>
            <w:r>
              <w:t xml:space="preserve">Test</w:t>
            </w:r>
          </w:p>
        </w:tc>
        <w:tc>
          <w:tcPr/>
          <w:p>
            <w:pPr>
              <w:pStyle w:val="Compact"/>
              <w:jc w:val="left"/>
            </w:pPr>
            <w:r>
              <w:t xml:space="preserve">Critère de réussite</w:t>
            </w:r>
          </w:p>
        </w:tc>
        <w:tc>
          <w:tcPr/>
          <w:p>
            <w:pPr>
              <w:pStyle w:val="Compact"/>
              <w:jc w:val="left"/>
            </w:pPr>
            <w:r>
              <w:t xml:space="preserve">Défaut</w:t>
            </w:r>
          </w:p>
        </w:tc>
        <w:tc>
          <w:tcPr/>
          <w:p>
            <w:pPr>
              <w:pStyle w:val="Compact"/>
              <w:jc w:val="left"/>
            </w:pPr>
            <w:r>
              <w:t xml:space="preserve">Lot</w:t>
            </w:r>
          </w:p>
        </w:tc>
      </w:tr>
      <w:tr>
        <w:tc>
          <w:tcPr/>
          <w:p>
            <w:pPr>
              <w:pStyle w:val="Compact"/>
              <w:jc w:val="left"/>
            </w:pPr>
            <w:r>
              <w:t xml:space="preserve">MOD-EF-34.1</w:t>
            </w:r>
          </w:p>
        </w:tc>
        <w:tc>
          <w:tcPr/>
          <w:p>
            <w:pPr>
              <w:pStyle w:val="Compact"/>
              <w:jc w:val="left"/>
            </w:pPr>
            <w:r>
              <w:t xml:space="preserve">Homogénéité</w:t>
            </w:r>
          </w:p>
        </w:tc>
        <w:tc>
          <w:tcPr/>
          <w:p>
            <w:pPr>
              <w:pStyle w:val="Compact"/>
              <w:jc w:val="left"/>
            </w:pPr>
            <w:r>
              <w:t xml:space="preserve">Le numéraire doublé, les prix nominaux varient dans la même proportion et les quantités réelles restent inchangées</w:t>
            </w:r>
          </w:p>
        </w:tc>
        <w:tc>
          <w:tcPr/>
          <w:p>
            <w:pPr>
              <w:pStyle w:val="Compact"/>
              <w:jc w:val="left"/>
            </w:pPr>
            <w:r>
              <w:t xml:space="preserve">Bloquant</w:t>
            </w:r>
          </w:p>
        </w:tc>
        <w:tc>
          <w:tcPr/>
          <w:p>
            <w:pPr>
              <w:pStyle w:val="Compact"/>
              <w:jc w:val="left"/>
            </w:pPr>
            <w:r>
              <w:t xml:space="preserve">2</w:t>
            </w:r>
          </w:p>
        </w:tc>
      </w:tr>
      <w:tr>
        <w:tc>
          <w:tcPr/>
          <w:p>
            <w:pPr>
              <w:pStyle w:val="Compact"/>
              <w:jc w:val="left"/>
            </w:pPr>
            <w:r>
              <w:t xml:space="preserve">MOD-EF-34.2</w:t>
            </w:r>
          </w:p>
        </w:tc>
        <w:tc>
          <w:tcPr/>
          <w:p>
            <w:pPr>
              <w:pStyle w:val="Compact"/>
              <w:jc w:val="left"/>
            </w:pPr>
            <w:r>
              <w:t xml:space="preserve">Équilibre de la matrice de comptabilité sociale</w:t>
            </w:r>
          </w:p>
        </w:tc>
        <w:tc>
          <w:tcPr/>
          <w:p>
            <w:pPr>
              <w:pStyle w:val="Compact"/>
              <w:jc w:val="left"/>
            </w:pPr>
            <w:r>
              <w:t xml:space="preserve">Totaux ligne et colonne égaux compte par compte</w:t>
            </w:r>
          </w:p>
        </w:tc>
        <w:tc>
          <w:tcPr/>
          <w:p>
            <w:pPr>
              <w:pStyle w:val="Compact"/>
              <w:jc w:val="left"/>
            </w:pPr>
            <w:r>
              <w:t xml:space="preserve">Bloquant</w:t>
            </w:r>
          </w:p>
        </w:tc>
        <w:tc>
          <w:tcPr/>
          <w:p>
            <w:pPr>
              <w:pStyle w:val="Compact"/>
              <w:jc w:val="left"/>
            </w:pPr>
            <w:r>
              <w:t xml:space="preserve">2</w:t>
            </w:r>
          </w:p>
        </w:tc>
      </w:tr>
      <w:tr>
        <w:tc>
          <w:tcPr/>
          <w:p>
            <w:pPr>
              <w:pStyle w:val="Compact"/>
              <w:jc w:val="left"/>
            </w:pPr>
            <w:r>
              <w:t xml:space="preserve">MOD-EF-34.3</w:t>
            </w:r>
          </w:p>
        </w:tc>
        <w:tc>
          <w:tcPr/>
          <w:p>
            <w:pPr>
              <w:pStyle w:val="Compact"/>
              <w:jc w:val="left"/>
            </w:pPr>
            <w:r>
              <w:t xml:space="preserve">Loi de Walras</w:t>
            </w:r>
          </w:p>
        </w:tc>
        <w:tc>
          <w:tcPr/>
          <w:p>
            <w:pPr>
              <w:pStyle w:val="Compact"/>
              <w:jc w:val="left"/>
            </w:pPr>
            <w:r>
              <w:t xml:space="preserve">Le marché redondant s’équilibre : résidu inférieur au seuil</w:t>
            </w:r>
          </w:p>
        </w:tc>
        <w:tc>
          <w:tcPr/>
          <w:p>
            <w:pPr>
              <w:pStyle w:val="Compact"/>
              <w:jc w:val="left"/>
            </w:pPr>
            <w:r>
              <w:t xml:space="preserve">Bloquant</w:t>
            </w:r>
          </w:p>
        </w:tc>
        <w:tc>
          <w:tcPr/>
          <w:p>
            <w:pPr>
              <w:pStyle w:val="Compact"/>
              <w:jc w:val="left"/>
            </w:pPr>
            <w:r>
              <w:t xml:space="preserve">2</w:t>
            </w:r>
          </w:p>
        </w:tc>
      </w:tr>
      <w:tr>
        <w:tc>
          <w:tcPr/>
          <w:p>
            <w:pPr>
              <w:pStyle w:val="Compact"/>
              <w:jc w:val="left"/>
            </w:pPr>
            <w:r>
              <w:t xml:space="preserve">MOD-EF-34.4</w:t>
            </w:r>
          </w:p>
        </w:tc>
        <w:tc>
          <w:tcPr/>
          <w:p>
            <w:pPr>
              <w:pStyle w:val="Compact"/>
              <w:jc w:val="left"/>
            </w:pPr>
            <w:r>
              <w:t xml:space="preserve">Réplication de l’année de base</w:t>
            </w:r>
          </w:p>
        </w:tc>
        <w:tc>
          <w:tcPr/>
          <w:p>
            <w:pPr>
              <w:pStyle w:val="Compact"/>
              <w:jc w:val="left"/>
            </w:pPr>
            <w:r>
              <w:t xml:space="preserve">Le scénario de référence reproduit l’année de base de la matrice</w:t>
            </w:r>
          </w:p>
        </w:tc>
        <w:tc>
          <w:tcPr/>
          <w:p>
            <w:pPr>
              <w:pStyle w:val="Compact"/>
              <w:jc w:val="left"/>
            </w:pPr>
            <w:r>
              <w:t xml:space="preserve">Bloquant</w:t>
            </w:r>
          </w:p>
        </w:tc>
        <w:tc>
          <w:tcPr/>
          <w:p>
            <w:pPr>
              <w:pStyle w:val="Compact"/>
              <w:jc w:val="left"/>
            </w:pPr>
            <w:r>
              <w:t xml:space="preserve">2</w:t>
            </w:r>
          </w:p>
        </w:tc>
      </w:tr>
      <w:tr>
        <w:tc>
          <w:tcPr/>
          <w:p>
            <w:pPr>
              <w:pStyle w:val="Compact"/>
              <w:jc w:val="left"/>
            </w:pPr>
            <w:r>
              <w:t xml:space="preserve">MOD-EF-34.5</w:t>
            </w:r>
          </w:p>
        </w:tc>
        <w:tc>
          <w:tcPr/>
          <w:p>
            <w:pPr>
              <w:pStyle w:val="Compact"/>
              <w:jc w:val="left"/>
            </w:pPr>
            <w:r>
              <w:t xml:space="preserve">Comptage équations et variables</w:t>
            </w:r>
          </w:p>
        </w:tc>
        <w:tc>
          <w:tcPr/>
          <w:p>
            <w:pPr>
              <w:pStyle w:val="Compact"/>
              <w:jc w:val="left"/>
            </w:pPr>
            <w:r>
              <w:t xml:space="preserve">Le modèle est carré au sens attendu par son mode de résolution</w:t>
            </w:r>
          </w:p>
        </w:tc>
        <w:tc>
          <w:tcPr/>
          <w:p>
            <w:pPr>
              <w:pStyle w:val="Compact"/>
              <w:jc w:val="left"/>
            </w:pPr>
            <w:r>
              <w:t xml:space="preserve">Bloquant</w:t>
            </w:r>
          </w:p>
        </w:tc>
        <w:tc>
          <w:tcPr/>
          <w:p>
            <w:pPr>
              <w:pStyle w:val="Compact"/>
              <w:jc w:val="left"/>
            </w:pPr>
            <w:r>
              <w:t xml:space="preserve">2</w:t>
            </w:r>
          </w:p>
        </w:tc>
      </w:tr>
    </w:tbl>
    <w:p>
      <w:pPr>
        <w:pStyle w:val="BodyText"/>
      </w:pPr>
      <w:r>
        <w:t xml:space="preserve">Les seuils par défaut de chaque test figurent en annexe 3 et sont</w:t>
      </w:r>
      <w:r>
        <w:t xml:space="preserve"> </w:t>
      </w:r>
      <w:r>
        <w:t xml:space="preserve">confirmés par le responsable du modèle lors de l’état des lieux.</w:t>
      </w:r>
    </w:p>
    <w:bookmarkEnd w:id="305"/>
    <w:bookmarkStart w:id="306" w:name="b9.6-restitution-des-résultats"/>
    <w:p>
      <w:pPr>
        <w:pStyle w:val="Heading3"/>
      </w:pPr>
      <w:r>
        <w:t xml:space="preserve">B9.6 Restitution des résultats</w:t>
      </w:r>
    </w:p>
    <w:tbl>
      <w:tblPr>
        <w:tblStyle w:val="Table"/>
        <w:tblW w:type="dxa" w:w="9354"/>
        <w:tblLayout w:type="fixed"/>
        <w:tblLook w:firstRow="1" w:lastRow="0" w:firstColumn="0" w:lastColumn="0" w:noHBand="0" w:noVBand="0" w:val="0020"/>
        <w:jc w:val="start"/>
      </w:tblPr>
      <w:tblGrid>
        <w:gridCol w:w="1843"/>
        <w:gridCol w:w="4042"/>
        <w:gridCol w:w="1734"/>
        <w:gridCol w:w="1735"/>
      </w:tblGrid>
      <w:tr>
        <w:trPr>
          <w:tblHeader w:val="true"/>
        </w:trPr>
        <w:tc>
          <w:tcPr/>
          <w:p>
            <w:pPr>
              <w:pStyle w:val="Compact"/>
              <w:jc w:val="left"/>
            </w:pPr>
            <w:r>
              <w:t xml:space="preserve">Réf</w:t>
            </w:r>
          </w:p>
        </w:tc>
        <w:tc>
          <w:tcPr/>
          <w:p>
            <w:pPr>
              <w:pStyle w:val="Compact"/>
              <w:jc w:val="left"/>
            </w:pPr>
            <w:r>
              <w:t xml:space="preserve">Exigence</w:t>
            </w:r>
          </w:p>
        </w:tc>
        <w:tc>
          <w:tcPr/>
          <w:p>
            <w:pPr>
              <w:pStyle w:val="Compact"/>
              <w:jc w:val="left"/>
            </w:pPr>
            <w:r>
              <w:t xml:space="preserve">Pri.</w:t>
            </w:r>
          </w:p>
        </w:tc>
        <w:tc>
          <w:tcPr/>
          <w:p>
            <w:pPr>
              <w:pStyle w:val="Compact"/>
              <w:jc w:val="left"/>
            </w:pPr>
            <w:r>
              <w:t xml:space="preserve">Lot</w:t>
            </w:r>
          </w:p>
        </w:tc>
      </w:tr>
      <w:tr>
        <w:tc>
          <w:tcPr/>
          <w:p>
            <w:pPr>
              <w:pStyle w:val="Compact"/>
              <w:jc w:val="left"/>
            </w:pPr>
            <w:r>
              <w:t xml:space="preserve">MOD-EF-39</w:t>
            </w:r>
          </w:p>
        </w:tc>
        <w:tc>
          <w:tcPr/>
          <w:p>
            <w:pPr>
              <w:pStyle w:val="Compact"/>
              <w:jc w:val="left"/>
            </w:pPr>
            <w:r>
              <w:t xml:space="preserve">Chaque modèle dispose d’un socle d’indicateurs de restitution défini à l’avance, identique d’une simulation à l’autre. Pour les modèles d’équilibre général, ce socle reprend la synthèse utilisée aujourd’hui : PIB, exportations, importations, consommation finale, investissement, valeur ajoutée totale et par grand secteur, recettes fiscales par type.</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MOD-EF-40</w:t>
            </w:r>
          </w:p>
        </w:tc>
        <w:tc>
          <w:tcPr/>
          <w:p>
            <w:pPr>
              <w:pStyle w:val="Compact"/>
              <w:jc w:val="left"/>
            </w:pPr>
            <w:r>
              <w:t xml:space="preserve">L’IA peut ajouter des indicateurs complémentaires adaptés à la question posée ; ils sont présentés distinctement du socle et identifiés comme complémentaires.</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MOD-EF-41</w:t>
            </w:r>
          </w:p>
        </w:tc>
        <w:tc>
          <w:tcPr/>
          <w:p>
            <w:pPr>
              <w:pStyle w:val="Compact"/>
              <w:jc w:val="left"/>
            </w:pPr>
            <w:r>
              <w:t xml:space="preserve">Les résultats sont présentés en tableaux organisés par période, avec la valeur de référence, la valeur simulée et l’écart.</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MOD-EF-42</w:t>
            </w:r>
          </w:p>
        </w:tc>
        <w:tc>
          <w:tcPr/>
          <w:p>
            <w:pPr>
              <w:pStyle w:val="Compact"/>
              <w:jc w:val="left"/>
            </w:pPr>
            <w:r>
              <w:t xml:space="preserve">La restitution s’adapte à la nature du modèle : courbes d’évolution pour les modèles dynamiques, comparaison avant-après pour les modèles statiques.</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MOD-EF-43</w:t>
            </w:r>
          </w:p>
        </w:tc>
        <w:tc>
          <w:tcPr/>
          <w:p>
            <w:pPr>
              <w:pStyle w:val="Compact"/>
              <w:jc w:val="left"/>
            </w:pPr>
            <w:r>
              <w:t xml:space="preserve">Un résumé en langage clair, généré par l’IA, accompagne le détail chiffré ; il est identifié comme une interprétation assistée et non comme une conclusion validée.</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MOD-EF-44</w:t>
            </w:r>
          </w:p>
        </w:tc>
        <w:tc>
          <w:tcPr/>
          <w:p>
            <w:pPr>
              <w:pStyle w:val="Compact"/>
              <w:jc w:val="left"/>
            </w:pPr>
            <w:r>
              <w:t xml:space="preserve">Deux simulations peuvent être comparées, y compris issues de deux versions différentes d’un même modèle, avec mise en évidence des écarts sur le socle d’indicateurs.</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MOD-EF-45</w:t>
            </w:r>
          </w:p>
        </w:tc>
        <w:tc>
          <w:tcPr/>
          <w:p>
            <w:pPr>
              <w:pStyle w:val="Compact"/>
              <w:jc w:val="left"/>
            </w:pPr>
            <w:r>
              <w:t xml:space="preserve">Toute restitution affiche en permanence le modèle, sa version, la base utilisée et le statut de la simulation.</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MOD-EF-46</w:t>
            </w:r>
          </w:p>
        </w:tc>
        <w:tc>
          <w:tcPr/>
          <w:p>
            <w:pPr>
              <w:pStyle w:val="Compact"/>
              <w:jc w:val="left"/>
            </w:pPr>
            <w:r>
              <w:t xml:space="preserve">Les résultats sont exportables en Excel et en PDF, l’export reprenant l’ensemble des rubriques de la fiche de simulation.</w:t>
            </w:r>
          </w:p>
        </w:tc>
        <w:tc>
          <w:tcPr/>
          <w:p>
            <w:pPr>
              <w:pStyle w:val="Compact"/>
              <w:jc w:val="left"/>
            </w:pPr>
            <w:r>
              <w:t xml:space="preserve">1</w:t>
            </w:r>
          </w:p>
        </w:tc>
        <w:tc>
          <w:tcPr/>
          <w:p>
            <w:pPr>
              <w:pStyle w:val="Compact"/>
              <w:jc w:val="left"/>
            </w:pPr>
            <w:r>
              <w:t xml:space="preserve">2</w:t>
            </w:r>
          </w:p>
        </w:tc>
      </w:tr>
    </w:tbl>
    <w:bookmarkEnd w:id="306"/>
    <w:bookmarkStart w:id="307" w:name="X1c471a760d8cde81d7292ba95c69db945b8a5ed"/>
    <w:p>
      <w:pPr>
        <w:pStyle w:val="Heading3"/>
      </w:pPr>
      <w:r>
        <w:t xml:space="preserve">B9.7 Interface assistée par intelligence artificielle</w:t>
      </w:r>
    </w:p>
    <w:tbl>
      <w:tblPr>
        <w:tblStyle w:val="Table"/>
        <w:tblW w:type="dxa" w:w="9354"/>
        <w:tblLayout w:type="fixed"/>
        <w:tblLook w:firstRow="1" w:lastRow="0" w:firstColumn="0" w:lastColumn="0" w:noHBand="0" w:noVBand="0" w:val="0020"/>
        <w:jc w:val="start"/>
      </w:tblPr>
      <w:tblGrid>
        <w:gridCol w:w="1965"/>
        <w:gridCol w:w="3686"/>
        <w:gridCol w:w="1851"/>
        <w:gridCol w:w="1852"/>
      </w:tblGrid>
      <w:tr>
        <w:trPr>
          <w:tblHeader w:val="true"/>
        </w:trPr>
        <w:tc>
          <w:tcPr/>
          <w:p>
            <w:pPr>
              <w:pStyle w:val="Compact"/>
              <w:jc w:val="left"/>
            </w:pPr>
            <w:r>
              <w:t xml:space="preserve">Réf</w:t>
            </w:r>
          </w:p>
        </w:tc>
        <w:tc>
          <w:tcPr/>
          <w:p>
            <w:pPr>
              <w:pStyle w:val="Compact"/>
              <w:jc w:val="left"/>
            </w:pPr>
            <w:r>
              <w:t xml:space="preserve">Exigence</w:t>
            </w:r>
          </w:p>
        </w:tc>
        <w:tc>
          <w:tcPr/>
          <w:p>
            <w:pPr>
              <w:pStyle w:val="Compact"/>
              <w:jc w:val="left"/>
            </w:pPr>
            <w:r>
              <w:t xml:space="preserve">Pri.</w:t>
            </w:r>
          </w:p>
        </w:tc>
        <w:tc>
          <w:tcPr/>
          <w:p>
            <w:pPr>
              <w:pStyle w:val="Compact"/>
              <w:jc w:val="left"/>
            </w:pPr>
            <w:r>
              <w:t xml:space="preserve">Lot</w:t>
            </w:r>
          </w:p>
        </w:tc>
      </w:tr>
      <w:tr>
        <w:tc>
          <w:tcPr/>
          <w:p>
            <w:pPr>
              <w:pStyle w:val="Compact"/>
              <w:jc w:val="left"/>
            </w:pPr>
            <w:r>
              <w:t xml:space="preserve">MOD-EF-47</w:t>
            </w:r>
          </w:p>
        </w:tc>
        <w:tc>
          <w:tcPr/>
          <w:p>
            <w:pPr>
              <w:pStyle w:val="Compact"/>
              <w:jc w:val="left"/>
            </w:pPr>
            <w:r>
              <w:t xml:space="preserve">L’utilisateur formule sa demande en langage courant ; l’IA identifie le ou les modèles pertinents et les propose à la sélection, sans en lancer aucun d’office.</w:t>
            </w:r>
          </w:p>
        </w:tc>
        <w:tc>
          <w:tcPr/>
          <w:p>
            <w:pPr>
              <w:pStyle w:val="Compact"/>
              <w:jc w:val="left"/>
            </w:pPr>
            <w:r>
              <w:t xml:space="preserve">1</w:t>
            </w:r>
          </w:p>
        </w:tc>
        <w:tc>
          <w:tcPr/>
          <w:p>
            <w:pPr>
              <w:pStyle w:val="Compact"/>
              <w:jc w:val="left"/>
            </w:pPr>
            <w:r>
              <w:t xml:space="preserve">4</w:t>
            </w:r>
          </w:p>
        </w:tc>
      </w:tr>
      <w:tr>
        <w:tc>
          <w:tcPr/>
          <w:p>
            <w:pPr>
              <w:pStyle w:val="Compact"/>
              <w:jc w:val="left"/>
            </w:pPr>
            <w:r>
              <w:t xml:space="preserve">MOD-EF-48</w:t>
            </w:r>
          </w:p>
        </w:tc>
        <w:tc>
          <w:tcPr/>
          <w:p>
            <w:pPr>
              <w:pStyle w:val="Compact"/>
              <w:jc w:val="left"/>
            </w:pPr>
            <w:r>
              <w:t xml:space="preserve">À chaque étape, l’utilisateur peut cliquer une suggestion ou saisir librement sa réponse ; aucun vocabulaire technique n’est exigé.</w:t>
            </w:r>
          </w:p>
        </w:tc>
        <w:tc>
          <w:tcPr/>
          <w:p>
            <w:pPr>
              <w:pStyle w:val="Compact"/>
              <w:jc w:val="left"/>
            </w:pPr>
            <w:r>
              <w:t xml:space="preserve">1</w:t>
            </w:r>
          </w:p>
        </w:tc>
        <w:tc>
          <w:tcPr/>
          <w:p>
            <w:pPr>
              <w:pStyle w:val="Compact"/>
              <w:jc w:val="left"/>
            </w:pPr>
            <w:r>
              <w:t xml:space="preserve">4</w:t>
            </w:r>
          </w:p>
        </w:tc>
      </w:tr>
      <w:tr>
        <w:tc>
          <w:tcPr/>
          <w:p>
            <w:pPr>
              <w:pStyle w:val="Compact"/>
              <w:jc w:val="left"/>
            </w:pPr>
            <w:r>
              <w:t xml:space="preserve">MOD-EF-49</w:t>
            </w:r>
          </w:p>
        </w:tc>
        <w:tc>
          <w:tcPr/>
          <w:p>
            <w:pPr>
              <w:pStyle w:val="Compact"/>
              <w:jc w:val="left"/>
            </w:pPr>
            <w:r>
              <w:t xml:space="preserve">L’IA traduit la demande en une proposition de choc exprimée dans les variables du modèle, et l’affiche pour confirmation avant toute exécution.</w:t>
            </w:r>
          </w:p>
        </w:tc>
        <w:tc>
          <w:tcPr/>
          <w:p>
            <w:pPr>
              <w:pStyle w:val="Compact"/>
              <w:jc w:val="left"/>
            </w:pPr>
            <w:r>
              <w:t xml:space="preserve">1</w:t>
            </w:r>
          </w:p>
        </w:tc>
        <w:tc>
          <w:tcPr/>
          <w:p>
            <w:pPr>
              <w:pStyle w:val="Compact"/>
              <w:jc w:val="left"/>
            </w:pPr>
            <w:r>
              <w:t xml:space="preserve">4</w:t>
            </w:r>
          </w:p>
        </w:tc>
      </w:tr>
      <w:tr>
        <w:tc>
          <w:tcPr/>
          <w:p>
            <w:pPr>
              <w:pStyle w:val="Compact"/>
              <w:jc w:val="left"/>
            </w:pPr>
            <w:r>
              <w:t xml:space="preserve">MOD-EF-50</w:t>
            </w:r>
          </w:p>
        </w:tc>
        <w:tc>
          <w:tcPr/>
          <w:p>
            <w:pPr>
              <w:pStyle w:val="Compact"/>
              <w:jc w:val="left"/>
            </w:pPr>
            <w:r>
              <w:t xml:space="preserve">Aucune exécution, modification ou diffusion n’est déclenchée par l’IA sans validation explicite de l’utilisateur.</w:t>
            </w:r>
          </w:p>
        </w:tc>
        <w:tc>
          <w:tcPr/>
          <w:p>
            <w:pPr>
              <w:pStyle w:val="Compact"/>
              <w:jc w:val="left"/>
            </w:pPr>
            <w:r>
              <w:t xml:space="preserve">1</w:t>
            </w:r>
          </w:p>
        </w:tc>
        <w:tc>
          <w:tcPr/>
          <w:p>
            <w:pPr>
              <w:pStyle w:val="Compact"/>
              <w:jc w:val="left"/>
            </w:pPr>
            <w:r>
              <w:t xml:space="preserve">4</w:t>
            </w:r>
          </w:p>
        </w:tc>
      </w:tr>
      <w:tr>
        <w:tc>
          <w:tcPr/>
          <w:p>
            <w:pPr>
              <w:pStyle w:val="Compact"/>
              <w:jc w:val="left"/>
            </w:pPr>
            <w:r>
              <w:t xml:space="preserve">MOD-EF-51</w:t>
            </w:r>
          </w:p>
        </w:tc>
        <w:tc>
          <w:tcPr/>
          <w:p>
            <w:pPr>
              <w:pStyle w:val="Compact"/>
              <w:jc w:val="left"/>
            </w:pPr>
            <w:r>
              <w:t xml:space="preserve">Les modèles sont présentés par leur intitulé courant et leur description, jamais par un nom de fichier technique.</w:t>
            </w:r>
          </w:p>
        </w:tc>
        <w:tc>
          <w:tcPr/>
          <w:p>
            <w:pPr>
              <w:pStyle w:val="Compact"/>
              <w:jc w:val="left"/>
            </w:pPr>
            <w:r>
              <w:t xml:space="preserve">1</w:t>
            </w:r>
          </w:p>
        </w:tc>
        <w:tc>
          <w:tcPr/>
          <w:p>
            <w:pPr>
              <w:pStyle w:val="Compact"/>
              <w:jc w:val="left"/>
            </w:pPr>
            <w:r>
              <w:t xml:space="preserve">4</w:t>
            </w:r>
          </w:p>
        </w:tc>
      </w:tr>
      <w:tr>
        <w:tc>
          <w:tcPr/>
          <w:p>
            <w:pPr>
              <w:pStyle w:val="Compact"/>
              <w:jc w:val="left"/>
            </w:pPr>
            <w:r>
              <w:t xml:space="preserve">MOD-EF-52</w:t>
            </w:r>
          </w:p>
        </w:tc>
        <w:tc>
          <w:tcPr/>
          <w:p>
            <w:pPr>
              <w:pStyle w:val="Compact"/>
              <w:jc w:val="left"/>
            </w:pPr>
            <w:r>
              <w:t xml:space="preserve">L’échange conversationnel est conservé et rattaché à la fiche de simulation qu’il a produite.</w:t>
            </w:r>
          </w:p>
        </w:tc>
        <w:tc>
          <w:tcPr/>
          <w:p>
            <w:pPr>
              <w:pStyle w:val="Compact"/>
              <w:jc w:val="left"/>
            </w:pPr>
            <w:r>
              <w:t xml:space="preserve">1</w:t>
            </w:r>
          </w:p>
        </w:tc>
        <w:tc>
          <w:tcPr/>
          <w:p>
            <w:pPr>
              <w:pStyle w:val="Compact"/>
              <w:jc w:val="left"/>
            </w:pPr>
            <w:r>
              <w:t xml:space="preserve">4</w:t>
            </w:r>
          </w:p>
        </w:tc>
      </w:tr>
      <w:tr>
        <w:tc>
          <w:tcPr/>
          <w:p>
            <w:pPr>
              <w:pStyle w:val="Compact"/>
              <w:jc w:val="left"/>
            </w:pPr>
            <w:r>
              <w:t xml:space="preserve">MOD-EF-53</w:t>
            </w:r>
          </w:p>
        </w:tc>
        <w:tc>
          <w:tcPr/>
          <w:p>
            <w:pPr>
              <w:pStyle w:val="Compact"/>
              <w:jc w:val="left"/>
            </w:pPr>
            <w:r>
              <w:t xml:space="preserve">Lorsque la demande ne correspond à aucun modèle du référentiel, l’IA le dit explicitement plutôt que de proposer un modèle par défaut.</w:t>
            </w:r>
          </w:p>
        </w:tc>
        <w:tc>
          <w:tcPr/>
          <w:p>
            <w:pPr>
              <w:pStyle w:val="Compact"/>
              <w:jc w:val="left"/>
            </w:pPr>
            <w:r>
              <w:t xml:space="preserve">1</w:t>
            </w:r>
          </w:p>
        </w:tc>
        <w:tc>
          <w:tcPr/>
          <w:p>
            <w:pPr>
              <w:pStyle w:val="Compact"/>
              <w:jc w:val="left"/>
            </w:pPr>
            <w:r>
              <w:t xml:space="preserve">4</w:t>
            </w:r>
          </w:p>
        </w:tc>
      </w:tr>
    </w:tbl>
    <w:bookmarkEnd w:id="307"/>
    <w:bookmarkStart w:id="308" w:name="X9a24051609627825a440880557db3e9e67685a8"/>
    <w:p>
      <w:pPr>
        <w:pStyle w:val="Heading3"/>
      </w:pPr>
      <w:r>
        <w:t xml:space="preserve">B9.8 Copilote d’administration des modèles</w:t>
      </w:r>
    </w:p>
    <w:tbl>
      <w:tblPr>
        <w:tblStyle w:val="Table"/>
        <w:tblW w:type="dxa" w:w="9354"/>
        <w:tblLayout w:type="fixed"/>
        <w:tblLook w:firstRow="1" w:lastRow="0" w:firstColumn="0" w:lastColumn="0" w:noHBand="0" w:noVBand="0" w:val="0020"/>
        <w:jc w:val="start"/>
      </w:tblPr>
      <w:tblGrid>
        <w:gridCol w:w="1883"/>
        <w:gridCol w:w="3921"/>
        <w:gridCol w:w="1776"/>
        <w:gridCol w:w="1774"/>
      </w:tblGrid>
      <w:tr>
        <w:trPr>
          <w:tblHeader w:val="true"/>
        </w:trPr>
        <w:tc>
          <w:tcPr/>
          <w:p>
            <w:pPr>
              <w:pStyle w:val="Compact"/>
              <w:jc w:val="left"/>
            </w:pPr>
            <w:r>
              <w:t xml:space="preserve">Réf</w:t>
            </w:r>
          </w:p>
        </w:tc>
        <w:tc>
          <w:tcPr/>
          <w:p>
            <w:pPr>
              <w:pStyle w:val="Compact"/>
              <w:jc w:val="left"/>
            </w:pPr>
            <w:r>
              <w:t xml:space="preserve">Exigence</w:t>
            </w:r>
          </w:p>
        </w:tc>
        <w:tc>
          <w:tcPr/>
          <w:p>
            <w:pPr>
              <w:pStyle w:val="Compact"/>
              <w:jc w:val="left"/>
            </w:pPr>
            <w:r>
              <w:t xml:space="preserve">Pri.</w:t>
            </w:r>
          </w:p>
        </w:tc>
        <w:tc>
          <w:tcPr/>
          <w:p>
            <w:pPr>
              <w:pStyle w:val="Compact"/>
              <w:jc w:val="left"/>
            </w:pPr>
            <w:r>
              <w:t xml:space="preserve">Lot</w:t>
            </w:r>
          </w:p>
        </w:tc>
      </w:tr>
      <w:tr>
        <w:tc>
          <w:tcPr/>
          <w:p>
            <w:pPr>
              <w:pStyle w:val="Compact"/>
              <w:jc w:val="left"/>
            </w:pPr>
            <w:r>
              <w:t xml:space="preserve">MOD-EF-54</w:t>
            </w:r>
          </w:p>
        </w:tc>
        <w:tc>
          <w:tcPr/>
          <w:p>
            <w:pPr>
              <w:pStyle w:val="Compact"/>
              <w:jc w:val="left"/>
            </w:pPr>
            <w:r>
              <w:t xml:space="preserve">L’administrateur peut décrire en langage courant une modification souhaitée sur un modèle ; l’IA identifie les équations et paramètres concernés et présente une analyse d’impact avant toute action.</w:t>
            </w:r>
          </w:p>
        </w:tc>
        <w:tc>
          <w:tcPr/>
          <w:p>
            <w:pPr>
              <w:pStyle w:val="Compact"/>
              <w:jc w:val="left"/>
            </w:pPr>
            <w:r>
              <w:t xml:space="preserve">2</w:t>
            </w:r>
          </w:p>
        </w:tc>
        <w:tc>
          <w:tcPr/>
          <w:p>
            <w:pPr>
              <w:pStyle w:val="Compact"/>
              <w:jc w:val="left"/>
            </w:pPr>
            <w:r>
              <w:t xml:space="preserve">4</w:t>
            </w:r>
          </w:p>
        </w:tc>
      </w:tr>
      <w:tr>
        <w:tc>
          <w:tcPr/>
          <w:p>
            <w:pPr>
              <w:pStyle w:val="Compact"/>
              <w:jc w:val="left"/>
            </w:pPr>
            <w:r>
              <w:t xml:space="preserve">MOD-EF-55</w:t>
            </w:r>
          </w:p>
        </w:tc>
        <w:tc>
          <w:tcPr/>
          <w:p>
            <w:pPr>
              <w:pStyle w:val="Compact"/>
              <w:jc w:val="left"/>
            </w:pPr>
            <w:r>
              <w:t xml:space="preserve">L’analyse d’impact énonce explicitement les risques : ce qui peut être affecté, ce qui peut cesser de converger, ce qui peut invalider le calibrage.</w:t>
            </w:r>
          </w:p>
        </w:tc>
        <w:tc>
          <w:tcPr/>
          <w:p>
            <w:pPr>
              <w:pStyle w:val="Compact"/>
              <w:jc w:val="left"/>
            </w:pPr>
            <w:r>
              <w:t xml:space="preserve">2</w:t>
            </w:r>
          </w:p>
        </w:tc>
        <w:tc>
          <w:tcPr/>
          <w:p>
            <w:pPr>
              <w:pStyle w:val="Compact"/>
              <w:jc w:val="left"/>
            </w:pPr>
            <w:r>
              <w:t xml:space="preserve">4</w:t>
            </w:r>
          </w:p>
        </w:tc>
      </w:tr>
      <w:tr>
        <w:tc>
          <w:tcPr/>
          <w:p>
            <w:pPr>
              <w:pStyle w:val="Compact"/>
              <w:jc w:val="left"/>
            </w:pPr>
            <w:r>
              <w:t xml:space="preserve">MOD-EF-56</w:t>
            </w:r>
          </w:p>
        </w:tc>
        <w:tc>
          <w:tcPr/>
          <w:p>
            <w:pPr>
              <w:pStyle w:val="Compact"/>
              <w:jc w:val="left"/>
            </w:pPr>
            <w:r>
              <w:t xml:space="preserve">Toute modification produit une nouvelle version distincte ; la version active n’est jamais modifiée.</w:t>
            </w:r>
          </w:p>
        </w:tc>
        <w:tc>
          <w:tcPr/>
          <w:p>
            <w:pPr>
              <w:pStyle w:val="Compact"/>
              <w:jc w:val="left"/>
            </w:pPr>
            <w:r>
              <w:t xml:space="preserve">2</w:t>
            </w:r>
          </w:p>
        </w:tc>
        <w:tc>
          <w:tcPr/>
          <w:p>
            <w:pPr>
              <w:pStyle w:val="Compact"/>
              <w:jc w:val="left"/>
            </w:pPr>
            <w:r>
              <w:t xml:space="preserve">4</w:t>
            </w:r>
          </w:p>
        </w:tc>
      </w:tr>
      <w:tr>
        <w:tc>
          <w:tcPr/>
          <w:p>
            <w:pPr>
              <w:pStyle w:val="Compact"/>
              <w:jc w:val="left"/>
            </w:pPr>
            <w:r>
              <w:t xml:space="preserve">MOD-EF-57</w:t>
            </w:r>
          </w:p>
        </w:tc>
        <w:tc>
          <w:tcPr/>
          <w:p>
            <w:pPr>
              <w:pStyle w:val="Compact"/>
              <w:jc w:val="left"/>
            </w:pPr>
            <w:r>
              <w:t xml:space="preserve">La batterie de contrôles (section B6) est exécutée automatiquement sur la nouvelle version, et son résultat présenté à l’administrateur.</w:t>
            </w:r>
          </w:p>
        </w:tc>
        <w:tc>
          <w:tcPr/>
          <w:p>
            <w:pPr>
              <w:pStyle w:val="Compact"/>
              <w:jc w:val="left"/>
            </w:pPr>
            <w:r>
              <w:t xml:space="preserve">2</w:t>
            </w:r>
          </w:p>
        </w:tc>
        <w:tc>
          <w:tcPr/>
          <w:p>
            <w:pPr>
              <w:pStyle w:val="Compact"/>
              <w:jc w:val="left"/>
            </w:pPr>
            <w:r>
              <w:t xml:space="preserve">4</w:t>
            </w:r>
          </w:p>
        </w:tc>
      </w:tr>
      <w:tr>
        <w:tc>
          <w:tcPr/>
          <w:p>
            <w:pPr>
              <w:pStyle w:val="Compact"/>
              <w:jc w:val="left"/>
            </w:pPr>
            <w:r>
              <w:t xml:space="preserve">MOD-EF-58</w:t>
            </w:r>
          </w:p>
        </w:tc>
        <w:tc>
          <w:tcPr/>
          <w:p>
            <w:pPr>
              <w:pStyle w:val="Compact"/>
              <w:jc w:val="left"/>
            </w:pPr>
            <w:r>
              <w:t xml:space="preserve">L’activation de la nouvelle version requiert une validation explicite de l’administrateur et du responsable du modèle.</w:t>
            </w:r>
          </w:p>
        </w:tc>
        <w:tc>
          <w:tcPr/>
          <w:p>
            <w:pPr>
              <w:pStyle w:val="Compact"/>
              <w:jc w:val="left"/>
            </w:pPr>
            <w:r>
              <w:t xml:space="preserve">2</w:t>
            </w:r>
          </w:p>
        </w:tc>
        <w:tc>
          <w:tcPr/>
          <w:p>
            <w:pPr>
              <w:pStyle w:val="Compact"/>
              <w:jc w:val="left"/>
            </w:pPr>
            <w:r>
              <w:t xml:space="preserve">4</w:t>
            </w:r>
          </w:p>
        </w:tc>
      </w:tr>
      <w:tr>
        <w:tc>
          <w:tcPr/>
          <w:p>
            <w:pPr>
              <w:pStyle w:val="Compact"/>
              <w:jc w:val="left"/>
            </w:pPr>
            <w:r>
              <w:t xml:space="preserve">MOD-EF-59</w:t>
            </w:r>
          </w:p>
        </w:tc>
        <w:tc>
          <w:tcPr/>
          <w:p>
            <w:pPr>
              <w:pStyle w:val="Compact"/>
              <w:jc w:val="left"/>
            </w:pPr>
            <w:r>
              <w:t xml:space="preserve">Le copilote ne peut pas modifier les éléments déclarés protégés d’un modèle : équations comptables, règles de fermeture, structure de la matrice de référence. Une demande portant sur ces éléments est refusée et renvoyée au responsable du modèle.</w:t>
            </w:r>
          </w:p>
        </w:tc>
        <w:tc>
          <w:tcPr/>
          <w:p>
            <w:pPr>
              <w:pStyle w:val="Compact"/>
              <w:jc w:val="left"/>
            </w:pPr>
            <w:r>
              <w:t xml:space="preserve">2</w:t>
            </w:r>
          </w:p>
        </w:tc>
        <w:tc>
          <w:tcPr/>
          <w:p>
            <w:pPr>
              <w:pStyle w:val="Compact"/>
              <w:jc w:val="left"/>
            </w:pPr>
            <w:r>
              <w:t xml:space="preserve">4</w:t>
            </w:r>
          </w:p>
        </w:tc>
      </w:tr>
    </w:tbl>
    <w:bookmarkEnd w:id="308"/>
    <w:bookmarkStart w:id="309" w:name="b9.9-enchaînements-entre-modèles"/>
    <w:p>
      <w:pPr>
        <w:pStyle w:val="Heading3"/>
      </w:pPr>
      <w:r>
        <w:t xml:space="preserve">B9.9 Enchaînements entre modèles</w:t>
      </w:r>
    </w:p>
    <w:tbl>
      <w:tblPr>
        <w:tblStyle w:val="Table"/>
        <w:tblW w:type="dxa" w:w="9354"/>
        <w:tblLayout w:type="fixed"/>
        <w:tblLook w:firstRow="1" w:lastRow="0" w:firstColumn="0" w:lastColumn="0" w:noHBand="0" w:noVBand="0" w:val="0020"/>
        <w:jc w:val="start"/>
      </w:tblPr>
      <w:tblGrid>
        <w:gridCol w:w="1953"/>
        <w:gridCol w:w="3701"/>
        <w:gridCol w:w="1850"/>
        <w:gridCol w:w="1850"/>
      </w:tblGrid>
      <w:tr>
        <w:trPr>
          <w:tblHeader w:val="true"/>
        </w:trPr>
        <w:tc>
          <w:tcPr/>
          <w:p>
            <w:pPr>
              <w:pStyle w:val="Compact"/>
              <w:jc w:val="left"/>
            </w:pPr>
            <w:r>
              <w:t xml:space="preserve">Réf</w:t>
            </w:r>
          </w:p>
        </w:tc>
        <w:tc>
          <w:tcPr/>
          <w:p>
            <w:pPr>
              <w:pStyle w:val="Compact"/>
              <w:jc w:val="left"/>
            </w:pPr>
            <w:r>
              <w:t xml:space="preserve">Exigence</w:t>
            </w:r>
          </w:p>
        </w:tc>
        <w:tc>
          <w:tcPr/>
          <w:p>
            <w:pPr>
              <w:pStyle w:val="Compact"/>
              <w:jc w:val="left"/>
            </w:pPr>
            <w:r>
              <w:t xml:space="preserve">Pri.</w:t>
            </w:r>
          </w:p>
        </w:tc>
        <w:tc>
          <w:tcPr/>
          <w:p>
            <w:pPr>
              <w:pStyle w:val="Compact"/>
              <w:jc w:val="left"/>
            </w:pPr>
            <w:r>
              <w:t xml:space="preserve">Lot</w:t>
            </w:r>
          </w:p>
        </w:tc>
      </w:tr>
      <w:tr>
        <w:tc>
          <w:tcPr/>
          <w:p>
            <w:pPr>
              <w:pStyle w:val="Compact"/>
              <w:jc w:val="left"/>
            </w:pPr>
            <w:r>
              <w:t xml:space="preserve">MOD-EF-60</w:t>
            </w:r>
          </w:p>
        </w:tc>
        <w:tc>
          <w:tcPr/>
          <w:p>
            <w:pPr>
              <w:pStyle w:val="Compact"/>
              <w:jc w:val="left"/>
            </w:pPr>
            <w:r>
              <w:t xml:space="preserve">Un choc introduit dans un modèle reste dans ce modèle : aucune propagation automatique vers un autre modèle.</w:t>
            </w:r>
          </w:p>
        </w:tc>
        <w:tc>
          <w:tcPr/>
          <w:p>
            <w:pPr>
              <w:pStyle w:val="Compact"/>
              <w:jc w:val="left"/>
            </w:pPr>
            <w:r>
              <w:t xml:space="preserve">1</w:t>
            </w:r>
          </w:p>
        </w:tc>
        <w:tc>
          <w:tcPr/>
          <w:p>
            <w:pPr>
              <w:pStyle w:val="Compact"/>
              <w:jc w:val="left"/>
            </w:pPr>
            <w:r>
              <w:t xml:space="preserve">7</w:t>
            </w:r>
          </w:p>
        </w:tc>
      </w:tr>
      <w:tr>
        <w:tc>
          <w:tcPr/>
          <w:p>
            <w:pPr>
              <w:pStyle w:val="Compact"/>
              <w:jc w:val="left"/>
            </w:pPr>
            <w:r>
              <w:t xml:space="preserve">MOD-EF-61</w:t>
            </w:r>
          </w:p>
        </w:tc>
        <w:tc>
          <w:tcPr/>
          <w:p>
            <w:pPr>
              <w:pStyle w:val="Compact"/>
              <w:jc w:val="left"/>
            </w:pPr>
            <w:r>
              <w:t xml:space="preserve">La plateforme peut suggérer qu’un résultat obtenu sur un modèle alimente une simulation sur un autre, en affichant la variable de sortie et la variable d’entrée concernées.</w:t>
            </w:r>
          </w:p>
        </w:tc>
        <w:tc>
          <w:tcPr/>
          <w:p>
            <w:pPr>
              <w:pStyle w:val="Compact"/>
              <w:jc w:val="left"/>
            </w:pPr>
            <w:r>
              <w:t xml:space="preserve">3</w:t>
            </w:r>
          </w:p>
        </w:tc>
        <w:tc>
          <w:tcPr/>
          <w:p>
            <w:pPr>
              <w:pStyle w:val="Compact"/>
              <w:jc w:val="left"/>
            </w:pPr>
            <w:r>
              <w:t xml:space="preserve">7</w:t>
            </w:r>
          </w:p>
        </w:tc>
      </w:tr>
      <w:tr>
        <w:tc>
          <w:tcPr/>
          <w:p>
            <w:pPr>
              <w:pStyle w:val="Compact"/>
              <w:jc w:val="left"/>
            </w:pPr>
            <w:r>
              <w:t xml:space="preserve">MOD-EF-62</w:t>
            </w:r>
          </w:p>
        </w:tc>
        <w:tc>
          <w:tcPr/>
          <w:p>
            <w:pPr>
              <w:pStyle w:val="Compact"/>
              <w:jc w:val="left"/>
            </w:pPr>
            <w:r>
              <w:t xml:space="preserve">Un enchaînement n’est exécuté qu’après confirmation explicite, par un économiste habilité, de la correspondance des variables et de la valeur transmise.</w:t>
            </w:r>
          </w:p>
        </w:tc>
        <w:tc>
          <w:tcPr/>
          <w:p>
            <w:pPr>
              <w:pStyle w:val="Compact"/>
              <w:jc w:val="left"/>
            </w:pPr>
            <w:r>
              <w:t xml:space="preserve">3</w:t>
            </w:r>
          </w:p>
        </w:tc>
        <w:tc>
          <w:tcPr/>
          <w:p>
            <w:pPr>
              <w:pStyle w:val="Compact"/>
              <w:jc w:val="left"/>
            </w:pPr>
            <w:r>
              <w:t xml:space="preserve">7</w:t>
            </w:r>
          </w:p>
        </w:tc>
      </w:tr>
      <w:tr>
        <w:tc>
          <w:tcPr/>
          <w:p>
            <w:pPr>
              <w:pStyle w:val="Compact"/>
              <w:jc w:val="left"/>
            </w:pPr>
            <w:r>
              <w:t xml:space="preserve">MOD-EF-63</w:t>
            </w:r>
          </w:p>
        </w:tc>
        <w:tc>
          <w:tcPr/>
          <w:p>
            <w:pPr>
              <w:pStyle w:val="Compact"/>
              <w:jc w:val="left"/>
            </w:pPr>
            <w:r>
              <w:t xml:space="preserve">Un enchaînement validé est enregistré comme une chaîne de fiches de simulation liées, rejouable et traçable dans son ensemble.</w:t>
            </w:r>
          </w:p>
        </w:tc>
        <w:tc>
          <w:tcPr/>
          <w:p>
            <w:pPr>
              <w:pStyle w:val="Compact"/>
              <w:jc w:val="left"/>
            </w:pPr>
            <w:r>
              <w:t xml:space="preserve">3</w:t>
            </w:r>
          </w:p>
        </w:tc>
        <w:tc>
          <w:tcPr/>
          <w:p>
            <w:pPr>
              <w:pStyle w:val="Compact"/>
              <w:jc w:val="left"/>
            </w:pPr>
            <w:r>
              <w:t xml:space="preserve">7</w:t>
            </w:r>
          </w:p>
        </w:tc>
      </w:tr>
    </w:tbl>
    <w:bookmarkEnd w:id="309"/>
    <w:bookmarkStart w:id="310" w:name="b9.10-rapports-et-livrables"/>
    <w:p>
      <w:pPr>
        <w:pStyle w:val="Heading3"/>
      </w:pPr>
      <w:r>
        <w:t xml:space="preserve">B9.10 Rapports et livrables</w:t>
      </w:r>
    </w:p>
    <w:tbl>
      <w:tblPr>
        <w:tblStyle w:val="Table"/>
        <w:tblW w:type="dxa" w:w="9354"/>
        <w:tblLayout w:type="fixed"/>
        <w:tblLook w:firstRow="1" w:lastRow="0" w:firstColumn="0" w:lastColumn="0" w:noHBand="0" w:noVBand="0" w:val="0020"/>
        <w:jc w:val="start"/>
      </w:tblPr>
      <w:tblGrid>
        <w:gridCol w:w="2058"/>
        <w:gridCol w:w="3407"/>
        <w:gridCol w:w="1945"/>
        <w:gridCol w:w="1944"/>
      </w:tblGrid>
      <w:tr>
        <w:trPr>
          <w:tblHeader w:val="true"/>
        </w:trPr>
        <w:tc>
          <w:tcPr/>
          <w:p>
            <w:pPr>
              <w:pStyle w:val="Compact"/>
              <w:jc w:val="left"/>
            </w:pPr>
            <w:r>
              <w:t xml:space="preserve">Réf</w:t>
            </w:r>
          </w:p>
        </w:tc>
        <w:tc>
          <w:tcPr/>
          <w:p>
            <w:pPr>
              <w:pStyle w:val="Compact"/>
              <w:jc w:val="left"/>
            </w:pPr>
            <w:r>
              <w:t xml:space="preserve">Exigence</w:t>
            </w:r>
          </w:p>
        </w:tc>
        <w:tc>
          <w:tcPr/>
          <w:p>
            <w:pPr>
              <w:pStyle w:val="Compact"/>
              <w:jc w:val="left"/>
            </w:pPr>
            <w:r>
              <w:t xml:space="preserve">Pri.</w:t>
            </w:r>
          </w:p>
        </w:tc>
        <w:tc>
          <w:tcPr/>
          <w:p>
            <w:pPr>
              <w:pStyle w:val="Compact"/>
              <w:jc w:val="left"/>
            </w:pPr>
            <w:r>
              <w:t xml:space="preserve">Lot</w:t>
            </w:r>
          </w:p>
        </w:tc>
      </w:tr>
      <w:tr>
        <w:tc>
          <w:tcPr/>
          <w:p>
            <w:pPr>
              <w:pStyle w:val="Compact"/>
              <w:jc w:val="left"/>
            </w:pPr>
            <w:r>
              <w:t xml:space="preserve">MOD-EF-64</w:t>
            </w:r>
          </w:p>
        </w:tc>
        <w:tc>
          <w:tcPr/>
          <w:p>
            <w:pPr>
              <w:pStyle w:val="Compact"/>
              <w:jc w:val="left"/>
            </w:pPr>
            <w:r>
              <w:t xml:space="preserve">Un rapport se construit à partir d’une ou plusieurs fiches de simulation, jamais à partir du fil de conversation.</w:t>
            </w:r>
          </w:p>
        </w:tc>
        <w:tc>
          <w:tcPr/>
          <w:p>
            <w:pPr>
              <w:pStyle w:val="Compact"/>
              <w:jc w:val="left"/>
            </w:pPr>
            <w:r>
              <w:t xml:space="preserve">2</w:t>
            </w:r>
          </w:p>
        </w:tc>
        <w:tc>
          <w:tcPr/>
          <w:p>
            <w:pPr>
              <w:pStyle w:val="Compact"/>
              <w:jc w:val="left"/>
            </w:pPr>
            <w:r>
              <w:t xml:space="preserve">7</w:t>
            </w:r>
          </w:p>
        </w:tc>
      </w:tr>
      <w:tr>
        <w:tc>
          <w:tcPr/>
          <w:p>
            <w:pPr>
              <w:pStyle w:val="Compact"/>
              <w:jc w:val="left"/>
            </w:pPr>
            <w:r>
              <w:t xml:space="preserve">MOD-EF-65</w:t>
            </w:r>
          </w:p>
        </w:tc>
        <w:tc>
          <w:tcPr/>
          <w:p>
            <w:pPr>
              <w:pStyle w:val="Compact"/>
              <w:jc w:val="left"/>
            </w:pPr>
            <w:r>
              <w:t xml:space="preserve">Des modèles de rapport paramétrables sont fournis pour les livrables réguliers : RPEF, note de conjoncture, éléments de cadrage du CDMT.</w:t>
            </w:r>
          </w:p>
        </w:tc>
        <w:tc>
          <w:tcPr/>
          <w:p>
            <w:pPr>
              <w:pStyle w:val="Compact"/>
              <w:jc w:val="left"/>
            </w:pPr>
            <w:r>
              <w:t xml:space="preserve">3</w:t>
            </w:r>
          </w:p>
        </w:tc>
        <w:tc>
          <w:tcPr/>
          <w:p>
            <w:pPr>
              <w:pStyle w:val="Compact"/>
              <w:jc w:val="left"/>
            </w:pPr>
            <w:r>
              <w:t xml:space="preserve">7</w:t>
            </w:r>
          </w:p>
        </w:tc>
      </w:tr>
      <w:tr>
        <w:tc>
          <w:tcPr/>
          <w:p>
            <w:pPr>
              <w:pStyle w:val="Compact"/>
              <w:jc w:val="left"/>
            </w:pPr>
            <w:r>
              <w:t xml:space="preserve">MOD-EF-66</w:t>
            </w:r>
          </w:p>
        </w:tc>
        <w:tc>
          <w:tcPr/>
          <w:p>
            <w:pPr>
              <w:pStyle w:val="Compact"/>
              <w:jc w:val="left"/>
            </w:pPr>
            <w:r>
              <w:t xml:space="preserve">Un rapport généré mentionne, pour chaque chiffre, la simulation d’origine et son statut.</w:t>
            </w:r>
          </w:p>
        </w:tc>
        <w:tc>
          <w:tcPr/>
          <w:p>
            <w:pPr>
              <w:pStyle w:val="Compact"/>
              <w:jc w:val="left"/>
            </w:pPr>
            <w:r>
              <w:t xml:space="preserve">2</w:t>
            </w:r>
          </w:p>
        </w:tc>
        <w:tc>
          <w:tcPr/>
          <w:p>
            <w:pPr>
              <w:pStyle w:val="Compact"/>
              <w:jc w:val="left"/>
            </w:pPr>
            <w:r>
              <w:t xml:space="preserve">7</w:t>
            </w:r>
          </w:p>
        </w:tc>
      </w:tr>
      <w:tr>
        <w:tc>
          <w:tcPr/>
          <w:p>
            <w:pPr>
              <w:pStyle w:val="Compact"/>
              <w:jc w:val="left"/>
            </w:pPr>
            <w:r>
              <w:t xml:space="preserve">MOD-EF-67</w:t>
            </w:r>
          </w:p>
        </w:tc>
        <w:tc>
          <w:tcPr/>
          <w:p>
            <w:pPr>
              <w:pStyle w:val="Compact"/>
              <w:jc w:val="left"/>
            </w:pPr>
            <w:r>
              <w:t xml:space="preserve">Les exports sont disponibles en Excel, PDF et Word.</w:t>
            </w:r>
          </w:p>
        </w:tc>
        <w:tc>
          <w:tcPr/>
          <w:p>
            <w:pPr>
              <w:pStyle w:val="Compact"/>
              <w:jc w:val="left"/>
            </w:pPr>
            <w:r>
              <w:t xml:space="preserve">2</w:t>
            </w:r>
          </w:p>
        </w:tc>
        <w:tc>
          <w:tcPr/>
          <w:p>
            <w:pPr>
              <w:pStyle w:val="Compact"/>
              <w:jc w:val="left"/>
            </w:pPr>
            <w:r>
              <w:t xml:space="preserve">7</w:t>
            </w:r>
          </w:p>
        </w:tc>
      </w:tr>
      <w:tr>
        <w:tc>
          <w:tcPr/>
          <w:p>
            <w:pPr>
              <w:pStyle w:val="Compact"/>
              <w:jc w:val="left"/>
            </w:pPr>
            <w:r>
              <w:t xml:space="preserve">MOD-EF-68</w:t>
            </w:r>
          </w:p>
        </w:tc>
        <w:tc>
          <w:tcPr/>
          <w:p>
            <w:pPr>
              <w:pStyle w:val="Compact"/>
              <w:jc w:val="left"/>
            </w:pPr>
            <w:r>
              <w:t xml:space="preserve">Un rapport dont une simulation source n’est pas au statut diffusable porte la mention de son statut sur chaque page.</w:t>
            </w:r>
          </w:p>
        </w:tc>
        <w:tc>
          <w:tcPr/>
          <w:p>
            <w:pPr>
              <w:pStyle w:val="Compact"/>
              <w:jc w:val="left"/>
            </w:pPr>
            <w:r>
              <w:t xml:space="preserve">2</w:t>
            </w:r>
          </w:p>
        </w:tc>
        <w:tc>
          <w:tcPr/>
          <w:p>
            <w:pPr>
              <w:pStyle w:val="Compact"/>
              <w:jc w:val="left"/>
            </w:pPr>
            <w:r>
              <w:t xml:space="preserve">7</w:t>
            </w:r>
          </w:p>
        </w:tc>
      </w:tr>
    </w:tbl>
    <w:bookmarkEnd w:id="310"/>
    <w:bookmarkStart w:id="311" w:name="b9.11-traçabilité-historique-et-partage"/>
    <w:p>
      <w:pPr>
        <w:pStyle w:val="Heading3"/>
      </w:pPr>
      <w:r>
        <w:t xml:space="preserve">B9.11 Traçabilité, historique et partage</w:t>
      </w:r>
    </w:p>
    <w:tbl>
      <w:tblPr>
        <w:tblStyle w:val="Table"/>
        <w:tblW w:type="dxa" w:w="9354"/>
        <w:tblLayout w:type="fixed"/>
        <w:tblLook w:firstRow="1" w:lastRow="0" w:firstColumn="0" w:lastColumn="0" w:noHBand="0" w:noVBand="0" w:val="0020"/>
        <w:jc w:val="start"/>
      </w:tblPr>
      <w:tblGrid>
        <w:gridCol w:w="1919"/>
        <w:gridCol w:w="3810"/>
        <w:gridCol w:w="1813"/>
        <w:gridCol w:w="1812"/>
      </w:tblGrid>
      <w:tr>
        <w:trPr>
          <w:tblHeader w:val="true"/>
        </w:trPr>
        <w:tc>
          <w:tcPr/>
          <w:p>
            <w:pPr>
              <w:pStyle w:val="Compact"/>
              <w:jc w:val="left"/>
            </w:pPr>
            <w:r>
              <w:t xml:space="preserve">Réf</w:t>
            </w:r>
          </w:p>
        </w:tc>
        <w:tc>
          <w:tcPr/>
          <w:p>
            <w:pPr>
              <w:pStyle w:val="Compact"/>
              <w:jc w:val="left"/>
            </w:pPr>
            <w:r>
              <w:t xml:space="preserve">Exigence</w:t>
            </w:r>
          </w:p>
        </w:tc>
        <w:tc>
          <w:tcPr/>
          <w:p>
            <w:pPr>
              <w:pStyle w:val="Compact"/>
              <w:jc w:val="left"/>
            </w:pPr>
            <w:r>
              <w:t xml:space="preserve">Pri.</w:t>
            </w:r>
          </w:p>
        </w:tc>
        <w:tc>
          <w:tcPr/>
          <w:p>
            <w:pPr>
              <w:pStyle w:val="Compact"/>
              <w:jc w:val="left"/>
            </w:pPr>
            <w:r>
              <w:t xml:space="preserve">Lot</w:t>
            </w:r>
          </w:p>
        </w:tc>
      </w:tr>
      <w:tr>
        <w:tc>
          <w:tcPr/>
          <w:p>
            <w:pPr>
              <w:pStyle w:val="Compact"/>
              <w:jc w:val="left"/>
            </w:pPr>
            <w:r>
              <w:t xml:space="preserve">MOD-EF-69</w:t>
            </w:r>
          </w:p>
        </w:tc>
        <w:tc>
          <w:tcPr/>
          <w:p>
            <w:pPr>
              <w:pStyle w:val="Compact"/>
              <w:jc w:val="left"/>
            </w:pPr>
            <w:r>
              <w:t xml:space="preserve">Toute simulation est conservée sans limite de durée et reste consultable par les utilisateurs habilités.</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MOD-EF-70</w:t>
            </w:r>
          </w:p>
        </w:tc>
        <w:tc>
          <w:tcPr/>
          <w:p>
            <w:pPr>
              <w:pStyle w:val="Compact"/>
              <w:jc w:val="left"/>
            </w:pPr>
            <w:r>
              <w:t xml:space="preserve">Une simulation passée peut être réexécutée avec des entrées strictement identiques ; chaque indicateur du socle doit alors retrouver sa valeur d’origine à la tolérance de rejeu près (annexe 3). Tout écart supérieur est signalé comme une dérive de l’environnement d’exécution, et non comme un résultat économique.</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MOD-EF-71</w:t>
            </w:r>
          </w:p>
        </w:tc>
        <w:tc>
          <w:tcPr/>
          <w:p>
            <w:pPr>
              <w:pStyle w:val="Compact"/>
              <w:jc w:val="left"/>
            </w:pPr>
            <w:r>
              <w:t xml:space="preserve">L’historique est consultable par modèle, par auteur, par période et par statut.</w:t>
            </w:r>
          </w:p>
        </w:tc>
        <w:tc>
          <w:tcPr/>
          <w:p>
            <w:pPr>
              <w:pStyle w:val="Compact"/>
              <w:jc w:val="left"/>
            </w:pPr>
            <w:r>
              <w:t xml:space="preserve">2</w:t>
            </w:r>
          </w:p>
        </w:tc>
        <w:tc>
          <w:tcPr/>
          <w:p>
            <w:pPr>
              <w:pStyle w:val="Compact"/>
              <w:jc w:val="left"/>
            </w:pPr>
            <w:r>
              <w:t xml:space="preserve">1</w:t>
            </w:r>
          </w:p>
        </w:tc>
      </w:tr>
      <w:tr>
        <w:tc>
          <w:tcPr/>
          <w:p>
            <w:pPr>
              <w:pStyle w:val="Compact"/>
              <w:jc w:val="left"/>
            </w:pPr>
            <w:r>
              <w:t xml:space="preserve">MOD-EF-72</w:t>
            </w:r>
          </w:p>
        </w:tc>
        <w:tc>
          <w:tcPr/>
          <w:p>
            <w:pPr>
              <w:pStyle w:val="Compact"/>
              <w:jc w:val="left"/>
            </w:pPr>
            <w:r>
              <w:t xml:space="preserve">Une simulation peut être partagée à un autre utilisateur habilité par un lien interne, sans duplication de fichier.</w:t>
            </w:r>
          </w:p>
        </w:tc>
        <w:tc>
          <w:tcPr/>
          <w:p>
            <w:pPr>
              <w:pStyle w:val="Compact"/>
              <w:jc w:val="left"/>
            </w:pPr>
            <w:r>
              <w:t xml:space="preserve">2</w:t>
            </w:r>
          </w:p>
        </w:tc>
        <w:tc>
          <w:tcPr/>
          <w:p>
            <w:pPr>
              <w:pStyle w:val="Compact"/>
              <w:jc w:val="left"/>
            </w:pPr>
            <w:r>
              <w:t xml:space="preserve">1</w:t>
            </w:r>
          </w:p>
        </w:tc>
      </w:tr>
      <w:tr>
        <w:tc>
          <w:tcPr/>
          <w:p>
            <w:pPr>
              <w:pStyle w:val="Compact"/>
              <w:jc w:val="left"/>
            </w:pPr>
            <w:r>
              <w:t xml:space="preserve">MOD-EF-73</w:t>
            </w:r>
          </w:p>
        </w:tc>
        <w:tc>
          <w:tcPr/>
          <w:p>
            <w:pPr>
              <w:pStyle w:val="Compact"/>
              <w:jc w:val="left"/>
            </w:pPr>
            <w:r>
              <w:t xml:space="preserve">Une simulation ne peut pas être supprimée par son auteur ; seul l’administrateur peut l’archiver, l’opération étant journalisée.</w:t>
            </w:r>
          </w:p>
        </w:tc>
        <w:tc>
          <w:tcPr/>
          <w:p>
            <w:pPr>
              <w:pStyle w:val="Compact"/>
              <w:jc w:val="left"/>
            </w:pPr>
            <w:r>
              <w:t xml:space="preserve">1</w:t>
            </w:r>
          </w:p>
        </w:tc>
        <w:tc>
          <w:tcPr/>
          <w:p>
            <w:pPr>
              <w:pStyle w:val="Compact"/>
              <w:jc w:val="left"/>
            </w:pPr>
            <w:r>
              <w:t xml:space="preserve">1</w:t>
            </w:r>
          </w:p>
        </w:tc>
      </w:tr>
    </w:tbl>
    <w:bookmarkEnd w:id="311"/>
    <w:bookmarkStart w:id="312" w:name="X96296f13ad5b7215e941aa0ef83fcf4356869a5"/>
    <w:p>
      <w:pPr>
        <w:pStyle w:val="Heading3"/>
      </w:pPr>
      <w:r>
        <w:t xml:space="preserve">B9.12 Fonctionnement sans IA et reproductibilité</w:t>
      </w:r>
    </w:p>
    <w:p>
      <w:pPr>
        <w:pStyle w:val="FirstParagraph"/>
      </w:pPr>
      <w:r>
        <w:t xml:space="preserve">Ces exigences formalisent des règles énoncées ailleurs dans le document</w:t>
      </w:r>
      <w:r>
        <w:t xml:space="preserve"> </w:t>
      </w:r>
      <w:r>
        <w:t xml:space="preserve">et qui doivent être vérifiables en recette.</w:t>
      </w:r>
    </w:p>
    <w:tbl>
      <w:tblPr>
        <w:tblStyle w:val="Table"/>
        <w:tblW w:type="dxa" w:w="9354"/>
        <w:tblLayout w:type="fixed"/>
        <w:tblLook w:firstRow="1" w:lastRow="0" w:firstColumn="0" w:lastColumn="0" w:noHBand="0" w:noVBand="0" w:val="0020"/>
        <w:jc w:val="start"/>
      </w:tblPr>
      <w:tblGrid>
        <w:gridCol w:w="1877"/>
        <w:gridCol w:w="3936"/>
        <w:gridCol w:w="1770"/>
        <w:gridCol w:w="1771"/>
      </w:tblGrid>
      <w:tr>
        <w:trPr>
          <w:tblHeader w:val="true"/>
        </w:trPr>
        <w:tc>
          <w:tcPr/>
          <w:p>
            <w:pPr>
              <w:pStyle w:val="Compact"/>
              <w:jc w:val="left"/>
            </w:pPr>
            <w:r>
              <w:t xml:space="preserve">Réf</w:t>
            </w:r>
          </w:p>
        </w:tc>
        <w:tc>
          <w:tcPr/>
          <w:p>
            <w:pPr>
              <w:pStyle w:val="Compact"/>
              <w:jc w:val="left"/>
            </w:pPr>
            <w:r>
              <w:t xml:space="preserve">Exigence</w:t>
            </w:r>
          </w:p>
        </w:tc>
        <w:tc>
          <w:tcPr/>
          <w:p>
            <w:pPr>
              <w:pStyle w:val="Compact"/>
              <w:jc w:val="left"/>
            </w:pPr>
            <w:r>
              <w:t xml:space="preserve">Pri.</w:t>
            </w:r>
          </w:p>
        </w:tc>
        <w:tc>
          <w:tcPr/>
          <w:p>
            <w:pPr>
              <w:pStyle w:val="Compact"/>
              <w:jc w:val="left"/>
            </w:pPr>
            <w:r>
              <w:t xml:space="preserve">Lot</w:t>
            </w:r>
          </w:p>
        </w:tc>
      </w:tr>
      <w:tr>
        <w:tc>
          <w:tcPr/>
          <w:p>
            <w:pPr>
              <w:pStyle w:val="Compact"/>
              <w:jc w:val="left"/>
            </w:pPr>
            <w:r>
              <w:t xml:space="preserve">MOD-EF-74</w:t>
            </w:r>
          </w:p>
        </w:tc>
        <w:tc>
          <w:tcPr/>
          <w:p>
            <w:pPr>
              <w:pStyle w:val="Compact"/>
              <w:jc w:val="left"/>
            </w:pPr>
            <w:r>
              <w:t xml:space="preserve">Le cycle complet — choix du modèle, définition des chocs, exécution, contrôles, restitution du socle, export — est réalisable intégralement sans aucun appel au service d’IA (mode expert, section B11.4).</w:t>
            </w:r>
          </w:p>
        </w:tc>
        <w:tc>
          <w:tcPr/>
          <w:p>
            <w:pPr>
              <w:pStyle w:val="Compact"/>
              <w:jc w:val="left"/>
            </w:pPr>
            <w:r>
              <w:t xml:space="preserve">1</w:t>
            </w:r>
          </w:p>
        </w:tc>
        <w:tc>
          <w:tcPr/>
          <w:p>
            <w:pPr>
              <w:pStyle w:val="Compact"/>
              <w:jc w:val="left"/>
            </w:pPr>
            <w:r>
              <w:t xml:space="preserve">4</w:t>
            </w:r>
          </w:p>
        </w:tc>
      </w:tr>
      <w:tr>
        <w:tc>
          <w:tcPr/>
          <w:p>
            <w:pPr>
              <w:pStyle w:val="Compact"/>
              <w:jc w:val="left"/>
            </w:pPr>
            <w:r>
              <w:t xml:space="preserve">MOD-EF-75</w:t>
            </w:r>
          </w:p>
        </w:tc>
        <w:tc>
          <w:tcPr/>
          <w:p>
            <w:pPr>
              <w:pStyle w:val="Compact"/>
              <w:jc w:val="left"/>
            </w:pPr>
            <w:r>
              <w:t xml:space="preserve">En cas d’indisponibilité du service d’IA, la plateforme bascule l’utilisateur en mode expert avec un message explicite, sans perte du scénario en cours de saisie.</w:t>
            </w:r>
          </w:p>
        </w:tc>
        <w:tc>
          <w:tcPr/>
          <w:p>
            <w:pPr>
              <w:pStyle w:val="Compact"/>
              <w:jc w:val="left"/>
            </w:pPr>
            <w:r>
              <w:t xml:space="preserve">2</w:t>
            </w:r>
          </w:p>
        </w:tc>
        <w:tc>
          <w:tcPr/>
          <w:p>
            <w:pPr>
              <w:pStyle w:val="Compact"/>
              <w:jc w:val="left"/>
            </w:pPr>
            <w:r>
              <w:t xml:space="preserve">4</w:t>
            </w:r>
          </w:p>
        </w:tc>
      </w:tr>
      <w:tr>
        <w:tc>
          <w:tcPr/>
          <w:p>
            <w:pPr>
              <w:pStyle w:val="Compact"/>
              <w:jc w:val="left"/>
            </w:pPr>
            <w:r>
              <w:t xml:space="preserve">MOD-EF-76</w:t>
            </w:r>
          </w:p>
        </w:tc>
        <w:tc>
          <w:tcPr/>
          <w:p>
            <w:pPr>
              <w:pStyle w:val="Compact"/>
              <w:jc w:val="left"/>
            </w:pPr>
            <w:r>
              <w:t xml:space="preserve">Chaque exécution enregistre une empreinte de ses entrées (version, base, scénario de référence, chocs, fermeture, options) permettant d’identifier deux exécutions identiques.</w:t>
            </w:r>
          </w:p>
        </w:tc>
        <w:tc>
          <w:tcPr/>
          <w:p>
            <w:pPr>
              <w:pStyle w:val="Compact"/>
              <w:jc w:val="left"/>
            </w:pPr>
            <w:r>
              <w:t xml:space="preserve">1</w:t>
            </w:r>
          </w:p>
        </w:tc>
        <w:tc>
          <w:tcPr/>
          <w:p>
            <w:pPr>
              <w:pStyle w:val="Compact"/>
              <w:jc w:val="left"/>
            </w:pPr>
            <w:r>
              <w:t xml:space="preserve">4</w:t>
            </w:r>
          </w:p>
        </w:tc>
      </w:tr>
      <w:tr>
        <w:tc>
          <w:tcPr/>
          <w:p>
            <w:pPr>
              <w:pStyle w:val="Compact"/>
              <w:jc w:val="left"/>
            </w:pPr>
            <w:r>
              <w:t xml:space="preserve">MOD-EF-77</w:t>
            </w:r>
          </w:p>
        </w:tc>
        <w:tc>
          <w:tcPr/>
          <w:p>
            <w:pPr>
              <w:pStyle w:val="Compact"/>
              <w:jc w:val="left"/>
            </w:pPr>
            <w:r>
              <w:t xml:space="preserve">Deux exécutions de même empreinte lancées simultanément sont fusionnées et ne consomment qu’une exécution moteur.</w:t>
            </w:r>
          </w:p>
        </w:tc>
        <w:tc>
          <w:tcPr/>
          <w:p>
            <w:pPr>
              <w:pStyle w:val="Compact"/>
              <w:jc w:val="left"/>
            </w:pPr>
            <w:r>
              <w:t xml:space="preserve">2</w:t>
            </w:r>
          </w:p>
        </w:tc>
        <w:tc>
          <w:tcPr/>
          <w:p>
            <w:pPr>
              <w:pStyle w:val="Compact"/>
              <w:jc w:val="left"/>
            </w:pPr>
            <w:r>
              <w:t xml:space="preserve">4</w:t>
            </w:r>
          </w:p>
        </w:tc>
      </w:tr>
      <w:tr>
        <w:tc>
          <w:tcPr/>
          <w:p>
            <w:pPr>
              <w:pStyle w:val="Compact"/>
              <w:jc w:val="left"/>
            </w:pPr>
            <w:r>
              <w:t xml:space="preserve">MOD-EF-78</w:t>
            </w:r>
          </w:p>
        </w:tc>
        <w:tc>
          <w:tcPr/>
          <w:p>
            <w:pPr>
              <w:pStyle w:val="Compact"/>
              <w:jc w:val="left"/>
            </w:pPr>
            <w:r>
              <w:t xml:space="preserve">L’exécution du scénario de référence est mise en cache par version, base et fermeture ; le cache est invalidé par tout changement de l’un des trois.</w:t>
            </w:r>
          </w:p>
        </w:tc>
        <w:tc>
          <w:tcPr/>
          <w:p>
            <w:pPr>
              <w:pStyle w:val="Compact"/>
              <w:jc w:val="left"/>
            </w:pPr>
            <w:r>
              <w:t xml:space="preserve">2</w:t>
            </w:r>
          </w:p>
        </w:tc>
        <w:tc>
          <w:tcPr/>
          <w:p>
            <w:pPr>
              <w:pStyle w:val="Compact"/>
              <w:jc w:val="left"/>
            </w:pPr>
            <w:r>
              <w:t xml:space="preserve">4</w:t>
            </w:r>
          </w:p>
        </w:tc>
      </w:tr>
      <w:tr>
        <w:tc>
          <w:tcPr/>
          <w:p>
            <w:pPr>
              <w:pStyle w:val="Compact"/>
              <w:jc w:val="left"/>
            </w:pPr>
            <w:r>
              <w:t xml:space="preserve">MOD-EF-79</w:t>
            </w:r>
          </w:p>
        </w:tc>
        <w:tc>
          <w:tcPr/>
          <w:p>
            <w:pPr>
              <w:pStyle w:val="Compact"/>
              <w:jc w:val="left"/>
            </w:pPr>
            <w:r>
              <w:t xml:space="preserve">Aucune valeur affichée, exportée ou intégrée à un rapport ne provient du service d’IA : toute valeur est lue dans les résultats enregistrés de la simulation.</w:t>
            </w:r>
          </w:p>
        </w:tc>
        <w:tc>
          <w:tcPr/>
          <w:p>
            <w:pPr>
              <w:pStyle w:val="Compact"/>
              <w:jc w:val="left"/>
            </w:pPr>
            <w:r>
              <w:t xml:space="preserve">1</w:t>
            </w:r>
          </w:p>
        </w:tc>
        <w:tc>
          <w:tcPr/>
          <w:p>
            <w:pPr>
              <w:pStyle w:val="Compact"/>
              <w:jc w:val="left"/>
            </w:pPr>
            <w:r>
              <w:t xml:space="preserve">4</w:t>
            </w:r>
          </w:p>
        </w:tc>
      </w:tr>
    </w:tbl>
    <w:bookmarkEnd w:id="312"/>
    <w:bookmarkEnd w:id="313"/>
    <w:bookmarkEnd w:id="314"/>
    <w:bookmarkStart w:id="331" w:name="exigences-non-fonctionnelles"/>
    <w:p>
      <w:pPr>
        <w:pStyle w:val="Heading1"/>
      </w:pPr>
      <w:r>
        <w:t xml:space="preserve">9. Exigences non fonctionnelles</w:t>
      </w:r>
    </w:p>
    <w:p>
      <w:pPr>
        <w:pStyle w:val="FirstParagraph"/>
      </w:pPr>
      <w:r>
        <w:t xml:space="preserve">Les valeurs chiffrées ci-dessous sont des cibles de dimensionnement, à</w:t>
      </w:r>
      <w:r>
        <w:t xml:space="preserve"> </w:t>
      </w:r>
      <w:r>
        <w:t xml:space="preserve">confirmer après la mesure des temps d’exécution réels lors du palier 1.</w:t>
      </w:r>
    </w:p>
    <w:bookmarkStart w:id="315" w:name="X19a6174ffa236b2f0608f81a648ce3e745f7fe6"/>
    <w:p>
      <w:pPr>
        <w:pStyle w:val="Heading3"/>
      </w:pPr>
      <w:r>
        <w:t xml:space="preserve">B9.13 Intégration d’un modèle au référentiel</w:t>
      </w:r>
    </w:p>
    <w:tbl>
      <w:tblPr>
        <w:tblStyle w:val="Table"/>
        <w:tblW w:type="dxa" w:w="9354"/>
        <w:tblLayout w:type="fixed"/>
        <w:tblLook w:firstRow="1" w:lastRow="0" w:firstColumn="0" w:lastColumn="0" w:noHBand="0" w:noVBand="0" w:val="0020"/>
        <w:jc w:val="start"/>
      </w:tblPr>
      <w:tblGrid>
        <w:gridCol w:w="1948"/>
        <w:gridCol w:w="3740"/>
        <w:gridCol w:w="1833"/>
        <w:gridCol w:w="1833"/>
      </w:tblGrid>
      <w:tr>
        <w:trPr>
          <w:tblHeader w:val="true"/>
        </w:trPr>
        <w:tc>
          <w:tcPr/>
          <w:p>
            <w:pPr>
              <w:pStyle w:val="Compact"/>
              <w:jc w:val="left"/>
            </w:pPr>
            <w:r>
              <w:t xml:space="preserve">Réf</w:t>
            </w:r>
          </w:p>
        </w:tc>
        <w:tc>
          <w:tcPr/>
          <w:p>
            <w:pPr>
              <w:pStyle w:val="Compact"/>
              <w:jc w:val="left"/>
            </w:pPr>
            <w:r>
              <w:t xml:space="preserve">Exigence</w:t>
            </w:r>
          </w:p>
        </w:tc>
        <w:tc>
          <w:tcPr/>
          <w:p>
            <w:pPr>
              <w:pStyle w:val="Compact"/>
              <w:jc w:val="left"/>
            </w:pPr>
            <w:r>
              <w:t xml:space="preserve">Pri.</w:t>
            </w:r>
          </w:p>
        </w:tc>
        <w:tc>
          <w:tcPr/>
          <w:p>
            <w:pPr>
              <w:pStyle w:val="Compact"/>
              <w:jc w:val="left"/>
            </w:pPr>
            <w:r>
              <w:t xml:space="preserve">Lot</w:t>
            </w:r>
          </w:p>
        </w:tc>
      </w:tr>
      <w:tr>
        <w:tc>
          <w:tcPr/>
          <w:p>
            <w:pPr>
              <w:pStyle w:val="Compact"/>
              <w:jc w:val="left"/>
            </w:pPr>
            <w:r>
              <w:t xml:space="preserve">MOD-EF-80</w:t>
            </w:r>
          </w:p>
        </w:tc>
        <w:tc>
          <w:tcPr/>
          <w:p>
            <w:pPr>
              <w:pStyle w:val="Compact"/>
              <w:jc w:val="left"/>
            </w:pPr>
            <w:r>
              <w:t xml:space="preserve">L’administrateur conduit l’intégration d’un modèle en six étapes : identité, fichiers, base, paramètres de choc, indicateurs de sortie, contrôles</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MOD-EF-81</w:t>
            </w:r>
          </w:p>
        </w:tc>
        <w:tc>
          <w:tcPr/>
          <w:p>
            <w:pPr>
              <w:pStyle w:val="Compact"/>
              <w:jc w:val="left"/>
            </w:pPr>
            <w:r>
              <w:t xml:space="preserve">Les fichiers du modèle sont conservés dans leur format d’origine, avec leur type et leur taille ; la plateforme ne les réécrit pas</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MOD-EF-82</w:t>
            </w:r>
          </w:p>
        </w:tc>
        <w:tc>
          <w:tcPr/>
          <w:p>
            <w:pPr>
              <w:pStyle w:val="Compact"/>
              <w:jc w:val="left"/>
            </w:pPr>
            <w:r>
              <w:t xml:space="preserve">Un modèle sans base de référence désignée ne peut pas être déposé</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MOD-EF-83</w:t>
            </w:r>
          </w:p>
        </w:tc>
        <w:tc>
          <w:tcPr/>
          <w:p>
            <w:pPr>
              <w:pStyle w:val="Compact"/>
              <w:jc w:val="left"/>
            </w:pPr>
            <w:r>
              <w:t xml:space="preserve">Chaque paramètre de choc déclaré porte un libellé pour l’analyste, le nom de la variable dans le modèle, une unité et une valeur par défaut</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MOD-EF-84</w:t>
            </w:r>
          </w:p>
        </w:tc>
        <w:tc>
          <w:tcPr/>
          <w:p>
            <w:pPr>
              <w:pStyle w:val="Compact"/>
              <w:jc w:val="left"/>
            </w:pPr>
            <w:r>
              <w:rPr>
                <w:bCs/>
                <w:b/>
              </w:rPr>
              <w:t xml:space="preserve">Une variable non déclarée à l’intégration n’est modifiable par aucun moyen depuis l’interface ni par l’API</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MOD-EF-85</w:t>
            </w:r>
          </w:p>
        </w:tc>
        <w:tc>
          <w:tcPr/>
          <w:p>
            <w:pPr>
              <w:pStyle w:val="Compact"/>
              <w:jc w:val="left"/>
            </w:pPr>
            <w:r>
              <w:t xml:space="preserve">Chaque indicateur de sortie déclaré porte un libellé, le nom de la variable, une unité et une valeur de référence ;</w:t>
            </w:r>
            <w:r>
              <w:t xml:space="preserve"> </w:t>
            </w:r>
            <w:r>
              <w:rPr>
                <w:bCs/>
                <w:b/>
              </w:rPr>
              <w:t xml:space="preserve">ses valeurs sont lues dans les sorties nommées du moteur</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MOD-EF-86</w:t>
            </w:r>
          </w:p>
        </w:tc>
        <w:tc>
          <w:tcPr/>
          <w:p>
            <w:pPr>
              <w:pStyle w:val="Compact"/>
              <w:jc w:val="left"/>
            </w:pPr>
            <w:r>
              <w:t xml:space="preserve">Le dépôt crée la version v1 à l’état déposée ; le modèle n’apparaît dans l’écran de simulation qu’après contrôles passés et visa du responsable</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MOD-EF-87</w:t>
            </w:r>
          </w:p>
        </w:tc>
        <w:tc>
          <w:tcPr/>
          <w:p>
            <w:pPr>
              <w:pStyle w:val="Compact"/>
              <w:jc w:val="left"/>
            </w:pPr>
            <w:r>
              <w:t xml:space="preserve">Un modèle qui déclare ses propres indicateurs ne restitue que ceux-là ; les autres s’appuient sur le socle commun</w:t>
            </w:r>
          </w:p>
        </w:tc>
        <w:tc>
          <w:tcPr/>
          <w:p>
            <w:pPr>
              <w:pStyle w:val="Compact"/>
              <w:jc w:val="left"/>
            </w:pPr>
            <w:r>
              <w:t xml:space="preserve">1</w:t>
            </w:r>
          </w:p>
        </w:tc>
        <w:tc>
          <w:tcPr/>
          <w:p>
            <w:pPr>
              <w:pStyle w:val="Compact"/>
              <w:jc w:val="left"/>
            </w:pPr>
            <w:r>
              <w:t xml:space="preserve">2</w:t>
            </w:r>
          </w:p>
        </w:tc>
      </w:tr>
    </w:tbl>
    <w:bookmarkEnd w:id="315"/>
    <w:bookmarkStart w:id="316" w:name="b9.14-fonctions-danalyse"/>
    <w:p>
      <w:pPr>
        <w:pStyle w:val="Heading3"/>
      </w:pPr>
      <w:r>
        <w:t xml:space="preserve">B9.14 Fonctions d’analyse</w:t>
      </w:r>
    </w:p>
    <w:tbl>
      <w:tblPr>
        <w:tblStyle w:val="Table"/>
        <w:tblW w:type="dxa" w:w="9354"/>
        <w:tblLayout w:type="fixed"/>
        <w:tblLook w:firstRow="1" w:lastRow="0" w:firstColumn="0" w:lastColumn="0" w:noHBand="0" w:noVBand="0" w:val="0020"/>
        <w:jc w:val="start"/>
      </w:tblPr>
      <w:tblGrid>
        <w:gridCol w:w="2042"/>
        <w:gridCol w:w="3467"/>
        <w:gridCol w:w="1923"/>
        <w:gridCol w:w="1922"/>
      </w:tblGrid>
      <w:tr>
        <w:trPr>
          <w:tblHeader w:val="true"/>
        </w:trPr>
        <w:tc>
          <w:tcPr/>
          <w:p>
            <w:pPr>
              <w:pStyle w:val="Compact"/>
              <w:jc w:val="left"/>
            </w:pPr>
            <w:r>
              <w:t xml:space="preserve">Réf</w:t>
            </w:r>
          </w:p>
        </w:tc>
        <w:tc>
          <w:tcPr/>
          <w:p>
            <w:pPr>
              <w:pStyle w:val="Compact"/>
              <w:jc w:val="left"/>
            </w:pPr>
            <w:r>
              <w:t xml:space="preserve">Exigence</w:t>
            </w:r>
          </w:p>
        </w:tc>
        <w:tc>
          <w:tcPr/>
          <w:p>
            <w:pPr>
              <w:pStyle w:val="Compact"/>
              <w:jc w:val="left"/>
            </w:pPr>
            <w:r>
              <w:t xml:space="preserve">Pri.</w:t>
            </w:r>
          </w:p>
        </w:tc>
        <w:tc>
          <w:tcPr/>
          <w:p>
            <w:pPr>
              <w:pStyle w:val="Compact"/>
              <w:jc w:val="left"/>
            </w:pPr>
            <w:r>
              <w:t xml:space="preserve">Lot</w:t>
            </w:r>
          </w:p>
        </w:tc>
      </w:tr>
      <w:tr>
        <w:tc>
          <w:tcPr/>
          <w:p>
            <w:pPr>
              <w:pStyle w:val="Compact"/>
              <w:jc w:val="left"/>
            </w:pPr>
            <w:r>
              <w:t xml:space="preserve">MOD-EF-88</w:t>
            </w:r>
          </w:p>
        </w:tc>
        <w:tc>
          <w:tcPr/>
          <w:p>
            <w:pPr>
              <w:pStyle w:val="Compact"/>
              <w:jc w:val="left"/>
            </w:pPr>
            <w:r>
              <w:t xml:space="preserve">Bibliothèque de chocs types classés par catégorie, chacun rattaché à un modèle et à un jeu de paramètres</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MOD-EF-89</w:t>
            </w:r>
          </w:p>
        </w:tc>
        <w:tc>
          <w:tcPr/>
          <w:p>
            <w:pPr>
              <w:pStyle w:val="Compact"/>
              <w:jc w:val="left"/>
            </w:pPr>
            <w:r>
              <w:t xml:space="preserve">Charger un choc type remplit le modèle, les paramètres et les ampleurs sans déclencher d’exécution</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MOD-EF-90</w:t>
            </w:r>
          </w:p>
        </w:tc>
        <w:tc>
          <w:tcPr/>
          <w:p>
            <w:pPr>
              <w:pStyle w:val="Compact"/>
              <w:jc w:val="left"/>
            </w:pPr>
            <w:r>
              <w:t xml:space="preserve">Test de sensibilité sur une plage et un pas définis, produisant une simulation enregistrée par valeur</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MOD-EF-91</w:t>
            </w:r>
          </w:p>
        </w:tc>
        <w:tc>
          <w:tcPr/>
          <w:p>
            <w:pPr>
              <w:pStyle w:val="Compact"/>
              <w:jc w:val="left"/>
            </w:pPr>
            <w:r>
              <w:t xml:space="preserve">Restitution du test sous forme de tableau par indicateur et de courbe de l’indicateur principal</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MOD-EF-92</w:t>
            </w:r>
          </w:p>
        </w:tc>
        <w:tc>
          <w:tcPr/>
          <w:p>
            <w:pPr>
              <w:pStyle w:val="Compact"/>
              <w:jc w:val="left"/>
            </w:pPr>
            <w:r>
              <w:t xml:space="preserve">Comparaison de deux à quatre simulations alignées sur le socle, avec mise en évidence des valeurs extrêmes</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MOD-EF-93</w:t>
            </w:r>
          </w:p>
        </w:tc>
        <w:tc>
          <w:tcPr/>
          <w:p>
            <w:pPr>
              <w:pStyle w:val="Compact"/>
              <w:jc w:val="left"/>
            </w:pPr>
            <w:r>
              <w:t xml:space="preserve">Une comparaison portant sur des versions différentes d’un même modèle le signale explicitement</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MOD-EF-94</w:t>
            </w:r>
          </w:p>
        </w:tc>
        <w:tc>
          <w:tcPr/>
          <w:p>
            <w:pPr>
              <w:pStyle w:val="Compact"/>
              <w:jc w:val="left"/>
            </w:pPr>
            <w:r>
              <w:t xml:space="preserve">Rejeu d’une fiche archivée depuis ses entrées conservées, avec comparaison à la tolérance de rejeu et verdict journalisé</w:t>
            </w:r>
          </w:p>
        </w:tc>
        <w:tc>
          <w:tcPr/>
          <w:p>
            <w:pPr>
              <w:pStyle w:val="Compact"/>
              <w:jc w:val="left"/>
            </w:pPr>
            <w:r>
              <w:t xml:space="preserve">1</w:t>
            </w:r>
          </w:p>
        </w:tc>
        <w:tc>
          <w:tcPr/>
          <w:p>
            <w:pPr>
              <w:pStyle w:val="Compact"/>
              <w:jc w:val="left"/>
            </w:pPr>
            <w:r>
              <w:t xml:space="preserve">2</w:t>
            </w:r>
          </w:p>
        </w:tc>
      </w:tr>
    </w:tbl>
    <w:bookmarkEnd w:id="316"/>
    <w:bookmarkStart w:id="317" w:name="Xe0b8c1b911debc6314bc4b07bc5a7a6e80255db"/>
    <w:p>
      <w:pPr>
        <w:pStyle w:val="Heading3"/>
      </w:pPr>
      <w:r>
        <w:t xml:space="preserve">B9.15 Données, séries et dictionnaire des variables</w:t>
      </w:r>
    </w:p>
    <w:tbl>
      <w:tblPr>
        <w:tblStyle w:val="Table"/>
        <w:tblW w:type="dxa" w:w="9354"/>
        <w:tblLayout w:type="fixed"/>
        <w:tblLook w:firstRow="1" w:lastRow="0" w:firstColumn="0" w:lastColumn="0" w:noHBand="0" w:noVBand="0" w:val="0020"/>
        <w:jc w:val="start"/>
      </w:tblPr>
      <w:tblGrid>
        <w:gridCol w:w="2002"/>
        <w:gridCol w:w="3571"/>
        <w:gridCol w:w="1891"/>
        <w:gridCol w:w="1890"/>
      </w:tblGrid>
      <w:tr>
        <w:trPr>
          <w:tblHeader w:val="true"/>
        </w:trPr>
        <w:tc>
          <w:tcPr/>
          <w:p>
            <w:pPr>
              <w:pStyle w:val="Compact"/>
              <w:jc w:val="left"/>
            </w:pPr>
            <w:r>
              <w:t xml:space="preserve">Réf</w:t>
            </w:r>
          </w:p>
        </w:tc>
        <w:tc>
          <w:tcPr/>
          <w:p>
            <w:pPr>
              <w:pStyle w:val="Compact"/>
              <w:jc w:val="left"/>
            </w:pPr>
            <w:r>
              <w:t xml:space="preserve">Exigence</w:t>
            </w:r>
          </w:p>
        </w:tc>
        <w:tc>
          <w:tcPr/>
          <w:p>
            <w:pPr>
              <w:pStyle w:val="Compact"/>
              <w:jc w:val="left"/>
            </w:pPr>
            <w:r>
              <w:t xml:space="preserve">Pri.</w:t>
            </w:r>
          </w:p>
        </w:tc>
        <w:tc>
          <w:tcPr/>
          <w:p>
            <w:pPr>
              <w:pStyle w:val="Compact"/>
              <w:jc w:val="left"/>
            </w:pPr>
            <w:r>
              <w:t xml:space="preserve">Lot</w:t>
            </w:r>
          </w:p>
        </w:tc>
      </w:tr>
      <w:tr>
        <w:tc>
          <w:tcPr/>
          <w:p>
            <w:pPr>
              <w:pStyle w:val="Compact"/>
              <w:jc w:val="left"/>
            </w:pPr>
            <w:r>
              <w:t xml:space="preserve">MOD-EF-95</w:t>
            </w:r>
          </w:p>
        </w:tc>
        <w:tc>
          <w:tcPr/>
          <w:p>
            <w:pPr>
              <w:pStyle w:val="Compact"/>
              <w:jc w:val="left"/>
            </w:pPr>
            <w:r>
              <w:t xml:space="preserve">Base commune des séries avec code, libellé, domaine, fréquence, unité, source, couverture et date de mise à jour</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MOD-EF-96</w:t>
            </w:r>
          </w:p>
        </w:tc>
        <w:tc>
          <w:tcPr/>
          <w:p>
            <w:pPr>
              <w:pStyle w:val="Compact"/>
              <w:jc w:val="left"/>
            </w:pPr>
            <w:r>
              <w:t xml:space="preserve">Import Excel et CSV avec contrôle de cohérence systématique : périodes, continuité, unité déclarée, doublons, valeurs aberrantes</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MOD-EF-97</w:t>
            </w:r>
          </w:p>
        </w:tc>
        <w:tc>
          <w:tcPr/>
          <w:p>
            <w:pPr>
              <w:pStyle w:val="Compact"/>
              <w:jc w:val="left"/>
            </w:pPr>
            <w:r>
              <w:t xml:space="preserve">Un import en échec n’alimente aucun modèle ; son rapport d’anomalies est conservé et consultable</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MOD-EF-98</w:t>
            </w:r>
          </w:p>
        </w:tc>
        <w:tc>
          <w:tcPr/>
          <w:p>
            <w:pPr>
              <w:pStyle w:val="Compact"/>
              <w:jc w:val="left"/>
            </w:pPr>
            <w:r>
              <w:t xml:space="preserve">Dictionnaire de correspondance entre concept économique et nom de variable dans chaque modèle, tenu par les responsables de modèles</w:t>
            </w:r>
          </w:p>
        </w:tc>
        <w:tc>
          <w:tcPr/>
          <w:p>
            <w:pPr>
              <w:pStyle w:val="Compact"/>
              <w:jc w:val="left"/>
            </w:pPr>
            <w:r>
              <w:t xml:space="preserve">1</w:t>
            </w:r>
          </w:p>
        </w:tc>
        <w:tc>
          <w:tcPr/>
          <w:p>
            <w:pPr>
              <w:pStyle w:val="Compact"/>
              <w:jc w:val="left"/>
            </w:pPr>
            <w:r>
              <w:t xml:space="preserve">1</w:t>
            </w:r>
          </w:p>
        </w:tc>
      </w:tr>
      <w:tr>
        <w:tc>
          <w:tcPr/>
          <w:p>
            <w:pPr>
              <w:pStyle w:val="Compact"/>
              <w:jc w:val="left"/>
            </w:pPr>
            <w:r>
              <w:t xml:space="preserve">MOD-EF-99</w:t>
            </w:r>
          </w:p>
        </w:tc>
        <w:tc>
          <w:tcPr/>
          <w:p>
            <w:pPr>
              <w:pStyle w:val="Compact"/>
              <w:jc w:val="left"/>
            </w:pPr>
            <w:r>
              <w:t xml:space="preserve">Aucun enchaînement entre modèles n’est déclarable sans correspondance de variables validée par les responsables des deux modèles</w:t>
            </w:r>
          </w:p>
        </w:tc>
        <w:tc>
          <w:tcPr/>
          <w:p>
            <w:pPr>
              <w:pStyle w:val="Compact"/>
              <w:jc w:val="left"/>
            </w:pPr>
            <w:r>
              <w:t xml:space="preserve">1</w:t>
            </w:r>
          </w:p>
        </w:tc>
        <w:tc>
          <w:tcPr/>
          <w:p>
            <w:pPr>
              <w:pStyle w:val="Compact"/>
              <w:jc w:val="left"/>
            </w:pPr>
            <w:r>
              <w:t xml:space="preserve">7</w:t>
            </w:r>
          </w:p>
        </w:tc>
      </w:tr>
    </w:tbl>
    <w:bookmarkEnd w:id="317"/>
    <w:bookmarkStart w:id="324" w:name="b10.-contrat-dexécution-des-moteurs"/>
    <w:p>
      <w:pPr>
        <w:pStyle w:val="Heading2"/>
      </w:pPr>
      <w:r>
        <w:t xml:space="preserve">B10. Contrat d’exécution des moteurs</w:t>
      </w:r>
    </w:p>
    <w:bookmarkStart w:id="318" w:name="b10.1-interface-commune"/>
    <w:p>
      <w:pPr>
        <w:pStyle w:val="Heading3"/>
      </w:pPr>
      <w:r>
        <w:t xml:space="preserve">B10.1 Interface commune</w:t>
      </w:r>
    </w:p>
    <w:p>
      <w:pPr>
        <w:pStyle w:val="FirstParagraph"/>
      </w:pPr>
      <w:r>
        <w:t xml:space="preserve">Tout moteur est encapsulé derrière un adaptateur exposant six</w:t>
      </w:r>
      <w:r>
        <w:t xml:space="preserve"> </w:t>
      </w:r>
      <w:r>
        <w:t xml:space="preserve">opérations, identiques quelle que soit la famille de modèles. Le reste</w:t>
      </w:r>
      <w:r>
        <w:t xml:space="preserve"> </w:t>
      </w:r>
      <w:r>
        <w:t xml:space="preserve">de la plateforme n’appelle jamais un moteur autrement.</w:t>
      </w:r>
    </w:p>
    <w:tbl>
      <w:tblPr>
        <w:tblStyle w:val="Table"/>
        <w:tblW w:type="dxa" w:w="9354"/>
        <w:tblLayout w:type="fixed"/>
        <w:tblLook w:firstRow="1" w:lastRow="0" w:firstColumn="0" w:lastColumn="0" w:noHBand="0" w:noVBand="0" w:val="0020"/>
        <w:jc w:val="start"/>
      </w:tblPr>
      <w:tblGrid>
        <w:gridCol w:w="2677"/>
        <w:gridCol w:w="3222"/>
        <w:gridCol w:w="3455"/>
      </w:tblGrid>
      <w:tr>
        <w:trPr>
          <w:tblHeader w:val="true"/>
        </w:trPr>
        <w:tc>
          <w:tcPr/>
          <w:p>
            <w:pPr>
              <w:pStyle w:val="Compact"/>
              <w:jc w:val="left"/>
            </w:pPr>
            <w:r>
              <w:t xml:space="preserve">Opération</w:t>
            </w:r>
          </w:p>
        </w:tc>
        <w:tc>
          <w:tcPr/>
          <w:p>
            <w:pPr>
              <w:pStyle w:val="Compact"/>
              <w:jc w:val="left"/>
            </w:pPr>
            <w:r>
              <w:t xml:space="preserve">Entrées</w:t>
            </w:r>
          </w:p>
        </w:tc>
        <w:tc>
          <w:tcPr/>
          <w:p>
            <w:pPr>
              <w:pStyle w:val="Compact"/>
              <w:jc w:val="left"/>
            </w:pPr>
            <w:r>
              <w:t xml:space="preserve">Sorties</w:t>
            </w:r>
          </w:p>
        </w:tc>
      </w:tr>
      <w:tr>
        <w:tc>
          <w:tcPr/>
          <w:p>
            <w:pPr>
              <w:pStyle w:val="Compact"/>
              <w:jc w:val="left"/>
            </w:pPr>
            <w:r>
              <w:t xml:space="preserve">preparer</w:t>
            </w:r>
          </w:p>
        </w:tc>
        <w:tc>
          <w:tcPr/>
          <w:p>
            <w:pPr>
              <w:pStyle w:val="Compact"/>
              <w:jc w:val="left"/>
            </w:pPr>
            <w:r>
              <w:t xml:space="preserve">version de modèle, base de référence, scénario de référence, scénario choqué, fermeture, options</w:t>
            </w:r>
          </w:p>
        </w:tc>
        <w:tc>
          <w:tcPr/>
          <w:p>
            <w:pPr>
              <w:pStyle w:val="Compact"/>
              <w:jc w:val="left"/>
            </w:pPr>
            <w:r>
              <w:t xml:space="preserve">jeu d’entrées matérialisé dans un répertoire de travail isolé, empreinte des entrées</w:t>
            </w:r>
          </w:p>
        </w:tc>
      </w:tr>
      <w:tr>
        <w:tc>
          <w:tcPr/>
          <w:p>
            <w:pPr>
              <w:pStyle w:val="Compact"/>
              <w:jc w:val="left"/>
            </w:pPr>
            <w:r>
              <w:t xml:space="preserve">soumettre</w:t>
            </w:r>
          </w:p>
        </w:tc>
        <w:tc>
          <w:tcPr/>
          <w:p>
            <w:pPr>
              <w:pStyle w:val="Compact"/>
              <w:jc w:val="left"/>
            </w:pPr>
            <w:r>
              <w:t xml:space="preserve">jeu d’entrées, clé d’idempotence</w:t>
            </w:r>
          </w:p>
        </w:tc>
        <w:tc>
          <w:tcPr/>
          <w:p>
            <w:pPr>
              <w:pStyle w:val="Compact"/>
              <w:jc w:val="left"/>
            </w:pPr>
            <w:r>
              <w:t xml:space="preserve">identifiant de tâche moteur</w:t>
            </w:r>
          </w:p>
        </w:tc>
      </w:tr>
      <w:tr>
        <w:tc>
          <w:tcPr/>
          <w:p>
            <w:pPr>
              <w:pStyle w:val="Compact"/>
              <w:jc w:val="left"/>
            </w:pPr>
            <w:r>
              <w:t xml:space="preserve">etat</w:t>
            </w:r>
          </w:p>
        </w:tc>
        <w:tc>
          <w:tcPr/>
          <w:p>
            <w:pPr>
              <w:pStyle w:val="Compact"/>
              <w:jc w:val="left"/>
            </w:pPr>
            <w:r>
              <w:t xml:space="preserve">identifiant de tâche</w:t>
            </w:r>
          </w:p>
        </w:tc>
        <w:tc>
          <w:tcPr/>
          <w:p>
            <w:pPr>
              <w:pStyle w:val="Compact"/>
              <w:jc w:val="left"/>
            </w:pPr>
            <w:r>
              <w:t xml:space="preserve">EN_FILE, EN_COURS, TERMINEE, ECHOUEE, avancement si disponible</w:t>
            </w:r>
          </w:p>
        </w:tc>
      </w:tr>
      <w:tr>
        <w:tc>
          <w:tcPr/>
          <w:p>
            <w:pPr>
              <w:pStyle w:val="Compact"/>
              <w:jc w:val="left"/>
            </w:pPr>
            <w:r>
              <w:t xml:space="preserve">collecter</w:t>
            </w:r>
          </w:p>
        </w:tc>
        <w:tc>
          <w:tcPr/>
          <w:p>
            <w:pPr>
              <w:pStyle w:val="Compact"/>
              <w:jc w:val="left"/>
            </w:pPr>
            <w:r>
              <w:t xml:space="preserve">identifiant de tâche</w:t>
            </w:r>
          </w:p>
        </w:tc>
        <w:tc>
          <w:tcPr/>
          <w:p>
            <w:pPr>
              <w:pStyle w:val="Compact"/>
              <w:jc w:val="left"/>
            </w:pPr>
            <w:r>
              <w:t xml:space="preserve">valeurs par nom d’indicateur, statut solveur, journal d’exécution, artefacts</w:t>
            </w:r>
          </w:p>
        </w:tc>
      </w:tr>
      <w:tr>
        <w:tc>
          <w:tcPr/>
          <w:p>
            <w:pPr>
              <w:pStyle w:val="Compact"/>
              <w:jc w:val="left"/>
            </w:pPr>
            <w:r>
              <w:t xml:space="preserve">controler</w:t>
            </w:r>
          </w:p>
        </w:tc>
        <w:tc>
          <w:tcPr/>
          <w:p>
            <w:pPr>
              <w:pStyle w:val="Compact"/>
              <w:jc w:val="left"/>
            </w:pPr>
            <w:r>
              <w:t xml:space="preserve">résultats, batterie déclarée</w:t>
            </w:r>
          </w:p>
        </w:tc>
        <w:tc>
          <w:tcPr/>
          <w:p>
            <w:pPr>
              <w:pStyle w:val="Compact"/>
              <w:jc w:val="left"/>
            </w:pPr>
            <w:r>
              <w:t xml:space="preserve">liste de controle_resultat</w:t>
            </w:r>
          </w:p>
        </w:tc>
      </w:tr>
      <w:tr>
        <w:tc>
          <w:tcPr/>
          <w:p>
            <w:pPr>
              <w:pStyle w:val="Compact"/>
              <w:jc w:val="left"/>
            </w:pPr>
            <w:r>
              <w:t xml:space="preserve">annuler</w:t>
            </w:r>
          </w:p>
        </w:tc>
        <w:tc>
          <w:tcPr/>
          <w:p>
            <w:pPr>
              <w:pStyle w:val="Compact"/>
              <w:jc w:val="left"/>
            </w:pPr>
            <w:r>
              <w:t xml:space="preserve">identifiant de tâche</w:t>
            </w:r>
          </w:p>
        </w:tc>
        <w:tc>
          <w:tcPr/>
          <w:p>
            <w:pPr>
              <w:pStyle w:val="Compact"/>
              <w:jc w:val="left"/>
            </w:pPr>
            <w:r>
              <w:t xml:space="preserve">confirmation</w:t>
            </w:r>
          </w:p>
        </w:tc>
      </w:tr>
    </w:tbl>
    <w:p>
      <w:pPr>
        <w:pStyle w:val="BodyText"/>
      </w:pPr>
      <w:r>
        <w:t xml:space="preserve">Règles communes : exécution dans un répertoire de travail propre et</w:t>
      </w:r>
      <w:r>
        <w:t xml:space="preserve"> </w:t>
      </w:r>
      <w:r>
        <w:t xml:space="preserve">détruit après collecte des artefacts ; aucune écriture dans les fichiers</w:t>
      </w:r>
      <w:r>
        <w:t xml:space="preserve"> </w:t>
      </w:r>
      <w:r>
        <w:t xml:space="preserve">de la version de modèle ; durée maximale paramétrable par modèle ; une</w:t>
      </w:r>
      <w:r>
        <w:t xml:space="preserve"> </w:t>
      </w:r>
      <w:r>
        <w:t xml:space="preserve">tâche échouée pour cause technique est réessayée une fois, une tâche non</w:t>
      </w:r>
      <w:r>
        <w:t xml:space="preserve"> </w:t>
      </w:r>
      <w:r>
        <w:t xml:space="preserve">convergée ne l’est jamais.</w:t>
      </w:r>
    </w:p>
    <w:bookmarkEnd w:id="318"/>
    <w:bookmarkStart w:id="319" w:name="b10.2-adaptateur-gams"/>
    <w:p>
      <w:pPr>
        <w:pStyle w:val="Heading3"/>
      </w:pPr>
      <w:r>
        <w:t xml:space="preserve">B10.2 Adaptateur GAMS</w:t>
      </w:r>
    </w:p>
    <w:p>
      <w:pPr>
        <w:numPr>
          <w:ilvl w:val="0"/>
          <w:numId w:val="1049"/>
        </w:numPr>
        <w:pStyle w:val="Compact"/>
      </w:pPr>
      <w:r>
        <w:rPr>
          <w:bCs/>
          <w:b/>
        </w:rPr>
        <w:t xml:space="preserve">Préparation.</w:t>
      </w:r>
      <w:r>
        <w:t xml:space="preserve"> </w:t>
      </w:r>
      <w:r>
        <w:t xml:space="preserve">Les fichiers de la version sont copiés dans le</w:t>
      </w:r>
      <w:r>
        <w:t xml:space="preserve"> </w:t>
      </w:r>
      <w:r>
        <w:t xml:space="preserve">répertoire de travail. Les chocs ne sont jamais écrits dans le code</w:t>
      </w:r>
      <w:r>
        <w:t xml:space="preserve"> </w:t>
      </w:r>
      <w:r>
        <w:t xml:space="preserve">du modèle : ils sont déposés dans un fichier d’inclusion dédié,</w:t>
      </w:r>
      <w:r>
        <w:t xml:space="preserve"> </w:t>
      </w:r>
      <w:r>
        <w:t xml:space="preserve">généré par la plateforme, que le modèle lit en fin de déclaration</w:t>
      </w:r>
      <w:r>
        <w:t xml:space="preserve"> </w:t>
      </w:r>
      <w:r>
        <w:t xml:space="preserve">des paramètres. Cette convention (inclusion d’un fichier de chocs ou</w:t>
      </w:r>
      <w:r>
        <w:t xml:space="preserve"> </w:t>
      </w:r>
      <w:r>
        <w:t xml:space="preserve">lecture d’un GDX d’entrée) est à mettre en place une fois par modèle</w:t>
      </w:r>
      <w:r>
        <w:t xml:space="preserve"> </w:t>
      </w:r>
      <w:r>
        <w:t xml:space="preserve">lors de son intégration, et constitue la seule modification apportée</w:t>
      </w:r>
      <w:r>
        <w:t xml:space="preserve"> </w:t>
      </w:r>
      <w:r>
        <w:t xml:space="preserve">aux modèles existants.</w:t>
      </w:r>
    </w:p>
    <w:p>
      <w:pPr>
        <w:numPr>
          <w:ilvl w:val="0"/>
          <w:numId w:val="1049"/>
        </w:numPr>
        <w:pStyle w:val="Compact"/>
      </w:pPr>
      <w:r>
        <w:rPr>
          <w:bCs/>
          <w:b/>
        </w:rPr>
        <w:t xml:space="preserve">Soumission.</w:t>
      </w:r>
      <w:r>
        <w:t xml:space="preserve"> </w:t>
      </w:r>
      <w:r>
        <w:t xml:space="preserve">Envoi du travail au moteur d’exécution ;</w:t>
      </w:r>
      <w:r>
        <w:t xml:space="preserve"> </w:t>
      </w:r>
      <w:r>
        <w:t xml:space="preserve">conservation de l’identifiant renvoyé.</w:t>
      </w:r>
    </w:p>
    <w:p>
      <w:pPr>
        <w:numPr>
          <w:ilvl w:val="0"/>
          <w:numId w:val="1049"/>
        </w:numPr>
        <w:pStyle w:val="Compact"/>
      </w:pPr>
      <w:r>
        <w:rPr>
          <w:bCs/>
          <w:b/>
        </w:rPr>
        <w:t xml:space="preserve">Collecte.</w:t>
      </w:r>
      <w:r>
        <w:t xml:space="preserve"> </w:t>
      </w:r>
      <w:r>
        <w:t xml:space="preserve">Lecture du GDX de sortie par nom de symbole, jamais</w:t>
      </w:r>
      <w:r>
        <w:t xml:space="preserve"> </w:t>
      </w:r>
      <w:r>
        <w:t xml:space="preserve">par position, en s’appuyant sur les noms déclarés dans</w:t>
      </w:r>
      <w:r>
        <w:t xml:space="preserve"> </w:t>
      </w:r>
      <w:r>
        <w:t xml:space="preserve">indicateur_sortie. Un symbole déclaré mais absent du GDX est une</w:t>
      </w:r>
      <w:r>
        <w:t xml:space="preserve"> </w:t>
      </w:r>
      <w:r>
        <w:t xml:space="preserve">erreur de cohérence du référentiel, signalée à l’administrateur.</w:t>
      </w:r>
    </w:p>
    <w:p>
      <w:pPr>
        <w:numPr>
          <w:ilvl w:val="0"/>
          <w:numId w:val="1049"/>
        </w:numPr>
        <w:pStyle w:val="Compact"/>
      </w:pPr>
      <w:r>
        <w:rPr>
          <w:bCs/>
          <w:b/>
        </w:rPr>
        <w:t xml:space="preserve">Statut.</w:t>
      </w:r>
      <w:r>
        <w:t xml:space="preserve"> </w:t>
      </w:r>
      <w:r>
        <w:t xml:space="preserve">Les statuts renvoyés par GAMS sont conservés tels quels</w:t>
      </w:r>
      <w:r>
        <w:t xml:space="preserve"> </w:t>
      </w:r>
      <w:r>
        <w:t xml:space="preserve">et traduits comme suit.</w:t>
      </w:r>
    </w:p>
    <w:tbl>
      <w:tblPr>
        <w:tblStyle w:val="Table"/>
        <w:tblW w:type="dxa" w:w="9354"/>
        <w:tblLayout w:type="fixed"/>
        <w:tblLook w:firstRow="1" w:lastRow="0" w:firstColumn="0" w:lastColumn="0" w:noHBand="0" w:noVBand="0" w:val="0020"/>
        <w:jc w:val="start"/>
      </w:tblPr>
      <w:tblGrid>
        <w:gridCol w:w="3452"/>
        <w:gridCol w:w="3114"/>
        <w:gridCol w:w="2788"/>
      </w:tblGrid>
      <w:tr>
        <w:trPr>
          <w:tblHeader w:val="true"/>
        </w:trPr>
        <w:tc>
          <w:tcPr/>
          <w:p>
            <w:pPr>
              <w:pStyle w:val="Compact"/>
              <w:jc w:val="left"/>
            </w:pPr>
            <w:r>
              <w:t xml:space="preserve">Statut moteur</w:t>
            </w:r>
          </w:p>
        </w:tc>
        <w:tc>
          <w:tcPr/>
          <w:p>
            <w:pPr>
              <w:pStyle w:val="Compact"/>
              <w:jc w:val="left"/>
            </w:pPr>
            <w:r>
              <w:t xml:space="preserve">Interprétation plateforme</w:t>
            </w:r>
          </w:p>
        </w:tc>
        <w:tc>
          <w:tcPr/>
          <w:p>
            <w:pPr>
              <w:pStyle w:val="Compact"/>
              <w:jc w:val="left"/>
            </w:pPr>
            <w:r>
              <w:t xml:space="preserve">État de simulation</w:t>
            </w:r>
          </w:p>
        </w:tc>
      </w:tr>
      <w:tr>
        <w:tc>
          <w:tcPr/>
          <w:p>
            <w:pPr>
              <w:pStyle w:val="Compact"/>
              <w:jc w:val="left"/>
            </w:pPr>
            <w:r>
              <w:t xml:space="preserve">Résolution normale, modèle optimal ou localement optimal</w:t>
            </w:r>
          </w:p>
        </w:tc>
        <w:tc>
          <w:tcPr/>
          <w:p>
            <w:pPr>
              <w:pStyle w:val="Compact"/>
              <w:jc w:val="left"/>
            </w:pPr>
            <w:r>
              <w:t xml:space="preserve">Résultats exploitables</w:t>
            </w:r>
          </w:p>
        </w:tc>
        <w:tc>
          <w:tcPr/>
          <w:p>
            <w:pPr>
              <w:pStyle w:val="Compact"/>
              <w:jc w:val="left"/>
            </w:pPr>
            <w:r>
              <w:t xml:space="preserve">TERMINEE</w:t>
            </w:r>
          </w:p>
        </w:tc>
      </w:tr>
      <w:tr>
        <w:tc>
          <w:tcPr/>
          <w:p>
            <w:pPr>
              <w:pStyle w:val="Compact"/>
              <w:jc w:val="left"/>
            </w:pPr>
            <w:r>
              <w:t xml:space="preserve">Modèle non faisable, non borné, ou résolution interrompue</w:t>
            </w:r>
          </w:p>
        </w:tc>
        <w:tc>
          <w:tcPr/>
          <w:p>
            <w:pPr>
              <w:pStyle w:val="Compact"/>
              <w:jc w:val="left"/>
            </w:pPr>
            <w:r>
              <w:t xml:space="preserve">Résultats non exploitables</w:t>
            </w:r>
          </w:p>
        </w:tc>
        <w:tc>
          <w:tcPr/>
          <w:p>
            <w:pPr>
              <w:pStyle w:val="Compact"/>
              <w:jc w:val="left"/>
            </w:pPr>
            <w:r>
              <w:t xml:space="preserve">NON_CONVERGEE</w:t>
            </w:r>
          </w:p>
        </w:tc>
      </w:tr>
      <w:tr>
        <w:tc>
          <w:tcPr/>
          <w:p>
            <w:pPr>
              <w:pStyle w:val="Compact"/>
              <w:jc w:val="left"/>
            </w:pPr>
            <w:r>
              <w:t xml:space="preserve">Erreur de compilation ou d’exécution</w:t>
            </w:r>
          </w:p>
        </w:tc>
        <w:tc>
          <w:tcPr/>
          <w:p>
            <w:pPr>
              <w:pStyle w:val="Compact"/>
              <w:jc w:val="left"/>
            </w:pPr>
            <w:r>
              <w:t xml:space="preserve">Défaut technique ou de version</w:t>
            </w:r>
          </w:p>
        </w:tc>
        <w:tc>
          <w:tcPr/>
          <w:p>
            <w:pPr>
              <w:pStyle w:val="Compact"/>
              <w:jc w:val="left"/>
            </w:pPr>
            <w:r>
              <w:t xml:space="preserve">ECHOUEE</w:t>
            </w:r>
          </w:p>
        </w:tc>
      </w:tr>
    </w:tbl>
    <w:p>
      <w:pPr>
        <w:numPr>
          <w:ilvl w:val="0"/>
          <w:numId w:val="1050"/>
        </w:numPr>
        <w:pStyle w:val="Compact"/>
      </w:pPr>
      <w:r>
        <w:rPr>
          <w:bCs/>
          <w:b/>
        </w:rPr>
        <w:t xml:space="preserve">Artefacts conservés</w:t>
      </w:r>
      <w:r>
        <w:t xml:space="preserve"> </w:t>
      </w:r>
      <w:r>
        <w:t xml:space="preserve">: fichier d’inclusion des chocs, GDX de</w:t>
      </w:r>
      <w:r>
        <w:t xml:space="preserve"> </w:t>
      </w:r>
      <w:r>
        <w:t xml:space="preserve">sortie, journal d’exécution, durée, version de GAMS et du solveur.</w:t>
      </w:r>
      <w:r>
        <w:t xml:space="preserve"> </w:t>
      </w:r>
      <w:r>
        <w:t xml:space="preserve">Rétention alignée sur celle des simulations.</w:t>
      </w:r>
    </w:p>
    <w:p>
      <w:pPr>
        <w:numPr>
          <w:ilvl w:val="0"/>
          <w:numId w:val="1050"/>
        </w:numPr>
        <w:pStyle w:val="Compact"/>
      </w:pPr>
      <w:r>
        <w:rPr>
          <w:bCs/>
          <w:b/>
        </w:rPr>
        <w:t xml:space="preserve">Licence.</w:t>
      </w:r>
      <w:r>
        <w:t xml:space="preserve"> </w:t>
      </w:r>
      <w:r>
        <w:t xml:space="preserve">Le nombre d’exécutions concurrentes est plafonné par la</w:t>
      </w:r>
      <w:r>
        <w:t xml:space="preserve"> </w:t>
      </w:r>
      <w:r>
        <w:t xml:space="preserve">licence disponible ; au-delà, les tâches attendent en file avec une</w:t>
      </w:r>
      <w:r>
        <w:t xml:space="preserve"> </w:t>
      </w:r>
      <w:r>
        <w:t xml:space="preserve">position visible (MOD-EF-19). L’indisponibilité de licence est signalée</w:t>
      </w:r>
      <w:r>
        <w:t xml:space="preserve"> </w:t>
      </w:r>
      <w:r>
        <w:t xml:space="preserve">comme MOTEUR_INDISPONIBLE et non comme un échec du modèle.</w:t>
      </w:r>
    </w:p>
    <w:p>
      <w:pPr>
        <w:numPr>
          <w:ilvl w:val="0"/>
          <w:numId w:val="1050"/>
        </w:numPr>
        <w:pStyle w:val="Compact"/>
      </w:pPr>
      <w:r>
        <w:rPr>
          <w:bCs/>
          <w:b/>
        </w:rPr>
        <w:t xml:space="preserve">Scénario de référence.</w:t>
      </w:r>
      <w:r>
        <w:t xml:space="preserve"> </w:t>
      </w:r>
      <w:r>
        <w:t xml:space="preserve">Chaque simulation exécute la référence et</w:t>
      </w:r>
      <w:r>
        <w:t xml:space="preserve"> </w:t>
      </w:r>
      <w:r>
        <w:t xml:space="preserve">le scénario choqué, ou réutilise une exécution de référence déjà en</w:t>
      </w:r>
      <w:r>
        <w:t xml:space="preserve"> </w:t>
      </w:r>
      <w:r>
        <w:t xml:space="preserve">cache pour la même version, la même base et la même fermeture. Le</w:t>
      </w:r>
      <w:r>
        <w:t xml:space="preserve"> </w:t>
      </w:r>
      <w:r>
        <w:t xml:space="preserve">cache est invalidé par tout changement de version ou de base.</w:t>
      </w:r>
    </w:p>
    <w:bookmarkEnd w:id="319"/>
    <w:bookmarkStart w:id="320" w:name="b10.3-adaptateur-python"/>
    <w:p>
      <w:pPr>
        <w:pStyle w:val="Heading3"/>
      </w:pPr>
      <w:r>
        <w:t xml:space="preserve">B10.3 Adaptateur Python</w:t>
      </w:r>
    </w:p>
    <w:p>
      <w:pPr>
        <w:pStyle w:val="FirstParagraph"/>
      </w:pPr>
      <w:r>
        <w:t xml:space="preserve">Chaque modèle des familles B et C expose une fonction d’entrée unique</w:t>
      </w:r>
      <w:r>
        <w:t xml:space="preserve"> </w:t>
      </w:r>
      <w:r>
        <w:t xml:space="preserve">recevant un dictionnaire d’entrées nommées et renvoyant un dictionnaire</w:t>
      </w:r>
      <w:r>
        <w:t xml:space="preserve"> </w:t>
      </w:r>
      <w:r>
        <w:t xml:space="preserve">de sorties nommées, sans effet de bord ni lecture de fichier hors du</w:t>
      </w:r>
      <w:r>
        <w:t xml:space="preserve"> </w:t>
      </w:r>
      <w:r>
        <w:t xml:space="preserve">répertoire de travail. Les dépendances sont figées par version de modèle</w:t>
      </w:r>
      <w:r>
        <w:t xml:space="preserve"> </w:t>
      </w:r>
      <w:r>
        <w:t xml:space="preserve">(fichier de dépendances versionné avec le modèle). L’exécution est</w:t>
      </w:r>
      <w:r>
        <w:t xml:space="preserve"> </w:t>
      </w:r>
      <w:r>
        <w:t xml:space="preserve">isolée et soumise à la même durée maximale.</w:t>
      </w:r>
    </w:p>
    <w:bookmarkEnd w:id="320"/>
    <w:bookmarkStart w:id="321" w:name="b10.4-adaptateur-excel"/>
    <w:p>
      <w:pPr>
        <w:pStyle w:val="Heading3"/>
      </w:pPr>
      <w:r>
        <w:t xml:space="preserve">B10.4 Adaptateur Excel</w:t>
      </w:r>
    </w:p>
    <w:p>
      <w:pPr>
        <w:pStyle w:val="FirstParagraph"/>
      </w:pPr>
      <w:r>
        <w:t xml:space="preserve">À n’utiliser que si la voie A de la section 10.3 est retenue pour un</w:t>
      </w:r>
      <w:r>
        <w:t xml:space="preserve"> </w:t>
      </w:r>
      <w:r>
        <w:t xml:space="preserve">modèle donné. Contraintes : cellules d’entrée et de sortie</w:t>
      </w:r>
      <w:r>
        <w:t xml:space="preserve"> </w:t>
      </w:r>
      <w:r>
        <w:t xml:space="preserve">obligatoirement nommées dans le classeur ; aucune macro exécutée côté</w:t>
      </w:r>
      <w:r>
        <w:t xml:space="preserve"> </w:t>
      </w:r>
      <w:r>
        <w:t xml:space="preserve">serveur ; recalcul complet forcé avant lecture ; comparaison</w:t>
      </w:r>
      <w:r>
        <w:t xml:space="preserve"> </w:t>
      </w:r>
      <w:r>
        <w:t xml:space="preserve">systématique d’un jeu témoin avant mise en service, et rejet du classeur</w:t>
      </w:r>
      <w:r>
        <w:t xml:space="preserve"> </w:t>
      </w:r>
      <w:r>
        <w:t xml:space="preserve">si l’écart dépasse le seuil déclaré.</w:t>
      </w:r>
    </w:p>
    <w:bookmarkEnd w:id="321"/>
    <w:bookmarkStart w:id="322" w:name="b10.5-file-dexécution-et-concurrence"/>
    <w:p>
      <w:pPr>
        <w:pStyle w:val="Heading3"/>
      </w:pPr>
      <w:r>
        <w:t xml:space="preserve">B10.5 File d’exécution et concurrence</w:t>
      </w:r>
    </w:p>
    <w:p>
      <w:pPr>
        <w:numPr>
          <w:ilvl w:val="0"/>
          <w:numId w:val="1051"/>
        </w:numPr>
        <w:pStyle w:val="Compact"/>
      </w:pPr>
      <w:r>
        <w:t xml:space="preserve">File unique par moteur, priorité au premier arrivé, sans préemption.</w:t>
      </w:r>
    </w:p>
    <w:p>
      <w:pPr>
        <w:numPr>
          <w:ilvl w:val="0"/>
          <w:numId w:val="1051"/>
        </w:numPr>
        <w:pStyle w:val="Compact"/>
      </w:pPr>
      <w:r>
        <w:t xml:space="preserve">Position et durée d’attente estimée visibles par l’utilisateur.</w:t>
      </w:r>
    </w:p>
    <w:p>
      <w:pPr>
        <w:numPr>
          <w:ilvl w:val="0"/>
          <w:numId w:val="1051"/>
        </w:numPr>
        <w:pStyle w:val="Compact"/>
      </w:pPr>
      <w:r>
        <w:t xml:space="preserve">Nombre de tâches simultanées paramétrable par moteur, aligné sur la</w:t>
      </w:r>
      <w:r>
        <w:t xml:space="preserve"> </w:t>
      </w:r>
      <w:r>
        <w:t xml:space="preserve">licence et sur les ressources.</w:t>
      </w:r>
    </w:p>
    <w:p>
      <w:pPr>
        <w:numPr>
          <w:ilvl w:val="0"/>
          <w:numId w:val="1051"/>
        </w:numPr>
        <w:pStyle w:val="Compact"/>
      </w:pPr>
      <w:r>
        <w:t xml:space="preserve">Une tâche perdue (exécuteur interrompu) est détectée par expiration</w:t>
      </w:r>
      <w:r>
        <w:t xml:space="preserve"> </w:t>
      </w:r>
      <w:r>
        <w:t xml:space="preserve">et repasse en ECHOUEE avec journal conservé.</w:t>
      </w:r>
    </w:p>
    <w:p>
      <w:pPr>
        <w:numPr>
          <w:ilvl w:val="0"/>
          <w:numId w:val="1051"/>
        </w:numPr>
        <w:pStyle w:val="Compact"/>
      </w:pPr>
      <w:r>
        <w:t xml:space="preserve">Les exécutions de la même empreinte d’entrées lancées simultanément</w:t>
      </w:r>
      <w:r>
        <w:t xml:space="preserve"> </w:t>
      </w:r>
      <w:r>
        <w:t xml:space="preserve">sont fusionnées.</w:t>
      </w:r>
    </w:p>
    <w:bookmarkEnd w:id="322"/>
    <w:bookmarkStart w:id="323" w:name="b10.6-isolation-et-plafonds"/>
    <w:p>
      <w:pPr>
        <w:pStyle w:val="Heading3"/>
      </w:pPr>
      <w:r>
        <w:t xml:space="preserve">B10.6 Isolation et plafonds</w:t>
      </w:r>
    </w:p>
    <w:p>
      <w:pPr>
        <w:pStyle w:val="FirstParagraph"/>
      </w:pPr>
      <w:r>
        <w:t xml:space="preserve">Les exigences de sécurité d’exécution de la Partie 0, section 10.2, s’appliquent</w:t>
      </w:r>
      <w:r>
        <w:t xml:space="preserve"> </w:t>
      </w:r>
      <w:r>
        <w:t xml:space="preserve">intégralement aux trois adaptateurs. En pratique : exécution dans un</w:t>
      </w:r>
      <w:r>
        <w:t xml:space="preserve"> </w:t>
      </w:r>
      <w:r>
        <w:t xml:space="preserve">conteneur sans privilèges, sans accès réseau sortant autre que le</w:t>
      </w:r>
      <w:r>
        <w:t xml:space="preserve"> </w:t>
      </w:r>
      <w:r>
        <w:t xml:space="preserve">service de calcul lui-même, avec plafonds de processeur, de mémoire,</w:t>
      </w:r>
      <w:r>
        <w:t xml:space="preserve"> </w:t>
      </w:r>
      <w:r>
        <w:t xml:space="preserve">d’espace disque et de durée (valeurs par défaut en annexe 5) ;</w:t>
      </w:r>
      <w:r>
        <w:t xml:space="preserve"> </w:t>
      </w:r>
      <w:r>
        <w:t xml:space="preserve">répertoire de travail propre à l’exécution, détruit après collecte ;</w:t>
      </w:r>
      <w:r>
        <w:t xml:space="preserve"> </w:t>
      </w:r>
      <w:r>
        <w:t xml:space="preserve">aucun accès aux fichiers d’un autre modèle ni aux données de</w:t>
      </w:r>
      <w:r>
        <w:t xml:space="preserve"> </w:t>
      </w:r>
      <w:r>
        <w:t xml:space="preserve">l’application. Un modèle témoin d’isolation, volontairement gourmand et</w:t>
      </w:r>
      <w:r>
        <w:t xml:space="preserve"> </w:t>
      </w:r>
      <w:r>
        <w:t xml:space="preserve">tentant d’accéder au réseau et au système de fichiers, fait partie du</w:t>
      </w:r>
      <w:r>
        <w:t xml:space="preserve"> </w:t>
      </w:r>
      <w:r>
        <w:t xml:space="preserve">jeu de tests et sert de preuve en recette (CR-05).</w:t>
      </w:r>
    </w:p>
    <w:bookmarkEnd w:id="323"/>
    <w:bookmarkEnd w:id="324"/>
    <w:bookmarkStart w:id="330" w:name="b11.-couche-dintelligence-artificielle"/>
    <w:p>
      <w:pPr>
        <w:pStyle w:val="Heading2"/>
      </w:pPr>
      <w:r>
        <w:t xml:space="preserve">B11. Couche d’intelligence artificielle</w:t>
      </w:r>
    </w:p>
    <w:bookmarkStart w:id="325" w:name="b11.1-périmètre"/>
    <w:p>
      <w:pPr>
        <w:pStyle w:val="Heading3"/>
      </w:pPr>
      <w:r>
        <w:t xml:space="preserve">B11.1 Périmètre</w:t>
      </w:r>
    </w:p>
    <w:p>
      <w:pPr>
        <w:pStyle w:val="FirstParagraph"/>
      </w:pPr>
      <w:r>
        <w:t xml:space="preserve">L’IA remplit quatre fonctions, et aucune autre. Elle ne calcule jamais</w:t>
      </w:r>
      <w:r>
        <w:t xml:space="preserve"> </w:t>
      </w:r>
      <w:r>
        <w:t xml:space="preserve">une valeur économique, ne déduit jamais un résultat et ne modifie jamais</w:t>
      </w:r>
      <w:r>
        <w:t xml:space="preserve"> </w:t>
      </w:r>
      <w:r>
        <w:t xml:space="preserve">directement un objet de la plateforme.</w:t>
      </w:r>
    </w:p>
    <w:tbl>
      <w:tblPr>
        <w:tblStyle w:val="Table"/>
        <w:tblW w:type="dxa" w:w="9354"/>
        <w:tblLayout w:type="fixed"/>
        <w:tblLook w:firstRow="1" w:lastRow="0" w:firstColumn="0" w:lastColumn="0" w:noHBand="0" w:noVBand="0" w:val="0020"/>
        <w:jc w:val="start"/>
      </w:tblPr>
      <w:tblGrid>
        <w:gridCol w:w="2052"/>
        <w:gridCol w:w="2722"/>
        <w:gridCol w:w="2605"/>
        <w:gridCol w:w="1975"/>
      </w:tblGrid>
      <w:tr>
        <w:trPr>
          <w:tblHeader w:val="true"/>
        </w:trPr>
        <w:tc>
          <w:tcPr/>
          <w:p>
            <w:pPr>
              <w:pStyle w:val="Compact"/>
              <w:jc w:val="left"/>
            </w:pPr>
            <w:r>
              <w:t xml:space="preserve">Fonction</w:t>
            </w:r>
          </w:p>
        </w:tc>
        <w:tc>
          <w:tcPr/>
          <w:p>
            <w:pPr>
              <w:pStyle w:val="Compact"/>
              <w:jc w:val="left"/>
            </w:pPr>
            <w:r>
              <w:t xml:space="preserve">Entrée</w:t>
            </w:r>
          </w:p>
        </w:tc>
        <w:tc>
          <w:tcPr/>
          <w:p>
            <w:pPr>
              <w:pStyle w:val="Compact"/>
              <w:jc w:val="left"/>
            </w:pPr>
            <w:r>
              <w:t xml:space="preserve">Sortie</w:t>
            </w:r>
          </w:p>
        </w:tc>
        <w:tc>
          <w:tcPr/>
          <w:p>
            <w:pPr>
              <w:pStyle w:val="Compact"/>
              <w:jc w:val="left"/>
            </w:pPr>
            <w:r>
              <w:t xml:space="preserve">Utilisée par</w:t>
            </w:r>
          </w:p>
        </w:tc>
      </w:tr>
      <w:tr>
        <w:tc>
          <w:tcPr/>
          <w:p>
            <w:pPr>
              <w:pStyle w:val="Compact"/>
              <w:jc w:val="left"/>
            </w:pPr>
            <w:r>
              <w:t xml:space="preserve">F1 — Orientation</w:t>
            </w:r>
          </w:p>
        </w:tc>
        <w:tc>
          <w:tcPr/>
          <w:p>
            <w:pPr>
              <w:pStyle w:val="Compact"/>
              <w:jc w:val="left"/>
            </w:pPr>
            <w:r>
              <w:t xml:space="preserve">Question de l’utilisateur, catalogue des modèles (intitulés, descriptions, chocs déclarés)</w:t>
            </w:r>
          </w:p>
        </w:tc>
        <w:tc>
          <w:tcPr/>
          <w:p>
            <w:pPr>
              <w:pStyle w:val="Compact"/>
              <w:jc w:val="left"/>
            </w:pPr>
            <w:r>
              <w:t xml:space="preserve">Liste ordonnée de modèles candidats, avec justification courte</w:t>
            </w:r>
          </w:p>
        </w:tc>
        <w:tc>
          <w:tcPr/>
          <w:p>
            <w:pPr>
              <w:pStyle w:val="Compact"/>
              <w:jc w:val="left"/>
            </w:pPr>
            <w:r>
              <w:t xml:space="preserve">MOD-EF-47</w:t>
            </w:r>
          </w:p>
        </w:tc>
      </w:tr>
      <w:tr>
        <w:tc>
          <w:tcPr/>
          <w:p>
            <w:pPr>
              <w:pStyle w:val="Compact"/>
              <w:jc w:val="left"/>
            </w:pPr>
            <w:r>
              <w:t xml:space="preserve">F2 — Traduction du choc</w:t>
            </w:r>
          </w:p>
        </w:tc>
        <w:tc>
          <w:tcPr/>
          <w:p>
            <w:pPr>
              <w:pStyle w:val="Compact"/>
              <w:jc w:val="left"/>
            </w:pPr>
            <w:r>
              <w:t xml:space="preserve">Question, fiche d’identité du modèle retenu, paramètres de choc déclarés</w:t>
            </w:r>
          </w:p>
        </w:tc>
        <w:tc>
          <w:tcPr/>
          <w:p>
            <w:pPr>
              <w:pStyle w:val="Compact"/>
              <w:jc w:val="left"/>
            </w:pPr>
            <w:r>
              <w:t xml:space="preserve">Proposition structurée de scénario : paramètres, valeurs, périodes</w:t>
            </w:r>
          </w:p>
        </w:tc>
        <w:tc>
          <w:tcPr/>
          <w:p>
            <w:pPr>
              <w:pStyle w:val="Compact"/>
              <w:jc w:val="left"/>
            </w:pPr>
            <w:r>
              <w:t xml:space="preserve">MOD-EF-49</w:t>
            </w:r>
          </w:p>
        </w:tc>
      </w:tr>
      <w:tr>
        <w:tc>
          <w:tcPr/>
          <w:p>
            <w:pPr>
              <w:pStyle w:val="Compact"/>
              <w:jc w:val="left"/>
            </w:pPr>
            <w:r>
              <w:t xml:space="preserve">F3 — Interprétation</w:t>
            </w:r>
          </w:p>
        </w:tc>
        <w:tc>
          <w:tcPr/>
          <w:p>
            <w:pPr>
              <w:pStyle w:val="Compact"/>
              <w:jc w:val="left"/>
            </w:pPr>
            <w:r>
              <w:t xml:space="preserve">Socle d’indicateurs de la simulation terminée, statut et contrôles</w:t>
            </w:r>
          </w:p>
        </w:tc>
        <w:tc>
          <w:tcPr/>
          <w:p>
            <w:pPr>
              <w:pStyle w:val="Compact"/>
              <w:jc w:val="left"/>
            </w:pPr>
            <w:r>
              <w:t xml:space="preserve">Résumé en langage clair, indicateurs complémentaires suggérés</w:t>
            </w:r>
          </w:p>
        </w:tc>
        <w:tc>
          <w:tcPr/>
          <w:p>
            <w:pPr>
              <w:pStyle w:val="Compact"/>
              <w:jc w:val="left"/>
            </w:pPr>
            <w:r>
              <w:t xml:space="preserve">MOD-EF-40, MOD-EF-43</w:t>
            </w:r>
          </w:p>
        </w:tc>
      </w:tr>
      <w:tr>
        <w:tc>
          <w:tcPr/>
          <w:p>
            <w:pPr>
              <w:pStyle w:val="Compact"/>
              <w:jc w:val="left"/>
            </w:pPr>
            <w:r>
              <w:t xml:space="preserve">F4 — Copilote d’administration</w:t>
            </w:r>
          </w:p>
        </w:tc>
        <w:tc>
          <w:tcPr/>
          <w:p>
            <w:pPr>
              <w:pStyle w:val="Compact"/>
              <w:jc w:val="left"/>
            </w:pPr>
            <w:r>
              <w:t xml:space="preserve">Description en langage courant, fichiers de la version, éléments protégés</w:t>
            </w:r>
          </w:p>
        </w:tc>
        <w:tc>
          <w:tcPr/>
          <w:p>
            <w:pPr>
              <w:pStyle w:val="Compact"/>
              <w:jc w:val="left"/>
            </w:pPr>
            <w:r>
              <w:t xml:space="preserve">Analyse d’impact, proposition de modification, jamais appliquée directement</w:t>
            </w:r>
          </w:p>
        </w:tc>
        <w:tc>
          <w:tcPr/>
          <w:p>
            <w:pPr>
              <w:pStyle w:val="Compact"/>
              <w:jc w:val="left"/>
            </w:pPr>
            <w:r>
              <w:t xml:space="preserve">MOD-EF-54 à MOD-EF-59</w:t>
            </w:r>
          </w:p>
        </w:tc>
      </w:tr>
    </w:tbl>
    <w:bookmarkEnd w:id="325"/>
    <w:bookmarkStart w:id="326" w:name="b11.2-contrats-de-sortie"/>
    <w:p>
      <w:pPr>
        <w:pStyle w:val="Heading3"/>
      </w:pPr>
      <w:r>
        <w:t xml:space="preserve">B11.2 Contrats de sortie</w:t>
      </w:r>
    </w:p>
    <w:p>
      <w:pPr>
        <w:pStyle w:val="FirstParagraph"/>
      </w:pPr>
      <w:r>
        <w:t xml:space="preserve">Chaque appel renvoie un JSON strict, validé contre un schéma. Toute</w:t>
      </w:r>
      <w:r>
        <w:t xml:space="preserve"> </w:t>
      </w:r>
      <w:r>
        <w:t xml:space="preserve">réponse non conforme est rejetée : la plateforme réessaie une fois, puis</w:t>
      </w:r>
      <w:r>
        <w:t xml:space="preserve"> </w:t>
      </w:r>
      <w:r>
        <w:t xml:space="preserve">renvoie IA_REPONSE_INVALIDE et propose le mode expert. Exemple pour F2 :</w:t>
      </w:r>
    </w:p>
    <w:p>
      <w:pPr>
        <w:pStyle w:val="SourceCode"/>
      </w:pPr>
      <w:r>
        <w:rPr>
          <w:rStyle w:val="VerbatimChar"/>
        </w:rPr>
        <w:t xml:space="preserve">{</w:t>
      </w:r>
      <w:r>
        <w:br/>
      </w:r>
      <w:r>
        <w:rPr>
          <w:rStyle w:val="VerbatimChar"/>
        </w:rPr>
        <w:t xml:space="preserve">  "modele_code": "SYLI_STANDARD",</w:t>
      </w:r>
      <w:r>
        <w:br/>
      </w:r>
      <w:r>
        <w:rPr>
          <w:rStyle w:val="VerbatimChar"/>
        </w:rPr>
        <w:t xml:space="preserve">  "fermeture": "BUDGETAIRE_TRANSFERTS",</w:t>
      </w:r>
      <w:r>
        <w:br/>
      </w:r>
      <w:r>
        <w:rPr>
          <w:rStyle w:val="VerbatimChar"/>
        </w:rPr>
        <w:t xml:space="preserve">  "chocs": [</w:t>
      </w:r>
      <w:r>
        <w:br/>
      </w:r>
      <w:r>
        <w:rPr>
          <w:rStyle w:val="VerbatimChar"/>
        </w:rPr>
        <w:t xml:space="preserve">    {</w:t>
      </w:r>
      <w:r>
        <w:br/>
      </w:r>
      <w:r>
        <w:rPr>
          <w:rStyle w:val="VerbatimChar"/>
        </w:rPr>
        <w:t xml:space="preserve">      "parametre": "pwe",</w:t>
      </w:r>
      <w:r>
        <w:br/>
      </w:r>
      <w:r>
        <w:rPr>
          <w:rStyle w:val="VerbatimChar"/>
        </w:rPr>
        <w:t xml:space="preserve">      "index_cible": { "produit": "or" },</w:t>
      </w:r>
      <w:r>
        <w:br/>
      </w:r>
      <w:r>
        <w:rPr>
          <w:rStyle w:val="VerbatimChar"/>
        </w:rPr>
        <w:t xml:space="preserve">      "mode": "POURCENT",</w:t>
      </w:r>
      <w:r>
        <w:br/>
      </w:r>
      <w:r>
        <w:rPr>
          <w:rStyle w:val="VerbatimChar"/>
        </w:rPr>
        <w:t xml:space="preserve">      "valeur": 15,</w:t>
      </w:r>
      <w:r>
        <w:br/>
      </w:r>
      <w:r>
        <w:rPr>
          <w:rStyle w:val="VerbatimChar"/>
        </w:rPr>
        <w:t xml:space="preserve">      "periode_type": "PERMANENT",</w:t>
      </w:r>
      <w:r>
        <w:br/>
      </w:r>
      <w:r>
        <w:rPr>
          <w:rStyle w:val="VerbatimChar"/>
        </w:rPr>
        <w:t xml:space="preserve">      "annee_debut": 2026</w:t>
      </w:r>
      <w:r>
        <w:br/>
      </w:r>
      <w:r>
        <w:rPr>
          <w:rStyle w:val="VerbatimChar"/>
        </w:rPr>
        <w:t xml:space="preserve">    }</w:t>
      </w:r>
      <w:r>
        <w:br/>
      </w:r>
      <w:r>
        <w:rPr>
          <w:rStyle w:val="VerbatimChar"/>
        </w:rPr>
        <w:t xml:space="preserve">  ],</w:t>
      </w:r>
      <w:r>
        <w:br/>
      </w:r>
      <w:r>
        <w:rPr>
          <w:rStyle w:val="VerbatimChar"/>
        </w:rPr>
        <w:t xml:space="preserve">  "elements_non_compris": [],</w:t>
      </w:r>
      <w:r>
        <w:br/>
      </w:r>
      <w:r>
        <w:rPr>
          <w:rStyle w:val="VerbatimChar"/>
        </w:rPr>
        <w:t xml:space="preserve">  "confiance": "HAUTE"</w:t>
      </w:r>
      <w:r>
        <w:br/>
      </w:r>
      <w:r>
        <w:rPr>
          <w:rStyle w:val="VerbatimChar"/>
        </w:rPr>
        <w:t xml:space="preserve">}</w:t>
      </w:r>
    </w:p>
    <w:p>
      <w:pPr>
        <w:pStyle w:val="FirstParagraph"/>
      </w:pPr>
      <w:r>
        <w:t xml:space="preserve">Règles de validation appliquées par le serveur, indépendamment de l’IA :</w:t>
      </w:r>
    </w:p>
    <w:p>
      <w:pPr>
        <w:numPr>
          <w:ilvl w:val="0"/>
          <w:numId w:val="1052"/>
        </w:numPr>
        <w:pStyle w:val="Compact"/>
      </w:pPr>
      <w:r>
        <w:t xml:space="preserve">Le code de modèle existe et possède une version active.</w:t>
      </w:r>
    </w:p>
    <w:p>
      <w:pPr>
        <w:numPr>
          <w:ilvl w:val="0"/>
          <w:numId w:val="1052"/>
        </w:numPr>
        <w:pStyle w:val="Compact"/>
      </w:pPr>
      <w:r>
        <w:t xml:space="preserve">Chaque paramètre figure dans les parametre_choc déclarés du modèle ;</w:t>
      </w:r>
      <w:r>
        <w:t xml:space="preserve"> </w:t>
      </w:r>
      <w:r>
        <w:t xml:space="preserve">sinon rejet (PARAMETRE_NON_DECLARE).</w:t>
      </w:r>
    </w:p>
    <w:p>
      <w:pPr>
        <w:numPr>
          <w:ilvl w:val="0"/>
          <w:numId w:val="1052"/>
        </w:numPr>
        <w:pStyle w:val="Compact"/>
      </w:pPr>
      <w:r>
        <w:t xml:space="preserve">La valeur respecte les bornes déclarées ; sinon rejet</w:t>
      </w:r>
      <w:r>
        <w:t xml:space="preserve"> </w:t>
      </w:r>
      <w:r>
        <w:t xml:space="preserve">(BORNE_DEPASSEE).</w:t>
      </w:r>
    </w:p>
    <w:p>
      <w:pPr>
        <w:numPr>
          <w:ilvl w:val="0"/>
          <w:numId w:val="1052"/>
        </w:numPr>
        <w:pStyle w:val="Compact"/>
      </w:pPr>
      <w:r>
        <w:t xml:space="preserve">L’index cible correspond aux dimensions déclarées du paramètre.</w:t>
      </w:r>
    </w:p>
    <w:p>
      <w:pPr>
        <w:numPr>
          <w:ilvl w:val="0"/>
          <w:numId w:val="1052"/>
        </w:numPr>
        <w:pStyle w:val="Compact"/>
      </w:pPr>
      <w:r>
        <w:t xml:space="preserve">La fermeture fait partie des fermetures admises par le modèle.</w:t>
      </w:r>
    </w:p>
    <w:p>
      <w:pPr>
        <w:numPr>
          <w:ilvl w:val="0"/>
          <w:numId w:val="1052"/>
        </w:numPr>
        <w:pStyle w:val="Compact"/>
      </w:pPr>
      <w:r>
        <w:t xml:space="preserve">Toute demande non traduisible est renvoyée dans elements_non_compris</w:t>
      </w:r>
      <w:r>
        <w:t xml:space="preserve"> </w:t>
      </w:r>
      <w:r>
        <w:t xml:space="preserve">et présentée à l’utilisateur comme une question, jamais comblée par</w:t>
      </w:r>
      <w:r>
        <w:t xml:space="preserve"> </w:t>
      </w:r>
      <w:r>
        <w:t xml:space="preserve">une valeur par défaut inventée.</w:t>
      </w:r>
    </w:p>
    <w:p>
      <w:pPr>
        <w:pStyle w:val="FirstParagraph"/>
      </w:pPr>
      <w:r>
        <w:t xml:space="preserve">La proposition validée est toujours affichée à l’utilisateur pour</w:t>
      </w:r>
      <w:r>
        <w:t xml:space="preserve"> </w:t>
      </w:r>
      <w:r>
        <w:t xml:space="preserve">confirmation avant mise en file (MOD-EF-49, MOD-EF-50).</w:t>
      </w:r>
    </w:p>
    <w:bookmarkEnd w:id="326"/>
    <w:bookmarkStart w:id="327" w:name="b11.3-garde-fous"/>
    <w:p>
      <w:pPr>
        <w:pStyle w:val="Heading3"/>
      </w:pPr>
      <w:r>
        <w:t xml:space="preserve">B11.3 Garde-fous</w:t>
      </w:r>
    </w:p>
    <w:p>
      <w:pPr>
        <w:numPr>
          <w:ilvl w:val="0"/>
          <w:numId w:val="1053"/>
        </w:numPr>
        <w:pStyle w:val="Compact"/>
      </w:pPr>
      <w:r>
        <w:rPr>
          <w:bCs/>
          <w:b/>
        </w:rPr>
        <w:t xml:space="preserve">Déterminisme.</w:t>
      </w:r>
      <w:r>
        <w:t xml:space="preserve"> </w:t>
      </w:r>
      <w:r>
        <w:t xml:space="preserve">Ce qui doit être reproductible n’est pas la</w:t>
      </w:r>
      <w:r>
        <w:t xml:space="preserve"> </w:t>
      </w:r>
      <w:r>
        <w:t xml:space="preserve">suggestion de l’IA mais le scénario validé : une fois confirmé par</w:t>
      </w:r>
      <w:r>
        <w:t xml:space="preserve"> </w:t>
      </w:r>
      <w:r>
        <w:t xml:space="preserve">l’utilisateur, il est enregistré et rejouable à l’identique,</w:t>
      </w:r>
      <w:r>
        <w:t xml:space="preserve"> </w:t>
      </w:r>
      <w:r>
        <w:t xml:space="preserve">indépendamment du service d’IA et de sa version. Le service est</w:t>
      </w:r>
      <w:r>
        <w:t xml:space="preserve"> </w:t>
      </w:r>
      <w:r>
        <w:t xml:space="preserve">appelé à température nulle ou équivalent, avec des invites</w:t>
      </w:r>
      <w:r>
        <w:t xml:space="preserve"> </w:t>
      </w:r>
      <w:r>
        <w:t xml:space="preserve">versionnées en base, et le modèle d’IA utilisé est enregistré dans</w:t>
      </w:r>
      <w:r>
        <w:t xml:space="preserve"> </w:t>
      </w:r>
      <w:r>
        <w:t xml:space="preserve">appel_ia. La stabilité des propositions se mesure par le jeu de</w:t>
      </w:r>
      <w:r>
        <w:t xml:space="preserve"> </w:t>
      </w:r>
      <w:r>
        <w:t xml:space="preserve">questions de la section B11.5, et non par une exigence d’identité</w:t>
      </w:r>
      <w:r>
        <w:t xml:space="preserve"> </w:t>
      </w:r>
      <w:r>
        <w:t xml:space="preserve">stricte que les fournisseurs ne garantissent pas. Le socle</w:t>
      </w:r>
      <w:r>
        <w:t xml:space="preserve"> </w:t>
      </w:r>
      <w:r>
        <w:t xml:space="preserve">d’indicateurs restitué, lui, ne dépend jamais de l’IA (P5).</w:t>
      </w:r>
    </w:p>
    <w:p>
      <w:pPr>
        <w:numPr>
          <w:ilvl w:val="0"/>
          <w:numId w:val="1053"/>
        </w:numPr>
        <w:pStyle w:val="Compact"/>
      </w:pPr>
      <w:r>
        <w:rPr>
          <w:bCs/>
          <w:b/>
        </w:rPr>
        <w:t xml:space="preserve">Aucun chiffre produit par l’IA.</w:t>
      </w:r>
      <w:r>
        <w:t xml:space="preserve"> </w:t>
      </w:r>
      <w:r>
        <w:t xml:space="preserve">Les valeurs affichées</w:t>
      </w:r>
      <w:r>
        <w:t xml:space="preserve"> </w:t>
      </w:r>
      <w:r>
        <w:t xml:space="preserve">proviennent exclusivement de resultat_valeur. Le résumé F3 reçoit</w:t>
      </w:r>
      <w:r>
        <w:t xml:space="preserve"> </w:t>
      </w:r>
      <w:r>
        <w:t xml:space="preserve">les valeurs calculées et ne peut qu’en parler ; tout chiffre du</w:t>
      </w:r>
      <w:r>
        <w:t xml:space="preserve"> </w:t>
      </w:r>
      <w:r>
        <w:t xml:space="preserve">résumé est vérifié automatiquement par rapprochement avec les</w:t>
      </w:r>
      <w:r>
        <w:t xml:space="preserve"> </w:t>
      </w:r>
      <w:r>
        <w:t xml:space="preserve">résultats, et le résumé est écarté en cas d’écart.</w:t>
      </w:r>
    </w:p>
    <w:p>
      <w:pPr>
        <w:numPr>
          <w:ilvl w:val="0"/>
          <w:numId w:val="1053"/>
        </w:numPr>
        <w:pStyle w:val="Compact"/>
      </w:pPr>
      <w:r>
        <w:rPr>
          <w:bCs/>
          <w:b/>
        </w:rPr>
        <w:t xml:space="preserve">Éléments protégés.</w:t>
      </w:r>
      <w:r>
        <w:t xml:space="preserve"> </w:t>
      </w:r>
      <w:r>
        <w:t xml:space="preserve">F4 refuse toute demande portant sur les</w:t>
      </w:r>
      <w:r>
        <w:t xml:space="preserve"> </w:t>
      </w:r>
      <w:r>
        <w:t xml:space="preserve">équations comptables, les règles de fermeture ou la structure de la</w:t>
      </w:r>
      <w:r>
        <w:t xml:space="preserve"> </w:t>
      </w:r>
      <w:r>
        <w:t xml:space="preserve">matrice (MOD-EF-59), et renvoie au responsable du modèle.</w:t>
      </w:r>
    </w:p>
    <w:p>
      <w:pPr>
        <w:numPr>
          <w:ilvl w:val="0"/>
          <w:numId w:val="1053"/>
        </w:numPr>
        <w:pStyle w:val="Compact"/>
      </w:pPr>
      <w:r>
        <w:rPr>
          <w:bCs/>
          <w:b/>
        </w:rPr>
        <w:t xml:space="preserve">Sensibilité.</w:t>
      </w:r>
      <w:r>
        <w:t xml:space="preserve"> </w:t>
      </w:r>
      <w:r>
        <w:t xml:space="preserve">Le niveau de classification (MOD-ENF-11) détermine ce</w:t>
      </w:r>
      <w:r>
        <w:t xml:space="preserve"> </w:t>
      </w:r>
      <w:r>
        <w:t xml:space="preserve">qui est transmis : en mode restreint (MOD-ENF-14), F1 et F2 fonctionnent</w:t>
      </w:r>
      <w:r>
        <w:t xml:space="preserve"> </w:t>
      </w:r>
      <w:r>
        <w:t xml:space="preserve">sur les seules métadonnées du référentiel, F3 est désactivée et le</w:t>
      </w:r>
      <w:r>
        <w:t xml:space="preserve"> </w:t>
      </w:r>
      <w:r>
        <w:t xml:space="preserve">résumé n’est pas produit. Aucune donnée classée sensible ne part</w:t>
      </w:r>
      <w:r>
        <w:t xml:space="preserve"> </w:t>
      </w:r>
      <w:r>
        <w:t xml:space="preserve">vers un service externe tant que le principe n’est pas confirmé</w:t>
      </w:r>
      <w:r>
        <w:t xml:space="preserve"> </w:t>
      </w:r>
      <w:r>
        <w:t xml:space="preserve">(MOD-ENF-16).</w:t>
      </w:r>
    </w:p>
    <w:p>
      <w:pPr>
        <w:numPr>
          <w:ilvl w:val="0"/>
          <w:numId w:val="1053"/>
        </w:numPr>
        <w:pStyle w:val="Compact"/>
      </w:pPr>
      <w:r>
        <w:rPr>
          <w:bCs/>
          <w:b/>
        </w:rPr>
        <w:t xml:space="preserve">Journalisation.</w:t>
      </w:r>
      <w:r>
        <w:t xml:space="preserve"> </w:t>
      </w:r>
      <w:r>
        <w:t xml:space="preserve">Chaque appel enregistre fonction, modèle d’IA,</w:t>
      </w:r>
      <w:r>
        <w:t xml:space="preserve"> </w:t>
      </w:r>
      <w:r>
        <w:t xml:space="preserve">volumétrie, coût estimé, niveau de sensibilité transmis, statut,</w:t>
      </w:r>
      <w:r>
        <w:t xml:space="preserve"> </w:t>
      </w:r>
      <w:r>
        <w:t xml:space="preserve">durée, et l’identifiant de la simulation concernée.</w:t>
      </w:r>
    </w:p>
    <w:p>
      <w:pPr>
        <w:numPr>
          <w:ilvl w:val="0"/>
          <w:numId w:val="1053"/>
        </w:numPr>
        <w:pStyle w:val="Compact"/>
      </w:pPr>
      <w:r>
        <w:rPr>
          <w:bCs/>
          <w:b/>
        </w:rPr>
        <w:t xml:space="preserve">Plafonds.</w:t>
      </w:r>
      <w:r>
        <w:t xml:space="preserve"> </w:t>
      </w:r>
      <w:r>
        <w:t xml:space="preserve">Quota paramétrable par utilisateur et par jour, et</w:t>
      </w:r>
      <w:r>
        <w:t xml:space="preserve"> </w:t>
      </w:r>
      <w:r>
        <w:t xml:space="preserve">plafond global mensuel ; au-delà, l’IA est désactivée et le mode</w:t>
      </w:r>
      <w:r>
        <w:t xml:space="preserve"> </w:t>
      </w:r>
      <w:r>
        <w:t xml:space="preserve">expert reste disponible.</w:t>
      </w:r>
    </w:p>
    <w:bookmarkEnd w:id="327"/>
    <w:bookmarkStart w:id="328" w:name="b11.4-mode-expert-sans-ia"/>
    <w:p>
      <w:pPr>
        <w:pStyle w:val="Heading3"/>
      </w:pPr>
      <w:r>
        <w:t xml:space="preserve">B11.4 Mode expert, sans IA</w:t>
      </w:r>
    </w:p>
    <w:p>
      <w:pPr>
        <w:pStyle w:val="FirstParagraph"/>
      </w:pPr>
      <w:r>
        <w:t xml:space="preserve">L’ensemble du cycle doit être réalisable sans aucun appel à l’IA :</w:t>
      </w:r>
      <w:r>
        <w:t xml:space="preserve"> </w:t>
      </w:r>
      <w:r>
        <w:t xml:space="preserve">sélection du modèle dans une liste, saisie des chocs dans un formulaire</w:t>
      </w:r>
      <w:r>
        <w:t xml:space="preserve"> </w:t>
      </w:r>
      <w:r>
        <w:t xml:space="preserve">construit à partir des parametre_choc déclarés, exécution, restitution</w:t>
      </w:r>
      <w:r>
        <w:t xml:space="preserve"> </w:t>
      </w:r>
      <w:r>
        <w:t xml:space="preserve">du socle d’indicateurs, export. Cette exigence est structurante : elle</w:t>
      </w:r>
      <w:r>
        <w:t xml:space="preserve"> </w:t>
      </w:r>
      <w:r>
        <w:t xml:space="preserve">garantit la continuité de service en cas d’indisponibilité ou de</w:t>
      </w:r>
      <w:r>
        <w:t xml:space="preserve"> </w:t>
      </w:r>
      <w:r>
        <w:t xml:space="preserve">non-confirmation du recours à un service externe, et elle sert de</w:t>
      </w:r>
      <w:r>
        <w:t xml:space="preserve"> </w:t>
      </w:r>
      <w:r>
        <w:t xml:space="preserve">référence pour vérifier que l’IA ne fait que traduire.</w:t>
      </w:r>
    </w:p>
    <w:bookmarkEnd w:id="328"/>
    <w:bookmarkStart w:id="329" w:name="b11.5-tests-de-la-couche-ia"/>
    <w:p>
      <w:pPr>
        <w:pStyle w:val="Heading3"/>
      </w:pPr>
      <w:r>
        <w:t xml:space="preserve">B11.5 Tests de la couche IA</w:t>
      </w:r>
    </w:p>
    <w:p>
      <w:pPr>
        <w:pStyle w:val="FirstParagraph"/>
      </w:pPr>
      <w:r>
        <w:t xml:space="preserve">Un jeu de trente questions types, validé par les économistes de la</w:t>
      </w:r>
      <w:r>
        <w:t xml:space="preserve"> </w:t>
      </w:r>
      <w:r>
        <w:t xml:space="preserve">direction, sert de test de régression : pour chacune, le modèle attendu,</w:t>
      </w:r>
      <w:r>
        <w:t xml:space="preserve"> </w:t>
      </w:r>
      <w:r>
        <w:t xml:space="preserve">les paramètres attendus et la période attendue. Le jeu est rejoué à</w:t>
      </w:r>
      <w:r>
        <w:t xml:space="preserve"> </w:t>
      </w:r>
      <w:r>
        <w:t xml:space="preserve">chaque changement d’invite, de modèle d’IA ou de fournisseur, et le taux</w:t>
      </w:r>
      <w:r>
        <w:t xml:space="preserve"> </w:t>
      </w:r>
      <w:r>
        <w:t xml:space="preserve">de traduction correcte est consigné. Un taux inférieur au seuil convenu</w:t>
      </w:r>
      <w:r>
        <w:t xml:space="preserve"> </w:t>
      </w:r>
      <w:r>
        <w:t xml:space="preserve">bloque la mise en production du changement.</w:t>
      </w:r>
    </w:p>
    <w:bookmarkEnd w:id="329"/>
    <w:bookmarkEnd w:id="330"/>
    <w:bookmarkEnd w:id="331"/>
    <w:bookmarkStart w:id="342" w:name="parcours-utilisateur-et-écrans"/>
    <w:p>
      <w:pPr>
        <w:pStyle w:val="Heading1"/>
      </w:pPr>
      <w:r>
        <w:t xml:space="preserve">21. Parcours utilisateur et écrans</w:t>
      </w:r>
    </w:p>
    <w:p>
      <w:pPr>
        <w:pStyle w:val="FirstParagraph"/>
      </w:pPr>
      <w:r>
        <w:t xml:space="preserve">Douze écrans couvrent l’ensemble des exigences fonctionnelles. Pour</w:t>
      </w:r>
      <w:r>
        <w:t xml:space="preserve"> </w:t>
      </w:r>
      <w:r>
        <w:t xml:space="preserve">chacun : ce qu’il montre, ce qu’on y fait, et les règles à respecter.</w:t>
      </w:r>
    </w:p>
    <w:bookmarkStart w:id="332" w:name="écrans-analyste-et-décideur"/>
    <w:p>
      <w:pPr>
        <w:pStyle w:val="Heading2"/>
      </w:pPr>
      <w:r>
        <w:t xml:space="preserve">21.1 Écrans analyste et décideur</w:t>
      </w:r>
    </w:p>
    <w:p>
      <w:pPr>
        <w:pStyle w:val="FirstParagraph"/>
      </w:pPr>
      <w:r>
        <w:rPr>
          <w:bCs/>
          <w:b/>
        </w:rPr>
        <w:t xml:space="preserve">E1 — Conversation.</w:t>
      </w:r>
      <w:r>
        <w:t xml:space="preserve"> </w:t>
      </w:r>
      <w:r>
        <w:t xml:space="preserve">Fil de discussion, question de l’utilisateur à</w:t>
      </w:r>
      <w:r>
        <w:t xml:space="preserve"> </w:t>
      </w:r>
      <w:r>
        <w:t xml:space="preserve">droite, réponses à gauche. À chaque étape, des suggestions cliquables et</w:t>
      </w:r>
    </w:p>
    <w:bookmarkEnd w:id="332"/>
    <w:bookmarkStart w:id="338" w:name="X6dc053bdc16755d80c97ea5ff784daf3aed4fce"/>
    <w:p>
      <w:pPr>
        <w:pStyle w:val="Heading2"/>
      </w:pPr>
      <w:r>
        <w:t xml:space="preserve">B12. Règles de gestion, formats et conventions</w:t>
      </w:r>
    </w:p>
    <w:bookmarkStart w:id="333" w:name="b12.1-unités-précision-et-affichage"/>
    <w:p>
      <w:pPr>
        <w:pStyle w:val="Heading3"/>
      </w:pPr>
      <w:r>
        <w:t xml:space="preserve">B12.1 Unités, précision et affichage</w:t>
      </w:r>
    </w:p>
    <w:tbl>
      <w:tblPr>
        <w:tblStyle w:val="Table"/>
        <w:tblW w:type="dxa" w:w="9354"/>
        <w:tblLayout w:type="fixed"/>
        <w:tblLook w:firstRow="1" w:lastRow="0" w:firstColumn="0" w:lastColumn="0" w:noHBand="0" w:noVBand="0" w:val="0020"/>
        <w:jc w:val="start"/>
      </w:tblPr>
      <w:tblGrid>
        <w:gridCol w:w="4053"/>
        <w:gridCol w:w="5301"/>
      </w:tblGrid>
      <w:tr>
        <w:trPr>
          <w:tblHeader w:val="true"/>
        </w:trPr>
        <w:tc>
          <w:tcPr/>
          <w:p>
            <w:pPr>
              <w:pStyle w:val="Compact"/>
              <w:jc w:val="left"/>
            </w:pPr>
            <w:r>
              <w:t xml:space="preserve">Règle</w:t>
            </w:r>
          </w:p>
        </w:tc>
        <w:tc>
          <w:tcPr/>
          <w:p>
            <w:pPr>
              <w:pStyle w:val="Compact"/>
              <w:jc w:val="left"/>
            </w:pPr>
            <w:r>
              <w:t xml:space="preserve">Valeur retenue</w:t>
            </w:r>
          </w:p>
        </w:tc>
      </w:tr>
      <w:tr>
        <w:tc>
          <w:tcPr/>
          <w:p>
            <w:pPr>
              <w:pStyle w:val="Compact"/>
              <w:jc w:val="left"/>
            </w:pPr>
            <w:r>
              <w:t xml:space="preserve">Monnaie</w:t>
            </w:r>
          </w:p>
        </w:tc>
        <w:tc>
          <w:tcPr/>
          <w:p>
            <w:pPr>
              <w:pStyle w:val="Compact"/>
              <w:jc w:val="left"/>
            </w:pPr>
            <w:r>
              <w:t xml:space="preserve">Franc guinéen (GNF) ; les modèles exprimés en milliards conservent leur unité, déclarée par indicateur</w:t>
            </w:r>
          </w:p>
        </w:tc>
      </w:tr>
      <w:tr>
        <w:tc>
          <w:tcPr/>
          <w:p>
            <w:pPr>
              <w:pStyle w:val="Compact"/>
              <w:jc w:val="left"/>
            </w:pPr>
            <w:r>
              <w:t xml:space="preserve">Stockage des valeurs</w:t>
            </w:r>
          </w:p>
        </w:tc>
        <w:tc>
          <w:tcPr/>
          <w:p>
            <w:pPr>
              <w:pStyle w:val="Compact"/>
              <w:jc w:val="left"/>
            </w:pPr>
            <w:r>
              <w:t xml:space="preserve">Pleine précision renvoyée par le moteur, sans arrondi</w:t>
            </w:r>
          </w:p>
        </w:tc>
      </w:tr>
      <w:tr>
        <w:tc>
          <w:tcPr/>
          <w:p>
            <w:pPr>
              <w:pStyle w:val="Compact"/>
              <w:jc w:val="left"/>
            </w:pPr>
            <w:r>
              <w:t xml:space="preserve">Affichage des niveaux</w:t>
            </w:r>
          </w:p>
        </w:tc>
        <w:tc>
          <w:tcPr/>
          <w:p>
            <w:pPr>
              <w:pStyle w:val="Compact"/>
              <w:jc w:val="left"/>
            </w:pPr>
            <w:r>
              <w:t xml:space="preserve">Séparateur de milliers espace fine, un chiffre après la virgule par défaut</w:t>
            </w:r>
          </w:p>
        </w:tc>
      </w:tr>
      <w:tr>
        <w:tc>
          <w:tcPr/>
          <w:p>
            <w:pPr>
              <w:pStyle w:val="Compact"/>
              <w:jc w:val="left"/>
            </w:pPr>
            <w:r>
              <w:t xml:space="preserve">Affichage des taux et écarts</w:t>
            </w:r>
          </w:p>
        </w:tc>
        <w:tc>
          <w:tcPr/>
          <w:p>
            <w:pPr>
              <w:pStyle w:val="Compact"/>
              <w:jc w:val="left"/>
            </w:pPr>
            <w:r>
              <w:t xml:space="preserve">Un chiffre après la virgule, signe toujours affiché pour un écart</w:t>
            </w:r>
          </w:p>
        </w:tc>
      </w:tr>
      <w:tr>
        <w:tc>
          <w:tcPr/>
          <w:p>
            <w:pPr>
              <w:pStyle w:val="Compact"/>
              <w:jc w:val="left"/>
            </w:pPr>
            <w:r>
              <w:t xml:space="preserve">Séparateur décimal</w:t>
            </w:r>
          </w:p>
        </w:tc>
        <w:tc>
          <w:tcPr/>
          <w:p>
            <w:pPr>
              <w:pStyle w:val="Compact"/>
              <w:jc w:val="left"/>
            </w:pPr>
            <w:r>
              <w:t xml:space="preserve">Virgule à l’affichage, point dans les fichiers d’échange</w:t>
            </w:r>
          </w:p>
        </w:tc>
      </w:tr>
      <w:tr>
        <w:tc>
          <w:tcPr/>
          <w:p>
            <w:pPr>
              <w:pStyle w:val="Compact"/>
              <w:jc w:val="left"/>
            </w:pPr>
            <w:r>
              <w:t xml:space="preserve">Périodes</w:t>
            </w:r>
          </w:p>
        </w:tc>
        <w:tc>
          <w:tcPr/>
          <w:p>
            <w:pPr>
              <w:pStyle w:val="Compact"/>
              <w:jc w:val="left"/>
            </w:pPr>
            <w:r>
              <w:t xml:space="preserve">Année sur quatre chiffres ; trimestre au format 2026T1</w:t>
            </w:r>
          </w:p>
        </w:tc>
      </w:tr>
      <w:tr>
        <w:tc>
          <w:tcPr/>
          <w:p>
            <w:pPr>
              <w:pStyle w:val="Compact"/>
              <w:jc w:val="left"/>
            </w:pPr>
            <w:r>
              <w:t xml:space="preserve">Horodatage</w:t>
            </w:r>
          </w:p>
        </w:tc>
        <w:tc>
          <w:tcPr/>
          <w:p>
            <w:pPr>
              <w:pStyle w:val="Compact"/>
              <w:jc w:val="left"/>
            </w:pPr>
            <w:r>
              <w:t xml:space="preserve">Stocké en UTC, affiché à l’heure de Conakry</w:t>
            </w:r>
          </w:p>
        </w:tc>
      </w:tr>
      <w:tr>
        <w:tc>
          <w:tcPr/>
          <w:p>
            <w:pPr>
              <w:pStyle w:val="Compact"/>
              <w:jc w:val="left"/>
            </w:pPr>
            <w:r>
              <w:t xml:space="preserve">Dates dans les fichiers</w:t>
            </w:r>
          </w:p>
        </w:tc>
        <w:tc>
          <w:tcPr/>
          <w:p>
            <w:pPr>
              <w:pStyle w:val="Compact"/>
              <w:jc w:val="left"/>
            </w:pPr>
            <w:r>
              <w:t xml:space="preserve">ISO 8601</w:t>
            </w:r>
          </w:p>
        </w:tc>
      </w:tr>
      <w:tr>
        <w:tc>
          <w:tcPr/>
          <w:p>
            <w:pPr>
              <w:pStyle w:val="Compact"/>
              <w:jc w:val="left"/>
            </w:pPr>
            <w:r>
              <w:t xml:space="preserve">Encodage</w:t>
            </w:r>
          </w:p>
        </w:tc>
        <w:tc>
          <w:tcPr/>
          <w:p>
            <w:pPr>
              <w:pStyle w:val="Compact"/>
              <w:jc w:val="left"/>
            </w:pPr>
            <w:r>
              <w:t xml:space="preserve">UTF-8 partout, y compris dans les fichiers d’import et d’export</w:t>
            </w:r>
          </w:p>
        </w:tc>
      </w:tr>
    </w:tbl>
    <w:bookmarkEnd w:id="333"/>
    <w:bookmarkStart w:id="334" w:name="b12.2-nommage"/>
    <w:p>
      <w:pPr>
        <w:pStyle w:val="Heading3"/>
      </w:pPr>
      <w:r>
        <w:t xml:space="preserve">B12.2 Nommage</w:t>
      </w:r>
    </w:p>
    <w:p>
      <w:pPr>
        <w:numPr>
          <w:ilvl w:val="0"/>
          <w:numId w:val="1054"/>
        </w:numPr>
        <w:pStyle w:val="Compact"/>
      </w:pPr>
      <w:r>
        <w:t xml:space="preserve">Code de modèle : majuscules et tirets bas, stable dans le temps,</w:t>
      </w:r>
      <w:r>
        <w:t xml:space="preserve"> </w:t>
      </w:r>
      <w:r>
        <w:t xml:space="preserve">jamais réutilisé après archivage.</w:t>
      </w:r>
    </w:p>
    <w:p>
      <w:pPr>
        <w:numPr>
          <w:ilvl w:val="0"/>
          <w:numId w:val="1054"/>
        </w:numPr>
        <w:pStyle w:val="Compact"/>
      </w:pPr>
      <w:r>
        <w:t xml:space="preserve">Nom technique de variable : reprend exactement le symbole du moteur,</w:t>
      </w:r>
      <w:r>
        <w:t xml:space="preserve"> </w:t>
      </w:r>
      <w:r>
        <w:t xml:space="preserve">sensible à la casse, jamais traduit.</w:t>
      </w:r>
    </w:p>
    <w:p>
      <w:pPr>
        <w:numPr>
          <w:ilvl w:val="0"/>
          <w:numId w:val="1054"/>
        </w:numPr>
        <w:pStyle w:val="Compact"/>
      </w:pPr>
      <w:r>
        <w:t xml:space="preserve">Libellé : en français, sans abréviation non expliquée, c’est le seul</w:t>
      </w:r>
      <w:r>
        <w:t xml:space="preserve"> </w:t>
      </w:r>
      <w:r>
        <w:t xml:space="preserve">texte présenté à l’utilisateur final.</w:t>
      </w:r>
    </w:p>
    <w:p>
      <w:pPr>
        <w:numPr>
          <w:ilvl w:val="0"/>
          <w:numId w:val="1054"/>
        </w:numPr>
        <w:pStyle w:val="Compact"/>
      </w:pPr>
      <w:r>
        <w:t xml:space="preserve">Nom de fichier d’export : code du modèle, identifiant court de</w:t>
      </w:r>
      <w:r>
        <w:t xml:space="preserve"> </w:t>
      </w:r>
      <w:r>
        <w:t xml:space="preserve">simulation, date au format AAAAMMJJ, extension.</w:t>
      </w:r>
    </w:p>
    <w:p>
      <w:pPr>
        <w:numPr>
          <w:ilvl w:val="0"/>
          <w:numId w:val="1054"/>
        </w:numPr>
        <w:pStyle w:val="Compact"/>
      </w:pPr>
      <w:r>
        <w:t xml:space="preserve">Version de base de référence : incrémentale par code de base, jamais</w:t>
      </w:r>
      <w:r>
        <w:t xml:space="preserve"> </w:t>
      </w:r>
      <w:r>
        <w:t xml:space="preserve">réattribuée.</w:t>
      </w:r>
    </w:p>
    <w:bookmarkEnd w:id="334"/>
    <w:bookmarkStart w:id="335" w:name="b12.3-formats-dimport"/>
    <w:p>
      <w:pPr>
        <w:pStyle w:val="Heading3"/>
      </w:pPr>
      <w:r>
        <w:t xml:space="preserve">B12.3 Formats d’import</w:t>
      </w:r>
    </w:p>
    <w:p>
      <w:pPr>
        <w:pStyle w:val="FirstParagraph"/>
      </w:pPr>
      <w:r>
        <w:rPr>
          <w:bCs/>
          <w:b/>
        </w:rPr>
        <w:t xml:space="preserve">Matrice de comptabilité sociale.</w:t>
      </w:r>
      <w:r>
        <w:t xml:space="preserve"> </w:t>
      </w:r>
      <w:r>
        <w:t xml:space="preserve">Fichier Excel ou CSV, une feuille</w:t>
      </w:r>
      <w:r>
        <w:t xml:space="preserve"> </w:t>
      </w:r>
      <w:r>
        <w:t xml:space="preserve">de données, première ligne et première colonne portant les noms de</w:t>
      </w:r>
      <w:r>
        <w:t xml:space="preserve"> </w:t>
      </w:r>
      <w:r>
        <w:t xml:space="preserve">comptes, cellules numériques uniquement. Contrôles à l’import : matrice</w:t>
      </w:r>
      <w:r>
        <w:t xml:space="preserve"> </w:t>
      </w:r>
      <w:r>
        <w:t xml:space="preserve">carrée, noms de comptes identiques en ligne et en colonne, aucune</w:t>
      </w:r>
      <w:r>
        <w:t xml:space="preserve"> </w:t>
      </w:r>
      <w:r>
        <w:t xml:space="preserve">cellule non numérique, totaux lignes et colonnes égaux compte par compte</w:t>
      </w:r>
      <w:r>
        <w:t xml:space="preserve"> </w:t>
      </w:r>
      <w:r>
        <w:t xml:space="preserve">dans la tolérance déclarée, absence de compte orphelin. Un rapport</w:t>
      </w:r>
      <w:r>
        <w:t xml:space="preserve"> </w:t>
      </w:r>
      <w:r>
        <w:t xml:space="preserve">d’erreurs listant les comptes fautifs est renvoyé en cas d’échec.</w:t>
      </w:r>
    </w:p>
    <w:p>
      <w:pPr>
        <w:pStyle w:val="BodyText"/>
      </w:pPr>
      <w:r>
        <w:rPr>
          <w:bCs/>
          <w:b/>
        </w:rPr>
        <w:t xml:space="preserve">Séries macroéconomiques.</w:t>
      </w:r>
      <w:r>
        <w:t xml:space="preserve"> </w:t>
      </w:r>
      <w:r>
        <w:t xml:space="preserve">Format long obligatoire : code de série,</w:t>
      </w:r>
      <w:r>
        <w:t xml:space="preserve"> </w:t>
      </w:r>
      <w:r>
        <w:t xml:space="preserve">période, valeur, unité, source. Contrôles : fréquence homogène par</w:t>
      </w:r>
      <w:r>
        <w:t xml:space="preserve"> </w:t>
      </w:r>
      <w:r>
        <w:t xml:space="preserve">série, absence de doublon de couple série-période, continuité signalée</w:t>
      </w:r>
      <w:r>
        <w:t xml:space="preserve"> </w:t>
      </w:r>
      <w:r>
        <w:t xml:space="preserve">en cas de trou, unité déclarée et cohérente avec le dictionnaire,</w:t>
      </w:r>
      <w:r>
        <w:t xml:space="preserve"> </w:t>
      </w:r>
      <w:r>
        <w:t xml:space="preserve">valeurs numériques.</w:t>
      </w:r>
    </w:p>
    <w:p>
      <w:pPr>
        <w:pStyle w:val="BodyText"/>
      </w:pPr>
      <w:r>
        <w:rPr>
          <w:bCs/>
          <w:b/>
        </w:rPr>
        <w:t xml:space="preserve">Comptes sectoriels.</w:t>
      </w:r>
      <w:r>
        <w:t xml:space="preserve"> </w:t>
      </w:r>
      <w:r>
        <w:t xml:space="preserve">Structure déclarée par modèle dans sa fiche</w:t>
      </w:r>
      <w:r>
        <w:t xml:space="preserve"> </w:t>
      </w:r>
      <w:r>
        <w:t xml:space="preserve">d’identité, avec la liste des colonnes attendues ; les contrôles sont</w:t>
      </w:r>
      <w:r>
        <w:t xml:space="preserve"> </w:t>
      </w:r>
      <w:r>
        <w:t xml:space="preserve">ceux déclarés pour ce modèle.</w:t>
      </w:r>
    </w:p>
    <w:bookmarkEnd w:id="335"/>
    <w:bookmarkStart w:id="336" w:name="b12.4-règles-de-gestion"/>
    <w:p>
      <w:pPr>
        <w:pStyle w:val="Heading3"/>
      </w:pPr>
      <w:r>
        <w:t xml:space="preserve">B12.4 Règles de gestion</w:t>
      </w:r>
    </w:p>
    <w:p>
      <w:pPr>
        <w:numPr>
          <w:ilvl w:val="0"/>
          <w:numId w:val="1055"/>
        </w:numPr>
        <w:pStyle w:val="Compact"/>
      </w:pPr>
      <w:r>
        <w:t xml:space="preserve">Un choc exprimé en pourcentage s’applique à la valeur du scénario de</w:t>
      </w:r>
      <w:r>
        <w:t xml:space="preserve"> </w:t>
      </w:r>
      <w:r>
        <w:t xml:space="preserve">référence pour la même période, jamais à la valeur de l’année de</w:t>
      </w:r>
      <w:r>
        <w:t xml:space="preserve"> </w:t>
      </w:r>
      <w:r>
        <w:t xml:space="preserve">base, sauf mention contraire dans la fiche d’identité du paramètre.</w:t>
      </w:r>
    </w:p>
    <w:p>
      <w:pPr>
        <w:numPr>
          <w:ilvl w:val="0"/>
          <w:numId w:val="1055"/>
        </w:numPr>
        <w:pStyle w:val="Compact"/>
      </w:pPr>
      <w:r>
        <w:t xml:space="preserve">Un choc permanent s’applique de son année de début jusqu’à la fin de</w:t>
      </w:r>
      <w:r>
        <w:t xml:space="preserve"> </w:t>
      </w:r>
      <w:r>
        <w:t xml:space="preserve">l’horizon du scénario.</w:t>
      </w:r>
    </w:p>
    <w:p>
      <w:pPr>
        <w:numPr>
          <w:ilvl w:val="0"/>
          <w:numId w:val="1055"/>
        </w:numPr>
        <w:pStyle w:val="Compact"/>
      </w:pPr>
      <w:r>
        <w:t xml:space="preserve">Deux chocs portant sur le même paramètre, le même index et la même</w:t>
      </w:r>
      <w:r>
        <w:t xml:space="preserve"> </w:t>
      </w:r>
      <w:r>
        <w:t xml:space="preserve">période sont interdits au sein d’un même scénario.</w:t>
      </w:r>
    </w:p>
    <w:p>
      <w:pPr>
        <w:numPr>
          <w:ilvl w:val="0"/>
          <w:numId w:val="1055"/>
        </w:numPr>
        <w:pStyle w:val="Compact"/>
      </w:pPr>
      <w:r>
        <w:t xml:space="preserve">L’écart en pourcentage n’est pas calculé lorsque la valeur de</w:t>
      </w:r>
      <w:r>
        <w:t xml:space="preserve"> </w:t>
      </w:r>
      <w:r>
        <w:t xml:space="preserve">référence est nulle ; la cellule affiche une mention explicite,</w:t>
      </w:r>
      <w:r>
        <w:t xml:space="preserve"> </w:t>
      </w:r>
      <w:r>
        <w:t xml:space="preserve">jamais zéro ni l’infini.</w:t>
      </w:r>
    </w:p>
    <w:p>
      <w:pPr>
        <w:numPr>
          <w:ilvl w:val="0"/>
          <w:numId w:val="1055"/>
        </w:numPr>
        <w:pStyle w:val="Compact"/>
      </w:pPr>
      <w:r>
        <w:t xml:space="preserve">Le taux de croissance est calculé à partir des valeurs pleine</w:t>
      </w:r>
      <w:r>
        <w:t xml:space="preserve"> </w:t>
      </w:r>
      <w:r>
        <w:t xml:space="preserve">précision, jamais des valeurs arrondies affichées.</w:t>
      </w:r>
    </w:p>
    <w:p>
      <w:pPr>
        <w:numPr>
          <w:ilvl w:val="0"/>
          <w:numId w:val="1055"/>
        </w:numPr>
        <w:pStyle w:val="Compact"/>
      </w:pPr>
      <w:r>
        <w:t xml:space="preserve">Une simulation rejouée dont les valeurs diffèrent de l’originale</w:t>
      </w:r>
      <w:r>
        <w:t xml:space="preserve"> </w:t>
      </w:r>
      <w:r>
        <w:t xml:space="preserve">au-delà de la tolérance de rejeu de l’annexe 5 déclenche une alerte</w:t>
      </w:r>
      <w:r>
        <w:t xml:space="preserve"> </w:t>
      </w:r>
      <w:r>
        <w:t xml:space="preserve">: c’est le signal d’une dérive de l’environnement d’exécution, et</w:t>
      </w:r>
      <w:r>
        <w:t xml:space="preserve"> </w:t>
      </w:r>
      <w:r>
        <w:t xml:space="preserve">non un résultat économique.</w:t>
      </w:r>
    </w:p>
    <w:p>
      <w:pPr>
        <w:numPr>
          <w:ilvl w:val="0"/>
          <w:numId w:val="1055"/>
        </w:numPr>
        <w:pStyle w:val="Compact"/>
      </w:pPr>
      <w:r>
        <w:t xml:space="preserve">La suppression d’un paramètre de choc ou d’un indicateur de sortie</w:t>
      </w:r>
      <w:r>
        <w:t xml:space="preserve"> </w:t>
      </w:r>
      <w:r>
        <w:t xml:space="preserve">est interdite dès lors qu’une simulation y fait référence ;</w:t>
      </w:r>
      <w:r>
        <w:t xml:space="preserve"> </w:t>
      </w:r>
      <w:r>
        <w:t xml:space="preserve">l’élément est marqué obsolète et n’est plus proposé.</w:t>
      </w:r>
    </w:p>
    <w:p>
      <w:pPr>
        <w:numPr>
          <w:ilvl w:val="0"/>
          <w:numId w:val="1055"/>
        </w:numPr>
        <w:pStyle w:val="Compact"/>
      </w:pPr>
      <w:r>
        <w:t xml:space="preserve">Les libellés et descriptions sont modifiables sans créer de version</w:t>
      </w:r>
      <w:r>
        <w:t xml:space="preserve"> </w:t>
      </w:r>
      <w:r>
        <w:t xml:space="preserve">de modèle ; les noms techniques, jamais.</w:t>
      </w:r>
    </w:p>
    <w:bookmarkEnd w:id="336"/>
    <w:bookmarkStart w:id="337" w:name="b12.5-configuration-et-secrets"/>
    <w:p>
      <w:pPr>
        <w:pStyle w:val="Heading3"/>
      </w:pPr>
      <w:r>
        <w:t xml:space="preserve">B12.5 Configuration et secrets</w:t>
      </w:r>
    </w:p>
    <w:p>
      <w:pPr>
        <w:pStyle w:val="FirstParagraph"/>
      </w:pPr>
      <w:r>
        <w:t xml:space="preserve">Toute la configuration est externalisée : adresses de service,</w:t>
      </w:r>
      <w:r>
        <w:t xml:space="preserve"> </w:t>
      </w:r>
      <w:r>
        <w:t xml:space="preserve">identifiants de base, clés d’accès au moteur de calcul et au service</w:t>
      </w:r>
      <w:r>
        <w:t xml:space="preserve"> </w:t>
      </w:r>
      <w:r>
        <w:t xml:space="preserve">d’IA, paramètres de quota. Aucun secret dans le code source ni dans les</w:t>
      </w:r>
      <w:r>
        <w:t xml:space="preserve"> </w:t>
      </w:r>
      <w:r>
        <w:t xml:space="preserve">fichiers de configuration versionnés ; stockage dans un coffre ou un</w:t>
      </w:r>
      <w:r>
        <w:t xml:space="preserve"> </w:t>
      </w:r>
      <w:r>
        <w:t xml:space="preserve">gestionnaire de secrets, rotation documentée. Les jeux d’invites de l’IA</w:t>
      </w:r>
      <w:r>
        <w:t xml:space="preserve"> </w:t>
      </w:r>
      <w:r>
        <w:t xml:space="preserve">sont versionnés au même titre que le code.</w:t>
      </w:r>
    </w:p>
    <w:bookmarkEnd w:id="337"/>
    <w:bookmarkEnd w:id="338"/>
    <w:bookmarkStart w:id="341" w:name="Xbe5f79d1f384ad55a32f44a6755c99b507cd738"/>
    <w:p>
      <w:pPr>
        <w:pStyle w:val="Heading2"/>
      </w:pPr>
      <w:r>
        <w:t xml:space="preserve">B13. Critères de réception et hors périmètre</w:t>
      </w:r>
    </w:p>
    <w:bookmarkStart w:id="339" w:name="b13.1-critères-de-réception"/>
    <w:p>
      <w:pPr>
        <w:pStyle w:val="Heading3"/>
      </w:pPr>
      <w:r>
        <w:t xml:space="preserve">B13.1 Critères de réception</w:t>
      </w:r>
    </w:p>
    <w:p>
      <w:pPr>
        <w:pStyle w:val="FirstParagraph"/>
      </w:pPr>
      <w:r>
        <w:t xml:space="preserve">La réception est prononcée par lot. Chaque critère est vérifié en séance,</w:t>
      </w:r>
      <w:r>
        <w:t xml:space="preserve"> </w:t>
      </w:r>
      <w:r>
        <w:rPr>
          <w:bCs/>
          <w:b/>
        </w:rPr>
        <w:t xml:space="preserve">sur les modèles réels de la Direction</w:t>
      </w:r>
      <w:r>
        <w:t xml:space="preserve">, et consigné dans un procès-verbal. Un critère non satisfait suspend la réception du lot concerné.</w:t>
      </w:r>
    </w:p>
    <w:tbl>
      <w:tblPr>
        <w:tblStyle w:val="Table"/>
        <w:tblW w:type="dxa" w:w="9354"/>
        <w:tblLayout w:type="fixed"/>
        <w:tblLook w:firstRow="1" w:lastRow="0" w:firstColumn="0" w:lastColumn="0" w:noHBand="0" w:noVBand="0" w:val="0020"/>
        <w:jc w:val="start"/>
      </w:tblPr>
      <w:tblGrid>
        <w:gridCol w:w="1833"/>
        <w:gridCol w:w="3221"/>
        <w:gridCol w:w="2526"/>
        <w:gridCol w:w="1774"/>
      </w:tblGrid>
      <w:tr>
        <w:trPr>
          <w:tblHeader w:val="true"/>
        </w:trPr>
        <w:tc>
          <w:tcPr/>
          <w:p>
            <w:pPr>
              <w:pStyle w:val="Compact"/>
              <w:jc w:val="left"/>
            </w:pPr>
            <w:r>
              <w:t xml:space="preserve">Réf</w:t>
            </w:r>
          </w:p>
        </w:tc>
        <w:tc>
          <w:tcPr/>
          <w:p>
            <w:pPr>
              <w:pStyle w:val="Compact"/>
              <w:jc w:val="left"/>
            </w:pPr>
            <w:r>
              <w:t xml:space="preserve">Critère</w:t>
            </w:r>
          </w:p>
        </w:tc>
        <w:tc>
          <w:tcPr/>
          <w:p>
            <w:pPr>
              <w:pStyle w:val="Compact"/>
              <w:jc w:val="left"/>
            </w:pPr>
            <w:r>
              <w:t xml:space="preserve">Méthode de vérification</w:t>
            </w:r>
          </w:p>
        </w:tc>
        <w:tc>
          <w:tcPr/>
          <w:p>
            <w:pPr>
              <w:pStyle w:val="Compact"/>
              <w:jc w:val="left"/>
            </w:pPr>
            <w:r>
              <w:t xml:space="preserve">Lot</w:t>
            </w:r>
          </w:p>
        </w:tc>
      </w:tr>
      <w:tr>
        <w:tc>
          <w:tcPr/>
          <w:p>
            <w:pPr>
              <w:pStyle w:val="Compact"/>
              <w:jc w:val="left"/>
            </w:pPr>
            <w:r>
              <w:t xml:space="preserve">CR-01</w:t>
            </w:r>
          </w:p>
        </w:tc>
        <w:tc>
          <w:tcPr/>
          <w:p>
            <w:pPr>
              <w:pStyle w:val="Compact"/>
              <w:jc w:val="left"/>
            </w:pPr>
            <w:r>
              <w:t xml:space="preserve">Pour chaque modèle du périmètre, une version active unique est désignée, avec sa base, son responsable et la date de son dernier calibrage validé</w:t>
            </w:r>
          </w:p>
        </w:tc>
        <w:tc>
          <w:tcPr/>
          <w:p>
            <w:pPr>
              <w:pStyle w:val="Compact"/>
              <w:jc w:val="left"/>
            </w:pPr>
            <w:r>
              <w:t xml:space="preserve">Consultation du référentiel sur l’ensemble du parc</w:t>
            </w:r>
          </w:p>
        </w:tc>
        <w:tc>
          <w:tcPr/>
          <w:p>
            <w:pPr>
              <w:pStyle w:val="Compact"/>
              <w:jc w:val="left"/>
            </w:pPr>
            <w:r>
              <w:t xml:space="preserve">1</w:t>
            </w:r>
          </w:p>
        </w:tc>
      </w:tr>
      <w:tr>
        <w:tc>
          <w:tcPr/>
          <w:p>
            <w:pPr>
              <w:pStyle w:val="Compact"/>
              <w:jc w:val="left"/>
            </w:pPr>
            <w:r>
              <w:t xml:space="preserve">CR-02</w:t>
            </w:r>
          </w:p>
        </w:tc>
        <w:tc>
          <w:tcPr/>
          <w:p>
            <w:pPr>
              <w:pStyle w:val="Compact"/>
              <w:jc w:val="left"/>
            </w:pPr>
            <w:r>
              <w:t xml:space="preserve">Une version déposée ne peut être ni modifiée ni supprimée</w:t>
            </w:r>
          </w:p>
        </w:tc>
        <w:tc>
          <w:tcPr/>
          <w:p>
            <w:pPr>
              <w:pStyle w:val="Compact"/>
              <w:jc w:val="left"/>
            </w:pPr>
            <w:r>
              <w:t xml:space="preserve">Tentative de modification d’une version existante, refus constaté</w:t>
            </w:r>
          </w:p>
        </w:tc>
        <w:tc>
          <w:tcPr/>
          <w:p>
            <w:pPr>
              <w:pStyle w:val="Compact"/>
              <w:jc w:val="left"/>
            </w:pPr>
            <w:r>
              <w:t xml:space="preserve">1</w:t>
            </w:r>
          </w:p>
        </w:tc>
      </w:tr>
      <w:tr>
        <w:tc>
          <w:tcPr/>
          <w:p>
            <w:pPr>
              <w:pStyle w:val="Compact"/>
              <w:jc w:val="left"/>
            </w:pPr>
            <w:r>
              <w:t xml:space="preserve">CR-03</w:t>
            </w:r>
          </w:p>
        </w:tc>
        <w:tc>
          <w:tcPr/>
          <w:p>
            <w:pPr>
              <w:pStyle w:val="Compact"/>
              <w:jc w:val="left"/>
            </w:pPr>
            <w:r>
              <w:t xml:space="preserve">Une simulation est exécutée de bout en bout depuis l’interface, sans manipulation de fichier ni ligne de commande</w:t>
            </w:r>
          </w:p>
        </w:tc>
        <w:tc>
          <w:tcPr/>
          <w:p>
            <w:pPr>
              <w:pStyle w:val="Compact"/>
              <w:jc w:val="left"/>
            </w:pPr>
            <w:r>
              <w:t xml:space="preserve">Exécution en séance d’un choc sur SYLI Standard</w:t>
            </w:r>
          </w:p>
        </w:tc>
        <w:tc>
          <w:tcPr/>
          <w:p>
            <w:pPr>
              <w:pStyle w:val="Compact"/>
              <w:jc w:val="left"/>
            </w:pPr>
            <w:r>
              <w:t xml:space="preserve">2</w:t>
            </w:r>
          </w:p>
        </w:tc>
      </w:tr>
      <w:tr>
        <w:tc>
          <w:tcPr/>
          <w:p>
            <w:pPr>
              <w:pStyle w:val="Compact"/>
              <w:jc w:val="left"/>
            </w:pPr>
            <w:r>
              <w:t xml:space="preserve">CR-04</w:t>
            </w:r>
          </w:p>
        </w:tc>
        <w:tc>
          <w:tcPr/>
          <w:p>
            <w:pPr>
              <w:pStyle w:val="Compact"/>
              <w:jc w:val="left"/>
            </w:pPr>
            <w:r>
              <w:t xml:space="preserve">Les résultats sont extraits du GDX par nom de variable : une modification de l’ordre des variables ne change pas la restitution</w:t>
            </w:r>
          </w:p>
        </w:tc>
        <w:tc>
          <w:tcPr/>
          <w:p>
            <w:pPr>
              <w:pStyle w:val="Compact"/>
              <w:jc w:val="left"/>
            </w:pPr>
            <w:r>
              <w:t xml:space="preserve">Exécution sur une version dont l’ordre des sorties a été modifié, comparaison des tableaux</w:t>
            </w:r>
          </w:p>
        </w:tc>
        <w:tc>
          <w:tcPr/>
          <w:p>
            <w:pPr>
              <w:pStyle w:val="Compact"/>
              <w:jc w:val="left"/>
            </w:pPr>
            <w:r>
              <w:t xml:space="preserve">2</w:t>
            </w:r>
          </w:p>
        </w:tc>
      </w:tr>
      <w:tr>
        <w:tc>
          <w:tcPr/>
          <w:p>
            <w:pPr>
              <w:pStyle w:val="Compact"/>
              <w:jc w:val="left"/>
            </w:pPr>
            <w:r>
              <w:t xml:space="preserve">CR-05</w:t>
            </w:r>
          </w:p>
        </w:tc>
        <w:tc>
          <w:tcPr/>
          <w:p>
            <w:pPr>
              <w:pStyle w:val="Compact"/>
              <w:jc w:val="left"/>
            </w:pPr>
            <w:r>
              <w:t xml:space="preserve">La batterie de contrôles s’exécute automatiquement et son résultat figure dans la fiche de simulation</w:t>
            </w:r>
          </w:p>
        </w:tc>
        <w:tc>
          <w:tcPr/>
          <w:p>
            <w:pPr>
              <w:pStyle w:val="Compact"/>
              <w:jc w:val="left"/>
            </w:pPr>
            <w:r>
              <w:t xml:space="preserve">Lecture de la fiche après exécution</w:t>
            </w:r>
          </w:p>
        </w:tc>
        <w:tc>
          <w:tcPr/>
          <w:p>
            <w:pPr>
              <w:pStyle w:val="Compact"/>
              <w:jc w:val="left"/>
            </w:pPr>
            <w:r>
              <w:t xml:space="preserve">2</w:t>
            </w:r>
          </w:p>
        </w:tc>
      </w:tr>
      <w:tr>
        <w:tc>
          <w:tcPr/>
          <w:p>
            <w:pPr>
              <w:pStyle w:val="Compact"/>
              <w:jc w:val="left"/>
            </w:pPr>
            <w:r>
              <w:t xml:space="preserve">CR-06</w:t>
            </w:r>
          </w:p>
        </w:tc>
        <w:tc>
          <w:tcPr/>
          <w:p>
            <w:pPr>
              <w:pStyle w:val="Compact"/>
              <w:jc w:val="left"/>
            </w:pPr>
            <w:r>
              <w:t xml:space="preserve">Un échec de contrôle bloquant empêche la présentation des résultats comme valides</w:t>
            </w:r>
          </w:p>
        </w:tc>
        <w:tc>
          <w:tcPr/>
          <w:p>
            <w:pPr>
              <w:pStyle w:val="Compact"/>
              <w:jc w:val="left"/>
            </w:pPr>
            <w:r>
              <w:t xml:space="preserve">Exécution sur une version volontairement déséquilibrée</w:t>
            </w:r>
          </w:p>
        </w:tc>
        <w:tc>
          <w:tcPr/>
          <w:p>
            <w:pPr>
              <w:pStyle w:val="Compact"/>
              <w:jc w:val="left"/>
            </w:pPr>
            <w:r>
              <w:t xml:space="preserve">2</w:t>
            </w:r>
          </w:p>
        </w:tc>
      </w:tr>
      <w:tr>
        <w:tc>
          <w:tcPr/>
          <w:p>
            <w:pPr>
              <w:pStyle w:val="Compact"/>
              <w:jc w:val="left"/>
            </w:pPr>
            <w:r>
              <w:t xml:space="preserve">CR-07</w:t>
            </w:r>
          </w:p>
        </w:tc>
        <w:tc>
          <w:tcPr/>
          <w:p>
            <w:pPr>
              <w:pStyle w:val="Compact"/>
              <w:jc w:val="left"/>
            </w:pPr>
            <w:r>
              <w:t xml:space="preserve">Toute simulation passée est retraçable : modèle, version, base, hypothèses, chocs, auteur, date</w:t>
            </w:r>
          </w:p>
        </w:tc>
        <w:tc>
          <w:tcPr/>
          <w:p>
            <w:pPr>
              <w:pStyle w:val="Compact"/>
              <w:jc w:val="left"/>
            </w:pPr>
            <w:r>
              <w:t xml:space="preserve">Reconstitution d’une simulation d’un exercice antérieur</w:t>
            </w:r>
          </w:p>
        </w:tc>
        <w:tc>
          <w:tcPr/>
          <w:p>
            <w:pPr>
              <w:pStyle w:val="Compact"/>
              <w:jc w:val="left"/>
            </w:pPr>
            <w:r>
              <w:t xml:space="preserve">2</w:t>
            </w:r>
          </w:p>
        </w:tc>
      </w:tr>
      <w:tr>
        <w:tc>
          <w:tcPr/>
          <w:p>
            <w:pPr>
              <w:pStyle w:val="Compact"/>
              <w:jc w:val="left"/>
            </w:pPr>
            <w:r>
              <w:t xml:space="preserve">CR-08</w:t>
            </w:r>
          </w:p>
        </w:tc>
        <w:tc>
          <w:tcPr/>
          <w:p>
            <w:pPr>
              <w:pStyle w:val="Compact"/>
              <w:jc w:val="left"/>
            </w:pPr>
            <w:r>
              <w:t xml:space="preserve">Une simulation rejouée à l’identique depuis ses entrées archivées produit les mêmes valeurs, à la tolérance de rejeu près</w:t>
            </w:r>
          </w:p>
        </w:tc>
        <w:tc>
          <w:tcPr/>
          <w:p>
            <w:pPr>
              <w:pStyle w:val="Compact"/>
              <w:jc w:val="left"/>
            </w:pPr>
            <w:r>
              <w:t xml:space="preserve">Réexécution d’une fiche archivée</w:t>
            </w:r>
          </w:p>
        </w:tc>
        <w:tc>
          <w:tcPr/>
          <w:p>
            <w:pPr>
              <w:pStyle w:val="Compact"/>
              <w:jc w:val="left"/>
            </w:pPr>
            <w:r>
              <w:t xml:space="preserve">2</w:t>
            </w:r>
          </w:p>
        </w:tc>
      </w:tr>
      <w:tr>
        <w:tc>
          <w:tcPr/>
          <w:p>
            <w:pPr>
              <w:pStyle w:val="Compact"/>
              <w:jc w:val="left"/>
            </w:pPr>
            <w:r>
              <w:t xml:space="preserve">CR-09</w:t>
            </w:r>
          </w:p>
        </w:tc>
        <w:tc>
          <w:tcPr/>
          <w:p>
            <w:pPr>
              <w:pStyle w:val="Compact"/>
              <w:jc w:val="left"/>
            </w:pPr>
            <w:r>
              <w:t xml:space="preserve">Le produit reste pleinement utilisable sans la couche assistée</w:t>
            </w:r>
          </w:p>
        </w:tc>
        <w:tc>
          <w:tcPr/>
          <w:p>
            <w:pPr>
              <w:pStyle w:val="Compact"/>
              <w:jc w:val="left"/>
            </w:pPr>
            <w:r>
              <w:t xml:space="preserve">Parcours complet en mode expert, service d’IA coupé</w:t>
            </w:r>
          </w:p>
        </w:tc>
        <w:tc>
          <w:tcPr/>
          <w:p>
            <w:pPr>
              <w:pStyle w:val="Compact"/>
              <w:jc w:val="left"/>
            </w:pPr>
            <w:r>
              <w:t xml:space="preserve">4</w:t>
            </w:r>
          </w:p>
        </w:tc>
      </w:tr>
      <w:tr>
        <w:tc>
          <w:tcPr/>
          <w:p>
            <w:pPr>
              <w:pStyle w:val="Compact"/>
              <w:jc w:val="left"/>
            </w:pPr>
            <w:r>
              <w:t xml:space="preserve">CR-10</w:t>
            </w:r>
          </w:p>
        </w:tc>
        <w:tc>
          <w:tcPr/>
          <w:p>
            <w:pPr>
              <w:pStyle w:val="Compact"/>
              <w:jc w:val="left"/>
            </w:pPr>
            <w:r>
              <w:t xml:space="preserve">Aucune donnée du domaine A n’est accessible aux fonctions assistées</w:t>
            </w:r>
          </w:p>
        </w:tc>
        <w:tc>
          <w:tcPr/>
          <w:p>
            <w:pPr>
              <w:pStyle w:val="Compact"/>
              <w:jc w:val="left"/>
            </w:pPr>
            <w:r>
              <w:t xml:space="preserve">Test dédié sur le cloisonnement, journal d’appels vérifié</w:t>
            </w:r>
          </w:p>
        </w:tc>
        <w:tc>
          <w:tcPr/>
          <w:p>
            <w:pPr>
              <w:pStyle w:val="Compact"/>
              <w:jc w:val="left"/>
            </w:pPr>
            <w:r>
              <w:t xml:space="preserve">4</w:t>
            </w:r>
          </w:p>
        </w:tc>
      </w:tr>
      <w:tr>
        <w:tc>
          <w:tcPr/>
          <w:p>
            <w:pPr>
              <w:pStyle w:val="Compact"/>
              <w:jc w:val="left"/>
            </w:pPr>
            <w:r>
              <w:t xml:space="preserve">CR-11</w:t>
            </w:r>
          </w:p>
        </w:tc>
        <w:tc>
          <w:tcPr/>
          <w:p>
            <w:pPr>
              <w:pStyle w:val="Compact"/>
              <w:jc w:val="left"/>
            </w:pPr>
            <w:r>
              <w:t xml:space="preserve">La programmation financière trimestrielle est pilotable de bout en bout depuis le produit, sans manipulation Excel manuelle</w:t>
            </w:r>
          </w:p>
        </w:tc>
        <w:tc>
          <w:tcPr/>
          <w:p>
            <w:pPr>
              <w:pStyle w:val="Compact"/>
              <w:jc w:val="left"/>
            </w:pPr>
            <w:r>
              <w:t xml:space="preserve">Production d’un exercice témoin</w:t>
            </w:r>
          </w:p>
        </w:tc>
        <w:tc>
          <w:tcPr/>
          <w:p>
            <w:pPr>
              <w:pStyle w:val="Compact"/>
              <w:jc w:val="left"/>
            </w:pPr>
            <w:r>
              <w:t xml:space="preserve">6</w:t>
            </w:r>
          </w:p>
        </w:tc>
      </w:tr>
      <w:tr>
        <w:tc>
          <w:tcPr/>
          <w:p>
            <w:pPr>
              <w:pStyle w:val="Compact"/>
              <w:jc w:val="left"/>
            </w:pPr>
            <w:r>
              <w:t xml:space="preserve">CR-12</w:t>
            </w:r>
          </w:p>
        </w:tc>
        <w:tc>
          <w:tcPr/>
          <w:p>
            <w:pPr>
              <w:pStyle w:val="Compact"/>
              <w:jc w:val="left"/>
            </w:pPr>
            <w:r>
              <w:t xml:space="preserve">Non-régression vérifiée sur un exercice témoin pour chaque modèle porté</w:t>
            </w:r>
          </w:p>
        </w:tc>
        <w:tc>
          <w:tcPr/>
          <w:p>
            <w:pPr>
              <w:pStyle w:val="Compact"/>
              <w:jc w:val="left"/>
            </w:pPr>
            <w:r>
              <w:t xml:space="preserve">Comparaison au jeu témoin, tolérance de 10⁻⁴</w:t>
            </w:r>
          </w:p>
        </w:tc>
        <w:tc>
          <w:tcPr/>
          <w:p>
            <w:pPr>
              <w:pStyle w:val="Compact"/>
              <w:jc w:val="left"/>
            </w:pPr>
            <w:r>
              <w:t xml:space="preserve">6</w:t>
            </w:r>
          </w:p>
        </w:tc>
      </w:tr>
      <w:tr>
        <w:tc>
          <w:tcPr/>
          <w:p>
            <w:pPr>
              <w:pStyle w:val="Compact"/>
              <w:jc w:val="left"/>
            </w:pPr>
            <w:r>
              <w:t xml:space="preserve">CR-13</w:t>
            </w:r>
          </w:p>
        </w:tc>
        <w:tc>
          <w:tcPr/>
          <w:p>
            <w:pPr>
              <w:pStyle w:val="Compact"/>
              <w:jc w:val="left"/>
            </w:pPr>
            <w:r>
              <w:t xml:space="preserve">Un exercice trimestriel complet est produit depuis le produit, avec statuts de validation et export</w:t>
            </w:r>
          </w:p>
        </w:tc>
        <w:tc>
          <w:tcPr/>
          <w:p>
            <w:pPr>
              <w:pStyle w:val="Compact"/>
              <w:jc w:val="left"/>
            </w:pPr>
            <w:r>
              <w:t xml:space="preserve">Production du RPEF sur un trimestre réel</w:t>
            </w:r>
          </w:p>
        </w:tc>
        <w:tc>
          <w:tcPr/>
          <w:p>
            <w:pPr>
              <w:pStyle w:val="Compact"/>
              <w:jc w:val="left"/>
            </w:pPr>
            <w:r>
              <w:t xml:space="preserve">7</w:t>
            </w:r>
          </w:p>
        </w:tc>
      </w:tr>
      <w:tr>
        <w:tc>
          <w:tcPr/>
          <w:p>
            <w:pPr>
              <w:pStyle w:val="Compact"/>
              <w:jc w:val="left"/>
            </w:pPr>
            <w:r>
              <w:t xml:space="preserve">CR-14</w:t>
            </w:r>
          </w:p>
        </w:tc>
        <w:tc>
          <w:tcPr/>
          <w:p>
            <w:pPr>
              <w:pStyle w:val="Compact"/>
              <w:jc w:val="left"/>
            </w:pPr>
            <w:r>
              <w:t xml:space="preserve">Un modèle est intégré de bout en bout : fichiers déposés, base désignée, paramètres et indicateurs déclarés, contrôles passés, visa obtenu, puis simulation exécutée</w:t>
            </w:r>
          </w:p>
        </w:tc>
        <w:tc>
          <w:tcPr/>
          <w:p>
            <w:pPr>
              <w:pStyle w:val="Compact"/>
              <w:jc w:val="left"/>
            </w:pPr>
            <w:r>
              <w:t xml:space="preserve">Intégration en séance d’un modèle réel non référencé</w:t>
            </w:r>
          </w:p>
        </w:tc>
        <w:tc>
          <w:tcPr/>
          <w:p>
            <w:pPr>
              <w:pStyle w:val="Compact"/>
              <w:jc w:val="left"/>
            </w:pPr>
            <w:r>
              <w:t xml:space="preserve">1</w:t>
            </w:r>
          </w:p>
        </w:tc>
      </w:tr>
      <w:tr>
        <w:tc>
          <w:tcPr/>
          <w:p>
            <w:pPr>
              <w:pStyle w:val="Compact"/>
              <w:jc w:val="left"/>
            </w:pPr>
            <w:r>
              <w:t xml:space="preserve">CR-15</w:t>
            </w:r>
          </w:p>
        </w:tc>
        <w:tc>
          <w:tcPr/>
          <w:p>
            <w:pPr>
              <w:pStyle w:val="Compact"/>
              <w:jc w:val="left"/>
            </w:pPr>
            <w:r>
              <w:t xml:space="preserve">Un modèle sans version active n’apparaît pas dans l’écran de simulation</w:t>
            </w:r>
          </w:p>
        </w:tc>
        <w:tc>
          <w:tcPr/>
          <w:p>
            <w:pPr>
              <w:pStyle w:val="Compact"/>
              <w:jc w:val="left"/>
            </w:pPr>
            <w:r>
              <w:t xml:space="preserve">Vérification après dépôt et avant visa</w:t>
            </w:r>
          </w:p>
        </w:tc>
        <w:tc>
          <w:tcPr/>
          <w:p>
            <w:pPr>
              <w:pStyle w:val="Compact"/>
              <w:jc w:val="left"/>
            </w:pPr>
            <w:r>
              <w:t xml:space="preserve">1</w:t>
            </w:r>
          </w:p>
        </w:tc>
      </w:tr>
      <w:tr>
        <w:tc>
          <w:tcPr/>
          <w:p>
            <w:pPr>
              <w:pStyle w:val="Compact"/>
              <w:jc w:val="left"/>
            </w:pPr>
            <w:r>
              <w:t xml:space="preserve">CR-16</w:t>
            </w:r>
          </w:p>
        </w:tc>
        <w:tc>
          <w:tcPr/>
          <w:p>
            <w:pPr>
              <w:pStyle w:val="Compact"/>
              <w:jc w:val="left"/>
            </w:pPr>
            <w:r>
              <w:t xml:space="preserve">Une variable non déclarée à l’intégration n’est modifiable par aucun moyen depuis l’interface</w:t>
            </w:r>
          </w:p>
        </w:tc>
        <w:tc>
          <w:tcPr/>
          <w:p>
            <w:pPr>
              <w:pStyle w:val="Compact"/>
              <w:jc w:val="left"/>
            </w:pPr>
            <w:r>
              <w:t xml:space="preserve">Tentative d’appel direct de l’API avec un paramètre non déclaré</w:t>
            </w:r>
          </w:p>
        </w:tc>
        <w:tc>
          <w:tcPr/>
          <w:p>
            <w:pPr>
              <w:pStyle w:val="Compact"/>
              <w:jc w:val="left"/>
            </w:pPr>
            <w:r>
              <w:t xml:space="preserve">2</w:t>
            </w:r>
          </w:p>
        </w:tc>
      </w:tr>
      <w:tr>
        <w:tc>
          <w:tcPr/>
          <w:p>
            <w:pPr>
              <w:pStyle w:val="Compact"/>
              <w:jc w:val="left"/>
            </w:pPr>
            <w:r>
              <w:t xml:space="preserve">CR-17</w:t>
            </w:r>
          </w:p>
        </w:tc>
        <w:tc>
          <w:tcPr/>
          <w:p>
            <w:pPr>
              <w:pStyle w:val="Compact"/>
              <w:jc w:val="left"/>
            </w:pPr>
            <w:r>
              <w:t xml:space="preserve">Un modèle déclarant ses propres indicateurs ne restitue que ceux-là</w:t>
            </w:r>
          </w:p>
        </w:tc>
        <w:tc>
          <w:tcPr/>
          <w:p>
            <w:pPr>
              <w:pStyle w:val="Compact"/>
              <w:jc w:val="left"/>
            </w:pPr>
            <w:r>
              <w:t xml:space="preserve">Comparaison des restitutions de deux modèles de familles différentes</w:t>
            </w:r>
          </w:p>
        </w:tc>
        <w:tc>
          <w:tcPr/>
          <w:p>
            <w:pPr>
              <w:pStyle w:val="Compact"/>
              <w:jc w:val="left"/>
            </w:pPr>
            <w:r>
              <w:t xml:space="preserve">2</w:t>
            </w:r>
          </w:p>
        </w:tc>
      </w:tr>
      <w:tr>
        <w:tc>
          <w:tcPr/>
          <w:p>
            <w:pPr>
              <w:pStyle w:val="Compact"/>
              <w:jc w:val="left"/>
            </w:pPr>
            <w:r>
              <w:t xml:space="preserve">CR-19</w:t>
            </w:r>
          </w:p>
        </w:tc>
        <w:tc>
          <w:tcPr/>
          <w:p>
            <w:pPr>
              <w:pStyle w:val="Compact"/>
              <w:jc w:val="left"/>
            </w:pPr>
            <w:r>
              <w:t xml:space="preserve">Une comparaison portant sur deux versions différentes d’un même modèle le signale explicitement</w:t>
            </w:r>
          </w:p>
        </w:tc>
        <w:tc>
          <w:tcPr/>
          <w:p>
            <w:pPr>
              <w:pStyle w:val="Compact"/>
              <w:jc w:val="left"/>
            </w:pPr>
            <w:r>
              <w:t xml:space="preserve">Comparaison en séance</w:t>
            </w:r>
          </w:p>
        </w:tc>
        <w:tc>
          <w:tcPr/>
          <w:p>
            <w:pPr>
              <w:pStyle w:val="Compact"/>
              <w:jc w:val="left"/>
            </w:pPr>
            <w:r>
              <w:t xml:space="preserve">2</w:t>
            </w:r>
          </w:p>
        </w:tc>
      </w:tr>
      <w:tr>
        <w:tc>
          <w:tcPr/>
          <w:p>
            <w:pPr>
              <w:pStyle w:val="Compact"/>
              <w:jc w:val="left"/>
            </w:pPr>
            <w:r>
              <w:t xml:space="preserve">CR-20</w:t>
            </w:r>
          </w:p>
        </w:tc>
        <w:tc>
          <w:tcPr/>
          <w:p>
            <w:pPr>
              <w:pStyle w:val="Compact"/>
              <w:jc w:val="left"/>
            </w:pPr>
            <w:r>
              <w:t xml:space="preserve">Un test de sensibilité produit une simulation enregistrée par valeur de la plage</w:t>
            </w:r>
          </w:p>
        </w:tc>
        <w:tc>
          <w:tcPr/>
          <w:p>
            <w:pPr>
              <w:pStyle w:val="Compact"/>
              <w:jc w:val="left"/>
            </w:pPr>
            <w:r>
              <w:t xml:space="preserve">Test sur cinq valeurs, vérification de l’historique</w:t>
            </w:r>
          </w:p>
        </w:tc>
        <w:tc>
          <w:tcPr/>
          <w:p>
            <w:pPr>
              <w:pStyle w:val="Compact"/>
              <w:jc w:val="left"/>
            </w:pPr>
            <w:r>
              <w:t xml:space="preserve">2</w:t>
            </w:r>
          </w:p>
        </w:tc>
      </w:tr>
    </w:tbl>
    <w:bookmarkEnd w:id="339"/>
    <w:bookmarkStart w:id="340" w:name="b13.2-hors-périmètre"/>
    <w:p>
      <w:pPr>
        <w:pStyle w:val="Heading3"/>
      </w:pPr>
      <w:r>
        <w:t xml:space="preserve">B13.2 Hors périmètre</w:t>
      </w:r>
    </w:p>
    <w:p>
      <w:pPr>
        <w:pStyle w:val="FirstParagraph"/>
      </w:pPr>
      <w:r>
        <w:t xml:space="preserve">Le modèle de prévision infra-annuelle en conception ; la collecte primaire de données auprès de la BCRG et de l’INS ; la réécriture de tout modèle existant ; l’archivage à valeur probante des rapports ; l’envoi périodique automatique de rapports sans action de l’utilisateur.</w:t>
      </w:r>
    </w:p>
    <w:p>
      <w:pPr>
        <w:pStyle w:val="BodyText"/>
      </w:pPr>
      <w:r>
        <w:rPr>
          <w:iCs/>
          <w:i/>
        </w:rPr>
        <w:t xml:space="preserve">— Fin du dossier —</w:t>
      </w:r>
    </w:p>
    <w:p>
      <w:r>
        <w:br w:type="page"/>
      </w:r>
    </w:p>
    <w:bookmarkEnd w:id="340"/>
    <w:bookmarkEnd w:id="341"/>
    <w:bookmarkEnd w:id="342"/>
    <w:bookmarkStart w:id="367" w:name="annexes"/>
    <w:p>
      <w:pPr>
        <w:pStyle w:val="Heading1"/>
      </w:pPr>
      <w:r>
        <w:t xml:space="preserve">Annexes</w:t>
      </w:r>
    </w:p>
    <w:p>
      <w:pPr>
        <w:pStyle w:val="FirstParagraph"/>
      </w:pPr>
      <w:r>
        <w:t xml:space="preserve">Les annexes 1 à 4 sont</w:t>
      </w:r>
      <w:r>
        <w:t xml:space="preserve"> </w:t>
      </w:r>
      <w:r>
        <w:rPr>
          <w:bCs/>
          <w:b/>
        </w:rPr>
        <w:t xml:space="preserve">contractuelles</w:t>
      </w:r>
      <w:r>
        <w:t xml:space="preserve"> </w:t>
      </w:r>
      <w:r>
        <w:t xml:space="preserve">au même titre que les exigences numérotées : elles fixent qui a le droit de faire quoi, quels objets portent quels états, quelles règles de gestion restent à écrire et combien de temps chaque donnée est conservée. L’annexe 5 est</w:t>
      </w:r>
      <w:r>
        <w:t xml:space="preserve"> </w:t>
      </w:r>
      <w:r>
        <w:rPr>
          <w:bCs/>
          <w:b/>
        </w:rPr>
        <w:t xml:space="preserve">indicative</w:t>
      </w:r>
      <w:r>
        <w:t xml:space="preserve"> </w:t>
      </w:r>
      <w:r>
        <w:t xml:space="preserve">: elle donne les valeurs de départ des contrôles du domaine B, confirmées par les responsables de modèles lors de l’état des lieux.</w:t>
      </w:r>
    </w:p>
    <w:p>
      <w:pPr>
        <w:pStyle w:val="BodyText"/>
      </w:pPr>
      <w:r>
        <w:t xml:space="preserve">L’annexe 2 complète la section 6 de la Partie 0 : celle-ci nomme les objets et fixe leurs contraintes d’intégrité, celle-là en donne les champs, les états et les transitions.</w:t>
      </w:r>
    </w:p>
    <w:bookmarkStart w:id="347" w:name="annexe-1-matrice-des-habilitations"/>
    <w:p>
      <w:pPr>
        <w:pStyle w:val="Heading2"/>
      </w:pPr>
      <w:r>
        <w:t xml:space="preserve">Annexe 1 — Matrice des habilitations</w:t>
      </w:r>
    </w:p>
    <w:p>
      <w:pPr>
        <w:pStyle w:val="FirstParagraph"/>
      </w:pPr>
      <w:r>
        <w:t xml:space="preserve">Codes :</w:t>
      </w:r>
      <w:r>
        <w:t xml:space="preserve"> </w:t>
      </w:r>
      <w:r>
        <w:rPr>
          <w:bCs/>
          <w:b/>
        </w:rPr>
        <w:t xml:space="preserve">C</w:t>
      </w:r>
      <w:r>
        <w:t xml:space="preserve"> </w:t>
      </w:r>
      <w:r>
        <w:t xml:space="preserve">créer ·</w:t>
      </w:r>
      <w:r>
        <w:t xml:space="preserve"> </w:t>
      </w:r>
      <w:r>
        <w:rPr>
          <w:bCs/>
          <w:b/>
        </w:rPr>
        <w:t xml:space="preserve">L</w:t>
      </w:r>
      <w:r>
        <w:t xml:space="preserve"> </w:t>
      </w:r>
      <w:r>
        <w:t xml:space="preserve">lire ·</w:t>
      </w:r>
      <w:r>
        <w:t xml:space="preserve"> </w:t>
      </w:r>
      <w:r>
        <w:rPr>
          <w:bCs/>
          <w:b/>
        </w:rPr>
        <w:t xml:space="preserve">M</w:t>
      </w:r>
      <w:r>
        <w:t xml:space="preserve"> </w:t>
      </w:r>
      <w:r>
        <w:t xml:space="preserve">modifier ·</w:t>
      </w:r>
      <w:r>
        <w:t xml:space="preserve"> </w:t>
      </w:r>
      <w:r>
        <w:rPr>
          <w:bCs/>
          <w:b/>
        </w:rPr>
        <w:t xml:space="preserve">V</w:t>
      </w:r>
      <w:r>
        <w:t xml:space="preserve"> </w:t>
      </w:r>
      <w:r>
        <w:t xml:space="preserve">valider ·</w:t>
      </w:r>
      <w:r>
        <w:t xml:space="preserve"> </w:t>
      </w:r>
      <w:r>
        <w:rPr>
          <w:bCs/>
          <w:b/>
        </w:rPr>
        <w:t xml:space="preserve">S</w:t>
      </w:r>
      <w:r>
        <w:t xml:space="preserve"> </w:t>
      </w:r>
      <w:r>
        <w:t xml:space="preserve">supprimer (suppression logique uniquement). Portée entre</w:t>
      </w:r>
      <w:r>
        <w:t xml:space="preserve"> </w:t>
      </w:r>
      <w:r>
        <w:t xml:space="preserve">parenthèses :</w:t>
      </w:r>
      <w:r>
        <w:t xml:space="preserve"> </w:t>
      </w:r>
      <w:r>
        <w:rPr>
          <w:bCs/>
          <w:b/>
        </w:rPr>
        <w:t xml:space="preserve">(T)</w:t>
      </w:r>
      <w:r>
        <w:t xml:space="preserve"> </w:t>
      </w:r>
      <w:r>
        <w:t xml:space="preserve">toute la Direction ·</w:t>
      </w:r>
      <w:r>
        <w:t xml:space="preserve"> </w:t>
      </w:r>
      <w:r>
        <w:rPr>
          <w:bCs/>
          <w:b/>
        </w:rPr>
        <w:t xml:space="preserve">(P)</w:t>
      </w:r>
      <w:r>
        <w:t xml:space="preserve"> </w:t>
      </w:r>
      <w:r>
        <w:t xml:space="preserve">son périmètre</w:t>
      </w:r>
      <w:r>
        <w:t xml:space="preserve"> </w:t>
      </w:r>
      <w:r>
        <w:t xml:space="preserve">hiérarchique ·</w:t>
      </w:r>
      <w:r>
        <w:t xml:space="preserve"> </w:t>
      </w:r>
      <w:r>
        <w:rPr>
          <w:bCs/>
          <w:b/>
        </w:rPr>
        <w:t xml:space="preserve">(U)</w:t>
      </w:r>
      <w:r>
        <w:t xml:space="preserve"> </w:t>
      </w:r>
      <w:r>
        <w:t xml:space="preserve">son unité ·</w:t>
      </w:r>
      <w:r>
        <w:t xml:space="preserve"> </w:t>
      </w:r>
      <w:r>
        <w:rPr>
          <w:bCs/>
          <w:b/>
        </w:rPr>
        <w:t xml:space="preserve">(S)</w:t>
      </w:r>
      <w:r>
        <w:t xml:space="preserve"> </w:t>
      </w:r>
      <w:r>
        <w:t xml:space="preserve">soi-même, ou les personnes</w:t>
      </w:r>
      <w:r>
        <w:t xml:space="preserve"> </w:t>
      </w:r>
      <w:r>
        <w:t xml:space="preserve">dont le rôle a la charge. « — » signifie aucun accès.</w:t>
      </w:r>
      <w:r>
        <w:t xml:space="preserve"> </w:t>
      </w:r>
      <w:r>
        <w:rPr>
          <w:bCs/>
          <w:b/>
        </w:rPr>
        <w:t xml:space="preserve">L*</w:t>
      </w:r>
      <w:r>
        <w:t xml:space="preserve"> </w:t>
      </w:r>
      <w:r>
        <w:t xml:space="preserve">désigne</w:t>
      </w:r>
      <w:r>
        <w:t xml:space="preserve"> </w:t>
      </w:r>
      <w:r>
        <w:t xml:space="preserve">une lecture limitée aux données professionnelles, à l’exclusion des</w:t>
      </w:r>
      <w:r>
        <w:t xml:space="preserve"> </w:t>
      </w:r>
      <w:r>
        <w:t xml:space="preserve">données protégées au sens de la Partie 0, section 3.2.</w:t>
      </w:r>
      <w:r>
        <w:t xml:space="preserve"> </w:t>
      </w:r>
      <w:r>
        <w:rPr>
          <w:bCs/>
          <w:b/>
        </w:rPr>
        <w:t xml:space="preserve">V-avis</w:t>
      </w:r>
      <w:r>
        <w:t xml:space="preserve"> </w:t>
      </w:r>
      <w:r>
        <w:t xml:space="preserve">désigne un avis,</w:t>
      </w:r>
      <w:r>
        <w:t xml:space="preserve"> </w:t>
      </w:r>
      <w:r>
        <w:t xml:space="preserve">non une décision.</w:t>
      </w:r>
    </w:p>
    <w:p>
      <w:pPr>
        <w:pStyle w:val="BodyText"/>
      </w:pPr>
      <w:r>
        <w:t xml:space="preserve">Les rôles se cumulent : un chef de cellule dispose, sur sa cellule, des</w:t>
      </w:r>
      <w:r>
        <w:t xml:space="preserve"> </w:t>
      </w:r>
      <w:r>
        <w:t xml:space="preserve">droits d’un chef de division en plus de ceux attachés à sa fonction.</w:t>
      </w:r>
      <w:r>
        <w:t xml:space="preserve"> </w:t>
      </w:r>
      <w:r>
        <w:t xml:space="preserve">Cette matrice est la référence de recette du critère CA-A-01 et doit être</w:t>
      </w:r>
      <w:r>
        <w:t xml:space="preserve"> </w:t>
      </w:r>
      <w:r>
        <w:t xml:space="preserve">traduite en tests automatisés (SOC-MNT-04).</w:t>
      </w:r>
    </w:p>
    <w:bookmarkStart w:id="343" w:name="ligne-hiérarchique"/>
    <w:p>
      <w:pPr>
        <w:pStyle w:val="Heading3"/>
      </w:pPr>
      <w:r>
        <w:t xml:space="preserve">1.1 Ligne hiérarchique</w:t>
      </w:r>
    </w:p>
    <w:tbl>
      <w:tblPr>
        <w:tblStyle w:val="Table"/>
        <w:tblW w:type="dxa" w:w="9354"/>
        <w:tblLayout w:type="fixed"/>
        <w:tblLook w:firstRow="1" w:lastRow="0" w:firstColumn="0" w:lastColumn="0" w:noHBand="0" w:noVBand="0" w:val="0020"/>
        <w:jc w:val="start"/>
      </w:tblPr>
      <w:tblGrid>
        <w:gridCol w:w="2027"/>
        <w:gridCol w:w="1836"/>
        <w:gridCol w:w="1836"/>
        <w:gridCol w:w="1828"/>
        <w:gridCol w:w="1827"/>
      </w:tblGrid>
      <w:tr>
        <w:trPr>
          <w:tblHeader w:val="true"/>
        </w:trPr>
        <w:tc>
          <w:tcPr/>
          <w:p>
            <w:pPr>
              <w:pStyle w:val="Compact"/>
              <w:jc w:val="left"/>
            </w:pPr>
            <w:r>
              <w:t xml:space="preserve">Objet</w:t>
            </w:r>
          </w:p>
        </w:tc>
        <w:tc>
          <w:tcPr/>
          <w:p>
            <w:pPr>
              <w:pStyle w:val="Compact"/>
              <w:jc w:val="left"/>
            </w:pPr>
            <w:r>
              <w:t xml:space="preserve">DN / DNA</w:t>
            </w:r>
          </w:p>
        </w:tc>
        <w:tc>
          <w:tcPr/>
          <w:p>
            <w:pPr>
              <w:pStyle w:val="Compact"/>
              <w:jc w:val="left"/>
            </w:pPr>
            <w:r>
              <w:t xml:space="preserve">Chef de division</w:t>
            </w:r>
          </w:p>
        </w:tc>
        <w:tc>
          <w:tcPr/>
          <w:p>
            <w:pPr>
              <w:pStyle w:val="Compact"/>
              <w:jc w:val="left"/>
            </w:pPr>
            <w:r>
              <w:t xml:space="preserve">Chef de section</w:t>
            </w:r>
          </w:p>
        </w:tc>
        <w:tc>
          <w:tcPr/>
          <w:p>
            <w:pPr>
              <w:pStyle w:val="Compact"/>
              <w:jc w:val="left"/>
            </w:pPr>
            <w:r>
              <w:t xml:space="preserve">Agent</w:t>
            </w:r>
          </w:p>
        </w:tc>
      </w:tr>
      <w:tr>
        <w:tc>
          <w:tcPr/>
          <w:p>
            <w:pPr>
              <w:pStyle w:val="Compact"/>
              <w:jc w:val="left"/>
            </w:pPr>
            <w:r>
              <w:t xml:space="preserve">Unité organisationnelle</w:t>
            </w:r>
          </w:p>
        </w:tc>
        <w:tc>
          <w:tcPr/>
          <w:p>
            <w:pPr>
              <w:pStyle w:val="Compact"/>
              <w:jc w:val="left"/>
            </w:pPr>
            <w:r>
              <w:t xml:space="preserve">L(T)</w:t>
            </w:r>
          </w:p>
        </w:tc>
        <w:tc>
          <w:tcPr/>
          <w:p>
            <w:pPr>
              <w:pStyle w:val="Compact"/>
              <w:jc w:val="left"/>
            </w:pPr>
            <w:r>
              <w:t xml:space="preserve">L(T)</w:t>
            </w:r>
          </w:p>
        </w:tc>
        <w:tc>
          <w:tcPr/>
          <w:p>
            <w:pPr>
              <w:pStyle w:val="Compact"/>
              <w:jc w:val="left"/>
            </w:pPr>
            <w:r>
              <w:t xml:space="preserve">L(T)</w:t>
            </w:r>
          </w:p>
        </w:tc>
        <w:tc>
          <w:tcPr/>
          <w:p>
            <w:pPr>
              <w:pStyle w:val="Compact"/>
              <w:jc w:val="left"/>
            </w:pPr>
            <w:r>
              <w:t xml:space="preserve">L(T)</w:t>
            </w:r>
          </w:p>
        </w:tc>
      </w:tr>
      <w:tr>
        <w:tc>
          <w:tcPr/>
          <w:p>
            <w:pPr>
              <w:pStyle w:val="Compact"/>
              <w:jc w:val="left"/>
            </w:pPr>
            <w:r>
              <w:t xml:space="preserve">Compte utilisateur</w:t>
            </w:r>
          </w:p>
        </w:tc>
        <w:tc>
          <w:tcPr/>
          <w:p>
            <w:pPr>
              <w:pStyle w:val="Compact"/>
              <w:jc w:val="left"/>
            </w:pPr>
            <w:r>
              <w:t xml:space="preserve">L(T)</w:t>
            </w:r>
          </w:p>
        </w:tc>
        <w:tc>
          <w:tcPr/>
          <w:p>
            <w:pPr>
              <w:pStyle w:val="Compact"/>
              <w:jc w:val="left"/>
            </w:pPr>
            <w:r>
              <w:t xml:space="preserve">L(P)</w:t>
            </w:r>
          </w:p>
        </w:tc>
        <w:tc>
          <w:tcPr/>
          <w:p>
            <w:pPr>
              <w:pStyle w:val="Compact"/>
              <w:jc w:val="left"/>
            </w:pPr>
            <w:r>
              <w:t xml:space="preserve">L(P)</w:t>
            </w:r>
          </w:p>
        </w:tc>
        <w:tc>
          <w:tcPr/>
          <w:p>
            <w:pPr>
              <w:pStyle w:val="Compact"/>
              <w:jc w:val="left"/>
            </w:pPr>
            <w:r>
              <w:t xml:space="preserve">L(S)</w:t>
            </w:r>
          </w:p>
        </w:tc>
      </w:tr>
      <w:tr>
        <w:tc>
          <w:tcPr/>
          <w:p>
            <w:pPr>
              <w:pStyle w:val="Compact"/>
              <w:jc w:val="left"/>
            </w:pPr>
            <w:r>
              <w:t xml:space="preserve">Dossier agent</w:t>
            </w:r>
          </w:p>
        </w:tc>
        <w:tc>
          <w:tcPr/>
          <w:p>
            <w:pPr>
              <w:pStyle w:val="Compact"/>
              <w:jc w:val="left"/>
            </w:pPr>
            <w:r>
              <w:t xml:space="preserve">L*(T)</w:t>
            </w:r>
          </w:p>
        </w:tc>
        <w:tc>
          <w:tcPr/>
          <w:p>
            <w:pPr>
              <w:pStyle w:val="Compact"/>
              <w:jc w:val="left"/>
            </w:pPr>
            <w:r>
              <w:t xml:space="preserve">L*(P)</w:t>
            </w:r>
          </w:p>
        </w:tc>
        <w:tc>
          <w:tcPr/>
          <w:p>
            <w:pPr>
              <w:pStyle w:val="Compact"/>
              <w:jc w:val="left"/>
            </w:pPr>
            <w:r>
              <w:t xml:space="preserve">L*(P)</w:t>
            </w:r>
          </w:p>
        </w:tc>
        <w:tc>
          <w:tcPr/>
          <w:p>
            <w:pPr>
              <w:pStyle w:val="Compact"/>
              <w:jc w:val="left"/>
            </w:pPr>
            <w:r>
              <w:t xml:space="preserve">L(S)</w:t>
            </w:r>
          </w:p>
        </w:tc>
      </w:tr>
      <w:tr>
        <w:tc>
          <w:tcPr/>
          <w:p>
            <w:pPr>
              <w:pStyle w:val="Compact"/>
              <w:jc w:val="left"/>
            </w:pPr>
            <w:r>
              <w:t xml:space="preserve">Justificatif médical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L(S)</w:t>
            </w:r>
          </w:p>
        </w:tc>
      </w:tr>
      <w:tr>
        <w:tc>
          <w:tcPr/>
          <w:p>
            <w:pPr>
              <w:pStyle w:val="Compact"/>
              <w:jc w:val="left"/>
            </w:pPr>
            <w:r>
              <w:t xml:space="preserve">Activité / plan de travail</w:t>
            </w:r>
          </w:p>
        </w:tc>
        <w:tc>
          <w:tcPr/>
          <w:p>
            <w:pPr>
              <w:pStyle w:val="Compact"/>
              <w:jc w:val="left"/>
            </w:pPr>
            <w:r>
              <w:t xml:space="preserve">CLMV(T)</w:t>
            </w:r>
          </w:p>
        </w:tc>
        <w:tc>
          <w:tcPr/>
          <w:p>
            <w:pPr>
              <w:pStyle w:val="Compact"/>
              <w:jc w:val="left"/>
            </w:pPr>
            <w:r>
              <w:t xml:space="preserve">CLMV(P)</w:t>
            </w:r>
          </w:p>
        </w:tc>
        <w:tc>
          <w:tcPr/>
          <w:p>
            <w:pPr>
              <w:pStyle w:val="Compact"/>
              <w:jc w:val="left"/>
            </w:pPr>
            <w:r>
              <w:t xml:space="preserve">L(P)</w:t>
            </w:r>
          </w:p>
        </w:tc>
        <w:tc>
          <w:tcPr/>
          <w:p>
            <w:pPr>
              <w:pStyle w:val="Compact"/>
              <w:jc w:val="left"/>
            </w:pPr>
            <w:r>
              <w:t xml:space="preserve">L(U)</w:t>
            </w:r>
          </w:p>
        </w:tc>
      </w:tr>
      <w:tr>
        <w:tc>
          <w:tcPr/>
          <w:p>
            <w:pPr>
              <w:pStyle w:val="Compact"/>
              <w:jc w:val="left"/>
            </w:pPr>
            <w:r>
              <w:t xml:space="preserve">Tâche</w:t>
            </w:r>
          </w:p>
        </w:tc>
        <w:tc>
          <w:tcPr/>
          <w:p>
            <w:pPr>
              <w:pStyle w:val="Compact"/>
              <w:jc w:val="left"/>
            </w:pPr>
            <w:r>
              <w:t xml:space="preserve">CLMVS(T)</w:t>
            </w:r>
          </w:p>
        </w:tc>
        <w:tc>
          <w:tcPr/>
          <w:p>
            <w:pPr>
              <w:pStyle w:val="Compact"/>
              <w:jc w:val="left"/>
            </w:pPr>
            <w:r>
              <w:t xml:space="preserve">CLMVS(P)</w:t>
            </w:r>
          </w:p>
        </w:tc>
        <w:tc>
          <w:tcPr/>
          <w:p>
            <w:pPr>
              <w:pStyle w:val="Compact"/>
              <w:jc w:val="left"/>
            </w:pPr>
            <w:r>
              <w:t xml:space="preserve">CLMVS(P)</w:t>
            </w:r>
          </w:p>
        </w:tc>
        <w:tc>
          <w:tcPr/>
          <w:p>
            <w:pPr>
              <w:pStyle w:val="Compact"/>
              <w:jc w:val="left"/>
            </w:pPr>
            <w:r>
              <w:t xml:space="preserve">CLM(S), L(U)</w:t>
            </w:r>
          </w:p>
        </w:tc>
      </w:tr>
      <w:tr>
        <w:tc>
          <w:tcPr/>
          <w:p>
            <w:pPr>
              <w:pStyle w:val="Compact"/>
              <w:jc w:val="left"/>
            </w:pPr>
            <w:r>
              <w:t xml:space="preserve">Réunion et compte rendu</w:t>
            </w:r>
          </w:p>
        </w:tc>
        <w:tc>
          <w:tcPr/>
          <w:p>
            <w:pPr>
              <w:pStyle w:val="Compact"/>
              <w:jc w:val="left"/>
            </w:pPr>
            <w:r>
              <w:t xml:space="preserve">CLMV(T)</w:t>
            </w:r>
          </w:p>
        </w:tc>
        <w:tc>
          <w:tcPr/>
          <w:p>
            <w:pPr>
              <w:pStyle w:val="Compact"/>
              <w:jc w:val="left"/>
            </w:pPr>
            <w:r>
              <w:t xml:space="preserve">CLM(P)</w:t>
            </w:r>
          </w:p>
        </w:tc>
        <w:tc>
          <w:tcPr/>
          <w:p>
            <w:pPr>
              <w:pStyle w:val="Compact"/>
              <w:jc w:val="left"/>
            </w:pPr>
            <w:r>
              <w:t xml:space="preserve">CLM(P)</w:t>
            </w:r>
          </w:p>
        </w:tc>
        <w:tc>
          <w:tcPr/>
          <w:p>
            <w:pPr>
              <w:pStyle w:val="Compact"/>
              <w:jc w:val="left"/>
            </w:pPr>
            <w:r>
              <w:t xml:space="preserve">L(P)</w:t>
            </w:r>
          </w:p>
        </w:tc>
      </w:tr>
      <w:tr>
        <w:tc>
          <w:tcPr/>
          <w:p>
            <w:pPr>
              <w:pStyle w:val="Compact"/>
              <w:jc w:val="left"/>
            </w:pPr>
            <w:r>
              <w:t xml:space="preserve">Décision et action</w:t>
            </w:r>
          </w:p>
        </w:tc>
        <w:tc>
          <w:tcPr/>
          <w:p>
            <w:pPr>
              <w:pStyle w:val="Compact"/>
              <w:jc w:val="left"/>
            </w:pPr>
            <w:r>
              <w:t xml:space="preserve">CLV(T)</w:t>
            </w:r>
          </w:p>
        </w:tc>
        <w:tc>
          <w:tcPr/>
          <w:p>
            <w:pPr>
              <w:pStyle w:val="Compact"/>
              <w:jc w:val="left"/>
            </w:pPr>
            <w:r>
              <w:t xml:space="preserve">CLV(P)</w:t>
            </w:r>
          </w:p>
        </w:tc>
        <w:tc>
          <w:tcPr/>
          <w:p>
            <w:pPr>
              <w:pStyle w:val="Compact"/>
              <w:jc w:val="left"/>
            </w:pPr>
            <w:r>
              <w:t xml:space="preserve">L(P)</w:t>
            </w:r>
          </w:p>
        </w:tc>
        <w:tc>
          <w:tcPr/>
          <w:p>
            <w:pPr>
              <w:pStyle w:val="Compact"/>
              <w:jc w:val="left"/>
            </w:pPr>
            <w:r>
              <w:t xml:space="preserve">L(P)</w:t>
            </w:r>
          </w:p>
        </w:tc>
      </w:tr>
      <w:tr>
        <w:tc>
          <w:tcPr/>
          <w:p>
            <w:pPr>
              <w:pStyle w:val="Compact"/>
              <w:jc w:val="left"/>
            </w:pPr>
            <w:r>
              <w:t xml:space="preserve">Message direct</w:t>
            </w:r>
          </w:p>
        </w:tc>
        <w:tc>
          <w:tcPr/>
          <w:p>
            <w:pPr>
              <w:pStyle w:val="Compact"/>
              <w:jc w:val="left"/>
            </w:pPr>
            <w:r>
              <w:t xml:space="preserve">CL(T)</w:t>
            </w:r>
          </w:p>
        </w:tc>
        <w:tc>
          <w:tcPr/>
          <w:p>
            <w:pPr>
              <w:pStyle w:val="Compact"/>
              <w:jc w:val="left"/>
            </w:pPr>
            <w:r>
              <w:t xml:space="preserve">CL(T)</w:t>
            </w:r>
          </w:p>
        </w:tc>
        <w:tc>
          <w:tcPr/>
          <w:p>
            <w:pPr>
              <w:pStyle w:val="Compact"/>
              <w:jc w:val="left"/>
            </w:pPr>
            <w:r>
              <w:t xml:space="preserve">CL(T)</w:t>
            </w:r>
          </w:p>
        </w:tc>
        <w:tc>
          <w:tcPr/>
          <w:p>
            <w:pPr>
              <w:pStyle w:val="Compact"/>
              <w:jc w:val="left"/>
            </w:pPr>
            <w:r>
              <w:t xml:space="preserve">CL(T)</w:t>
            </w:r>
          </w:p>
        </w:tc>
      </w:tr>
      <w:tr>
        <w:tc>
          <w:tcPr/>
          <w:p>
            <w:pPr>
              <w:pStyle w:val="Compact"/>
              <w:jc w:val="left"/>
            </w:pPr>
            <w:r>
              <w:t xml:space="preserve">Annonce</w:t>
            </w:r>
          </w:p>
        </w:tc>
        <w:tc>
          <w:tcPr/>
          <w:p>
            <w:pPr>
              <w:pStyle w:val="Compact"/>
              <w:jc w:val="left"/>
            </w:pPr>
            <w:r>
              <w:t xml:space="preserve">CL(T)</w:t>
            </w:r>
          </w:p>
        </w:tc>
        <w:tc>
          <w:tcPr/>
          <w:p>
            <w:pPr>
              <w:pStyle w:val="Compact"/>
              <w:jc w:val="left"/>
            </w:pPr>
            <w:r>
              <w:t xml:space="preserve">CL(P)</w:t>
            </w:r>
          </w:p>
        </w:tc>
        <w:tc>
          <w:tcPr/>
          <w:p>
            <w:pPr>
              <w:pStyle w:val="Compact"/>
              <w:jc w:val="left"/>
            </w:pPr>
            <w:r>
              <w:t xml:space="preserve">CL(P)</w:t>
            </w:r>
          </w:p>
        </w:tc>
        <w:tc>
          <w:tcPr/>
          <w:p>
            <w:pPr>
              <w:pStyle w:val="Compact"/>
              <w:jc w:val="left"/>
            </w:pPr>
            <w:r>
              <w:t xml:space="preserve">L(P)</w:t>
            </w:r>
          </w:p>
        </w:tc>
      </w:tr>
      <w:tr>
        <w:tc>
          <w:tcPr/>
          <w:p>
            <w:pPr>
              <w:pStyle w:val="Compact"/>
              <w:jc w:val="left"/>
            </w:pPr>
            <w:r>
              <w:t xml:space="preserve">Document — espace privé d’unité</w:t>
            </w:r>
          </w:p>
        </w:tc>
        <w:tc>
          <w:tcPr/>
          <w:p>
            <w:pPr>
              <w:pStyle w:val="Compact"/>
              <w:jc w:val="left"/>
            </w:pPr>
            <w:r>
              <w:t xml:space="preserve">L(U)</w:t>
            </w:r>
          </w:p>
        </w:tc>
        <w:tc>
          <w:tcPr/>
          <w:p>
            <w:pPr>
              <w:pStyle w:val="Compact"/>
              <w:jc w:val="left"/>
            </w:pPr>
            <w:r>
              <w:t xml:space="preserve">CLM(U)</w:t>
            </w:r>
          </w:p>
        </w:tc>
        <w:tc>
          <w:tcPr/>
          <w:p>
            <w:pPr>
              <w:pStyle w:val="Compact"/>
              <w:jc w:val="left"/>
            </w:pPr>
            <w:r>
              <w:t xml:space="preserve">CLM(U)</w:t>
            </w:r>
          </w:p>
        </w:tc>
        <w:tc>
          <w:tcPr/>
          <w:p>
            <w:pPr>
              <w:pStyle w:val="Compact"/>
              <w:jc w:val="left"/>
            </w:pPr>
            <w:r>
              <w:t xml:space="preserve">CLM(U)</w:t>
            </w:r>
          </w:p>
        </w:tc>
      </w:tr>
      <w:tr>
        <w:tc>
          <w:tcPr/>
          <w:p>
            <w:pPr>
              <w:pStyle w:val="Compact"/>
              <w:jc w:val="left"/>
            </w:pPr>
            <w:r>
              <w:t xml:space="preserve">Document publié</w:t>
            </w:r>
          </w:p>
        </w:tc>
        <w:tc>
          <w:tcPr/>
          <w:p>
            <w:pPr>
              <w:pStyle w:val="Compact"/>
              <w:jc w:val="left"/>
            </w:pPr>
            <w:r>
              <w:t xml:space="preserve">CLMV(T)</w:t>
            </w:r>
          </w:p>
        </w:tc>
        <w:tc>
          <w:tcPr/>
          <w:p>
            <w:pPr>
              <w:pStyle w:val="Compact"/>
              <w:jc w:val="left"/>
            </w:pPr>
            <w:r>
              <w:t xml:space="preserve">CLV(T)</w:t>
            </w:r>
          </w:p>
        </w:tc>
        <w:tc>
          <w:tcPr/>
          <w:p>
            <w:pPr>
              <w:pStyle w:val="Compact"/>
              <w:jc w:val="left"/>
            </w:pPr>
            <w:r>
              <w:t xml:space="preserve">L(T)</w:t>
            </w:r>
          </w:p>
        </w:tc>
        <w:tc>
          <w:tcPr/>
          <w:p>
            <w:pPr>
              <w:pStyle w:val="Compact"/>
              <w:jc w:val="left"/>
            </w:pPr>
            <w:r>
              <w:t xml:space="preserve">L(T)</w:t>
            </w:r>
          </w:p>
        </w:tc>
      </w:tr>
      <w:tr>
        <w:tc>
          <w:tcPr/>
          <w:p>
            <w:pPr>
              <w:pStyle w:val="Compact"/>
              <w:jc w:val="left"/>
            </w:pPr>
            <w:r>
              <w:t xml:space="preserve">Demande d’absence</w:t>
            </w:r>
          </w:p>
        </w:tc>
        <w:tc>
          <w:tcPr/>
          <w:p>
            <w:pPr>
              <w:pStyle w:val="Compact"/>
              <w:jc w:val="left"/>
            </w:pPr>
            <w:r>
              <w:t xml:space="preserve">L(T)</w:t>
            </w:r>
          </w:p>
        </w:tc>
        <w:tc>
          <w:tcPr/>
          <w:p>
            <w:pPr>
              <w:pStyle w:val="Compact"/>
              <w:jc w:val="left"/>
            </w:pPr>
            <w:r>
              <w:t xml:space="preserve">V-avis(P)</w:t>
            </w:r>
          </w:p>
        </w:tc>
        <w:tc>
          <w:tcPr/>
          <w:p>
            <w:pPr>
              <w:pStyle w:val="Compact"/>
              <w:jc w:val="left"/>
            </w:pPr>
            <w:r>
              <w:t xml:space="preserve">V-avis(P)</w:t>
            </w:r>
          </w:p>
        </w:tc>
        <w:tc>
          <w:tcPr/>
          <w:p>
            <w:pPr>
              <w:pStyle w:val="Compact"/>
              <w:jc w:val="left"/>
            </w:pPr>
            <w:r>
              <w:t xml:space="preserve">CL(S)</w:t>
            </w:r>
          </w:p>
        </w:tc>
      </w:tr>
      <w:tr>
        <w:tc>
          <w:tcPr/>
          <w:p>
            <w:pPr>
              <w:pStyle w:val="Compact"/>
              <w:jc w:val="left"/>
            </w:pPr>
            <w:r>
              <w:t xml:space="preserve">Plan de rotation de stage</w:t>
            </w:r>
          </w:p>
        </w:tc>
        <w:tc>
          <w:tcPr/>
          <w:p>
            <w:pPr>
              <w:pStyle w:val="Compact"/>
              <w:jc w:val="left"/>
            </w:pPr>
            <w:r>
              <w:t xml:space="preserve">L(T)</w:t>
            </w:r>
          </w:p>
        </w:tc>
        <w:tc>
          <w:tcPr/>
          <w:p>
            <w:pPr>
              <w:pStyle w:val="Compact"/>
              <w:jc w:val="left"/>
            </w:pPr>
            <w:r>
              <w:t xml:space="preserve">L(U)</w:t>
            </w:r>
          </w:p>
        </w:tc>
        <w:tc>
          <w:tcPr/>
          <w:p>
            <w:pPr>
              <w:pStyle w:val="Compact"/>
              <w:jc w:val="left"/>
            </w:pPr>
            <w:r>
              <w:t xml:space="preserve">L(U)</w:t>
            </w:r>
          </w:p>
        </w:tc>
        <w:tc>
          <w:tcPr/>
          <w:p>
            <w:pPr>
              <w:pStyle w:val="Compact"/>
              <w:jc w:val="left"/>
            </w:pPr>
            <w:r>
              <w:t xml:space="preserve">L(S)</w:t>
            </w:r>
          </w:p>
        </w:tc>
      </w:tr>
      <w:tr>
        <w:tc>
          <w:tcPr/>
          <w:p>
            <w:pPr>
              <w:pStyle w:val="Compact"/>
              <w:jc w:val="left"/>
            </w:pPr>
            <w:r>
              <w:t xml:space="preserve">Rapport de stage</w:t>
            </w:r>
          </w:p>
        </w:tc>
        <w:tc>
          <w:tcPr/>
          <w:p>
            <w:pPr>
              <w:pStyle w:val="Compact"/>
              <w:jc w:val="left"/>
            </w:pPr>
            <w:r>
              <w:t xml:space="preserve">L(T)</w:t>
            </w:r>
          </w:p>
        </w:tc>
        <w:tc>
          <w:tcPr/>
          <w:p>
            <w:pPr>
              <w:pStyle w:val="Compact"/>
              <w:jc w:val="left"/>
            </w:pPr>
            <w:r>
              <w:t xml:space="preserve">L(U)</w:t>
            </w:r>
          </w:p>
        </w:tc>
        <w:tc>
          <w:tcPr/>
          <w:p>
            <w:pPr>
              <w:pStyle w:val="Compact"/>
              <w:jc w:val="left"/>
            </w:pPr>
            <w:r>
              <w:t xml:space="preserve">L(U)</w:t>
            </w:r>
          </w:p>
        </w:tc>
        <w:tc>
          <w:tcPr/>
          <w:p>
            <w:pPr>
              <w:pStyle w:val="Compact"/>
              <w:jc w:val="left"/>
            </w:pPr>
            <w:r>
              <w:t xml:space="preserve">CLM(S)</w:t>
            </w:r>
          </w:p>
        </w:tc>
      </w:tr>
      <w:tr>
        <w:tc>
          <w:tcPr/>
          <w:p>
            <w:pPr>
              <w:pStyle w:val="Compact"/>
              <w:jc w:val="left"/>
            </w:pPr>
            <w:r>
              <w:t xml:space="preserve">Attestation de stage</w:t>
            </w:r>
          </w:p>
        </w:tc>
        <w:tc>
          <w:tcPr/>
          <w:p>
            <w:pPr>
              <w:pStyle w:val="Compact"/>
              <w:jc w:val="left"/>
            </w:pPr>
            <w:r>
              <w:t xml:space="preserve">V(T)</w:t>
            </w:r>
          </w:p>
        </w:tc>
        <w:tc>
          <w:tcPr/>
          <w:p>
            <w:pPr>
              <w:pStyle w:val="Compact"/>
              <w:jc w:val="left"/>
            </w:pPr>
            <w:r>
              <w:t xml:space="preserve">—</w:t>
            </w:r>
          </w:p>
        </w:tc>
        <w:tc>
          <w:tcPr/>
          <w:p>
            <w:pPr>
              <w:pStyle w:val="Compact"/>
              <w:jc w:val="left"/>
            </w:pPr>
            <w:r>
              <w:t xml:space="preserve">—</w:t>
            </w:r>
          </w:p>
        </w:tc>
        <w:tc>
          <w:tcPr/>
          <w:p>
            <w:pPr>
              <w:pStyle w:val="Compact"/>
              <w:jc w:val="left"/>
            </w:pPr>
            <w:r>
              <w:t xml:space="preserve">L(S)</w:t>
            </w:r>
          </w:p>
        </w:tc>
      </w:tr>
      <w:tr>
        <w:tc>
          <w:tcPr/>
          <w:p>
            <w:pPr>
              <w:pStyle w:val="Compact"/>
              <w:jc w:val="left"/>
            </w:pPr>
            <w:r>
              <w:t xml:space="preserve">Campagne de paie</w:t>
            </w:r>
          </w:p>
        </w:tc>
        <w:tc>
          <w:tcPr/>
          <w:p>
            <w:pPr>
              <w:pStyle w:val="Compact"/>
              <w:jc w:val="left"/>
            </w:pPr>
            <w:r>
              <w:t xml:space="preserve">V(T)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Bulletin de paie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L(S)</w:t>
            </w:r>
          </w:p>
        </w:tc>
      </w:tr>
      <w:tr>
        <w:tc>
          <w:tcPr/>
          <w:p>
            <w:pPr>
              <w:pStyle w:val="Compact"/>
              <w:jc w:val="left"/>
            </w:pPr>
            <w:r>
              <w:t xml:space="preserve">Instruction de la Direction</w:t>
            </w:r>
          </w:p>
        </w:tc>
        <w:tc>
          <w:tcPr/>
          <w:p>
            <w:pPr>
              <w:pStyle w:val="Compact"/>
              <w:jc w:val="left"/>
            </w:pPr>
            <w:r>
              <w:t xml:space="preserve">CL(T)</w:t>
            </w:r>
          </w:p>
        </w:tc>
        <w:tc>
          <w:tcPr/>
          <w:p>
            <w:pPr>
              <w:pStyle w:val="Compact"/>
              <w:jc w:val="left"/>
            </w:pPr>
            <w:r>
              <w:t xml:space="preserve">L(S)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Courrier</w:t>
            </w:r>
          </w:p>
        </w:tc>
        <w:tc>
          <w:tcPr/>
          <w:p>
            <w:pPr>
              <w:pStyle w:val="Compact"/>
              <w:jc w:val="left"/>
            </w:pPr>
            <w:r>
              <w:t xml:space="preserve">CLMV(T)</w:t>
            </w:r>
          </w:p>
        </w:tc>
        <w:tc>
          <w:tcPr/>
          <w:p>
            <w:pPr>
              <w:pStyle w:val="Compact"/>
              <w:jc w:val="left"/>
            </w:pPr>
            <w:r>
              <w:t xml:space="preserve">L(P)</w:t>
            </w:r>
          </w:p>
        </w:tc>
        <w:tc>
          <w:tcPr/>
          <w:p>
            <w:pPr>
              <w:pStyle w:val="Compact"/>
              <w:jc w:val="left"/>
            </w:pPr>
            <w:r>
              <w:t xml:space="preserve">L(P)</w:t>
            </w:r>
          </w:p>
        </w:tc>
        <w:tc>
          <w:tcPr/>
          <w:p>
            <w:pPr>
              <w:pStyle w:val="Compact"/>
              <w:jc w:val="left"/>
            </w:pPr>
            <w:r>
              <w:t xml:space="preserve">L(S)</w:t>
            </w:r>
          </w:p>
        </w:tc>
      </w:tr>
      <w:tr>
        <w:tc>
          <w:tcPr/>
          <w:p>
            <w:pPr>
              <w:pStyle w:val="Compact"/>
              <w:jc w:val="left"/>
            </w:pPr>
            <w:r>
              <w:t xml:space="preserve">Note de service</w:t>
            </w:r>
          </w:p>
        </w:tc>
        <w:tc>
          <w:tcPr/>
          <w:p>
            <w:pPr>
              <w:pStyle w:val="Compact"/>
              <w:jc w:val="left"/>
            </w:pPr>
            <w:r>
              <w:t xml:space="preserve">CL(T)</w:t>
            </w:r>
          </w:p>
        </w:tc>
        <w:tc>
          <w:tcPr/>
          <w:p>
            <w:pPr>
              <w:pStyle w:val="Compact"/>
              <w:jc w:val="left"/>
            </w:pPr>
            <w:r>
              <w:t xml:space="preserve">CL(P)</w:t>
            </w:r>
          </w:p>
        </w:tc>
        <w:tc>
          <w:tcPr/>
          <w:p>
            <w:pPr>
              <w:pStyle w:val="Compact"/>
              <w:jc w:val="left"/>
            </w:pPr>
            <w:r>
              <w:t xml:space="preserve">L(P)</w:t>
            </w:r>
          </w:p>
        </w:tc>
        <w:tc>
          <w:tcPr/>
          <w:p>
            <w:pPr>
              <w:pStyle w:val="Compact"/>
              <w:jc w:val="left"/>
            </w:pPr>
            <w:r>
              <w:t xml:space="preserve">L(T)</w:t>
            </w:r>
          </w:p>
        </w:tc>
      </w:tr>
      <w:tr>
        <w:tc>
          <w:tcPr/>
          <w:p>
            <w:pPr>
              <w:pStyle w:val="Compact"/>
              <w:jc w:val="left"/>
            </w:pPr>
            <w:r>
              <w:t xml:space="preserve">Journal d’audit</w:t>
            </w:r>
          </w:p>
        </w:tc>
        <w:tc>
          <w:tcPr/>
          <w:p>
            <w:pPr>
              <w:pStyle w:val="Compact"/>
              <w:jc w:val="left"/>
            </w:pPr>
            <w:r>
              <w:t xml:space="preserve">L(T)</w:t>
            </w:r>
          </w:p>
        </w:tc>
        <w:tc>
          <w:tcPr/>
          <w:p>
            <w:pPr>
              <w:pStyle w:val="Compact"/>
              <w:jc w:val="left"/>
            </w:pPr>
            <w:r>
              <w:t xml:space="preserve">L(P)</w:t>
            </w:r>
          </w:p>
        </w:tc>
        <w:tc>
          <w:tcPr/>
          <w:p>
            <w:pPr>
              <w:pStyle w:val="Compact"/>
              <w:jc w:val="left"/>
            </w:pPr>
            <w:r>
              <w:t xml:space="preserve">L(P)</w:t>
            </w:r>
          </w:p>
        </w:tc>
        <w:tc>
          <w:tcPr/>
          <w:p>
            <w:pPr>
              <w:pStyle w:val="Compact"/>
              <w:jc w:val="left"/>
            </w:pPr>
            <w:r>
              <w:t xml:space="preserve">L(S)</w:t>
            </w:r>
          </w:p>
        </w:tc>
      </w:tr>
      <w:tr>
        <w:tc>
          <w:tcPr/>
          <w:p>
            <w:pPr>
              <w:pStyle w:val="Compact"/>
              <w:jc w:val="left"/>
            </w:pPr>
            <w:r>
              <w:t xml:space="preserve">Paramétrage</w:t>
            </w:r>
          </w:p>
        </w:tc>
        <w:tc>
          <w:tcPr/>
          <w:p>
            <w:pPr>
              <w:pStyle w:val="Compact"/>
              <w:jc w:val="left"/>
            </w:pPr>
            <w:r>
              <w:t xml:space="preserve">L(T)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343"/>
    <w:bookmarkStart w:id="344" w:name="rôles-de-gestion-et-dadministration"/>
    <w:p>
      <w:pPr>
        <w:pStyle w:val="Heading3"/>
      </w:pPr>
      <w:r>
        <w:t xml:space="preserve">1.2 Rôles de gestion et d’administration</w:t>
      </w:r>
    </w:p>
    <w:tbl>
      <w:tblPr>
        <w:tblStyle w:val="Table"/>
        <w:tblW w:type="dxa" w:w="9354"/>
        <w:tblLayout w:type="fixed"/>
        <w:tblLook w:firstRow="1" w:lastRow="0" w:firstColumn="0" w:lastColumn="0" w:noHBand="0" w:noVBand="0" w:val="0020"/>
        <w:jc w:val="start"/>
      </w:tblPr>
      <w:tblGrid>
        <w:gridCol w:w="2040"/>
        <w:gridCol w:w="1845"/>
        <w:gridCol w:w="1838"/>
        <w:gridCol w:w="1818"/>
        <w:gridCol w:w="1813"/>
      </w:tblGrid>
      <w:tr>
        <w:trPr>
          <w:tblHeader w:val="true"/>
        </w:trPr>
        <w:tc>
          <w:tcPr/>
          <w:p>
            <w:pPr>
              <w:pStyle w:val="Compact"/>
              <w:jc w:val="left"/>
            </w:pPr>
            <w:r>
              <w:t xml:space="preserve">Objet</w:t>
            </w:r>
          </w:p>
        </w:tc>
        <w:tc>
          <w:tcPr/>
          <w:p>
            <w:pPr>
              <w:pStyle w:val="Compact"/>
              <w:jc w:val="left"/>
            </w:pPr>
            <w:r>
              <w:t xml:space="preserve">DRH</w:t>
            </w:r>
          </w:p>
        </w:tc>
        <w:tc>
          <w:tcPr/>
          <w:p>
            <w:pPr>
              <w:pStyle w:val="Compact"/>
              <w:jc w:val="left"/>
            </w:pPr>
            <w:r>
              <w:t xml:space="preserve">SAF / paie</w:t>
            </w:r>
          </w:p>
        </w:tc>
        <w:tc>
          <w:tcPr/>
          <w:p>
            <w:pPr>
              <w:pStyle w:val="Compact"/>
              <w:jc w:val="left"/>
            </w:pPr>
            <w:r>
              <w:t xml:space="preserve">Encadreur de stage</w:t>
            </w:r>
          </w:p>
        </w:tc>
        <w:tc>
          <w:tcPr/>
          <w:p>
            <w:pPr>
              <w:pStyle w:val="Compact"/>
              <w:jc w:val="left"/>
            </w:pPr>
            <w:r>
              <w:t xml:space="preserve">Administrateur CSID</w:t>
            </w:r>
          </w:p>
        </w:tc>
      </w:tr>
      <w:tr>
        <w:tc>
          <w:tcPr/>
          <w:p>
            <w:pPr>
              <w:pStyle w:val="Compact"/>
              <w:jc w:val="left"/>
            </w:pPr>
            <w:r>
              <w:t xml:space="preserve">Unité organisationnelle</w:t>
            </w:r>
          </w:p>
        </w:tc>
        <w:tc>
          <w:tcPr/>
          <w:p>
            <w:pPr>
              <w:pStyle w:val="Compact"/>
              <w:jc w:val="left"/>
            </w:pPr>
            <w:r>
              <w:t xml:space="preserve">CLM(T)</w:t>
            </w:r>
          </w:p>
        </w:tc>
        <w:tc>
          <w:tcPr/>
          <w:p>
            <w:pPr>
              <w:pStyle w:val="Compact"/>
              <w:jc w:val="left"/>
            </w:pPr>
            <w:r>
              <w:t xml:space="preserve">L(T)</w:t>
            </w:r>
          </w:p>
        </w:tc>
        <w:tc>
          <w:tcPr/>
          <w:p>
            <w:pPr>
              <w:pStyle w:val="Compact"/>
              <w:jc w:val="left"/>
            </w:pPr>
            <w:r>
              <w:t xml:space="preserve">L(T)</w:t>
            </w:r>
          </w:p>
        </w:tc>
        <w:tc>
          <w:tcPr/>
          <w:p>
            <w:pPr>
              <w:pStyle w:val="Compact"/>
              <w:jc w:val="left"/>
            </w:pPr>
            <w:r>
              <w:t xml:space="preserve">CLM(T)</w:t>
            </w:r>
          </w:p>
        </w:tc>
      </w:tr>
      <w:tr>
        <w:tc>
          <w:tcPr/>
          <w:p>
            <w:pPr>
              <w:pStyle w:val="Compact"/>
              <w:jc w:val="left"/>
            </w:pPr>
            <w:r>
              <w:t xml:space="preserve">Compte utilisateur</w:t>
            </w:r>
          </w:p>
        </w:tc>
        <w:tc>
          <w:tcPr/>
          <w:p>
            <w:pPr>
              <w:pStyle w:val="Compact"/>
              <w:jc w:val="left"/>
            </w:pPr>
            <w:r>
              <w:t xml:space="preserve">L(T)</w:t>
            </w:r>
          </w:p>
        </w:tc>
        <w:tc>
          <w:tcPr/>
          <w:p>
            <w:pPr>
              <w:pStyle w:val="Compact"/>
              <w:jc w:val="left"/>
            </w:pPr>
            <w:r>
              <w:t xml:space="preserve">—</w:t>
            </w:r>
          </w:p>
        </w:tc>
        <w:tc>
          <w:tcPr/>
          <w:p>
            <w:pPr>
              <w:pStyle w:val="Compact"/>
              <w:jc w:val="left"/>
            </w:pPr>
            <w:r>
              <w:t xml:space="preserve">—</w:t>
            </w:r>
          </w:p>
        </w:tc>
        <w:tc>
          <w:tcPr/>
          <w:p>
            <w:pPr>
              <w:pStyle w:val="Compact"/>
              <w:jc w:val="left"/>
            </w:pPr>
            <w:r>
              <w:t xml:space="preserve">CLMS(T)</w:t>
            </w:r>
          </w:p>
        </w:tc>
      </w:tr>
      <w:tr>
        <w:tc>
          <w:tcPr/>
          <w:p>
            <w:pPr>
              <w:pStyle w:val="Compact"/>
              <w:jc w:val="left"/>
            </w:pPr>
            <w:r>
              <w:t xml:space="preserve">Dossier agent</w:t>
            </w:r>
          </w:p>
        </w:tc>
        <w:tc>
          <w:tcPr/>
          <w:p>
            <w:pPr>
              <w:pStyle w:val="Compact"/>
              <w:jc w:val="left"/>
            </w:pPr>
            <w:r>
              <w:t xml:space="preserve">CLM(T)</w:t>
            </w:r>
          </w:p>
        </w:tc>
        <w:tc>
          <w:tcPr/>
          <w:p>
            <w:pPr>
              <w:pStyle w:val="Compact"/>
              <w:jc w:val="left"/>
            </w:pPr>
            <w:r>
              <w:t xml:space="preserve">L*(T)</w:t>
            </w:r>
          </w:p>
        </w:tc>
        <w:tc>
          <w:tcPr/>
          <w:p>
            <w:pPr>
              <w:pStyle w:val="Compact"/>
              <w:jc w:val="left"/>
            </w:pPr>
            <w:r>
              <w:t xml:space="preserve">L*(S)</w:t>
            </w:r>
          </w:p>
        </w:tc>
        <w:tc>
          <w:tcPr/>
          <w:p>
            <w:pPr>
              <w:pStyle w:val="Compact"/>
              <w:jc w:val="left"/>
            </w:pPr>
            <w:r>
              <w:t xml:space="preserve">—</w:t>
            </w:r>
          </w:p>
        </w:tc>
      </w:tr>
      <w:tr>
        <w:tc>
          <w:tcPr/>
          <w:p>
            <w:pPr>
              <w:pStyle w:val="Compact"/>
              <w:jc w:val="left"/>
            </w:pPr>
            <w:r>
              <w:t xml:space="preserve">Justificatif médical</w:t>
            </w:r>
          </w:p>
        </w:tc>
        <w:tc>
          <w:tcPr/>
          <w:p>
            <w:pPr>
              <w:pStyle w:val="Compact"/>
              <w:jc w:val="left"/>
            </w:pPr>
            <w:r>
              <w:t xml:space="preserve">L(T)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Activité / plan de travail</w:t>
            </w:r>
          </w:p>
        </w:tc>
        <w:tc>
          <w:tcPr/>
          <w:p>
            <w:pPr>
              <w:pStyle w:val="Compact"/>
              <w:jc w:val="left"/>
            </w:pPr>
            <w:r>
              <w:t xml:space="preserve">L(U)</w:t>
            </w:r>
          </w:p>
        </w:tc>
        <w:tc>
          <w:tcPr/>
          <w:p>
            <w:pPr>
              <w:pStyle w:val="Compact"/>
              <w:jc w:val="left"/>
            </w:pPr>
            <w:r>
              <w:t xml:space="preserve">L(U)</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Tâche</w:t>
            </w:r>
          </w:p>
        </w:tc>
        <w:tc>
          <w:tcPr/>
          <w:p>
            <w:pPr>
              <w:pStyle w:val="Compact"/>
              <w:jc w:val="left"/>
            </w:pPr>
            <w:r>
              <w:t xml:space="preserve">L(U)</w:t>
            </w:r>
          </w:p>
        </w:tc>
        <w:tc>
          <w:tcPr/>
          <w:p>
            <w:pPr>
              <w:pStyle w:val="Compact"/>
              <w:jc w:val="left"/>
            </w:pPr>
            <w:r>
              <w:t xml:space="preserve">L(U)</w:t>
            </w:r>
          </w:p>
        </w:tc>
        <w:tc>
          <w:tcPr/>
          <w:p>
            <w:pPr>
              <w:pStyle w:val="Compact"/>
              <w:jc w:val="left"/>
            </w:pPr>
            <w:r>
              <w:t xml:space="preserve">CLV(S)</w:t>
            </w:r>
          </w:p>
        </w:tc>
        <w:tc>
          <w:tcPr/>
          <w:p>
            <w:pPr>
              <w:pStyle w:val="Compact"/>
              <w:jc w:val="left"/>
            </w:pPr>
            <w:r>
              <w:t xml:space="preserve">—</w:t>
            </w:r>
          </w:p>
        </w:tc>
      </w:tr>
      <w:tr>
        <w:tc>
          <w:tcPr/>
          <w:p>
            <w:pPr>
              <w:pStyle w:val="Compact"/>
              <w:jc w:val="left"/>
            </w:pPr>
            <w:r>
              <w:t xml:space="preserve">Réunion et compte rendu</w:t>
            </w:r>
          </w:p>
        </w:tc>
        <w:tc>
          <w:tcPr/>
          <w:p>
            <w:pPr>
              <w:pStyle w:val="Compact"/>
              <w:jc w:val="left"/>
            </w:pPr>
            <w:r>
              <w:t xml:space="preserve">CLM(U)</w:t>
            </w:r>
          </w:p>
        </w:tc>
        <w:tc>
          <w:tcPr/>
          <w:p>
            <w:pPr>
              <w:pStyle w:val="Compact"/>
              <w:jc w:val="left"/>
            </w:pPr>
            <w:r>
              <w:t xml:space="preserve">CLM(U)</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Décision et action</w:t>
            </w:r>
          </w:p>
        </w:tc>
        <w:tc>
          <w:tcPr/>
          <w:p>
            <w:pPr>
              <w:pStyle w:val="Compact"/>
              <w:jc w:val="left"/>
            </w:pPr>
            <w:r>
              <w:t xml:space="preserve">L(U)</w:t>
            </w:r>
          </w:p>
        </w:tc>
        <w:tc>
          <w:tcPr/>
          <w:p>
            <w:pPr>
              <w:pStyle w:val="Compact"/>
              <w:jc w:val="left"/>
            </w:pPr>
            <w:r>
              <w:t xml:space="preserve">L(U)</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Message direct</w:t>
            </w:r>
          </w:p>
        </w:tc>
        <w:tc>
          <w:tcPr/>
          <w:p>
            <w:pPr>
              <w:pStyle w:val="Compact"/>
              <w:jc w:val="left"/>
            </w:pPr>
            <w:r>
              <w:t xml:space="preserve">CL(T)</w:t>
            </w:r>
          </w:p>
        </w:tc>
        <w:tc>
          <w:tcPr/>
          <w:p>
            <w:pPr>
              <w:pStyle w:val="Compact"/>
              <w:jc w:val="left"/>
            </w:pPr>
            <w:r>
              <w:t xml:space="preserve">CL(T)</w:t>
            </w:r>
          </w:p>
        </w:tc>
        <w:tc>
          <w:tcPr/>
          <w:p>
            <w:pPr>
              <w:pStyle w:val="Compact"/>
              <w:jc w:val="left"/>
            </w:pPr>
            <w:r>
              <w:t xml:space="preserve">CL(T)</w:t>
            </w:r>
          </w:p>
        </w:tc>
        <w:tc>
          <w:tcPr/>
          <w:p>
            <w:pPr>
              <w:pStyle w:val="Compact"/>
              <w:jc w:val="left"/>
            </w:pPr>
            <w:r>
              <w:t xml:space="preserve">—</w:t>
            </w:r>
          </w:p>
        </w:tc>
      </w:tr>
      <w:tr>
        <w:tc>
          <w:tcPr/>
          <w:p>
            <w:pPr>
              <w:pStyle w:val="Compact"/>
              <w:jc w:val="left"/>
            </w:pPr>
            <w:r>
              <w:t xml:space="preserve">Annonce</w:t>
            </w:r>
          </w:p>
        </w:tc>
        <w:tc>
          <w:tcPr/>
          <w:p>
            <w:pPr>
              <w:pStyle w:val="Compact"/>
              <w:jc w:val="left"/>
            </w:pPr>
            <w:r>
              <w:t xml:space="preserve">CL(P)</w:t>
            </w:r>
          </w:p>
        </w:tc>
        <w:tc>
          <w:tcPr/>
          <w:p>
            <w:pPr>
              <w:pStyle w:val="Compact"/>
              <w:jc w:val="left"/>
            </w:pPr>
            <w:r>
              <w:t xml:space="preserve">CL(P)</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Document — espace privé d’unité</w:t>
            </w:r>
          </w:p>
        </w:tc>
        <w:tc>
          <w:tcPr/>
          <w:p>
            <w:pPr>
              <w:pStyle w:val="Compact"/>
              <w:jc w:val="left"/>
            </w:pPr>
            <w:r>
              <w:t xml:space="preserve">CLM(U)</w:t>
            </w:r>
          </w:p>
        </w:tc>
        <w:tc>
          <w:tcPr/>
          <w:p>
            <w:pPr>
              <w:pStyle w:val="Compact"/>
              <w:jc w:val="left"/>
            </w:pPr>
            <w:r>
              <w:t xml:space="preserve">CLM(U)</w:t>
            </w:r>
          </w:p>
        </w:tc>
        <w:tc>
          <w:tcPr/>
          <w:p>
            <w:pPr>
              <w:pStyle w:val="Compact"/>
              <w:jc w:val="left"/>
            </w:pPr>
            <w:r>
              <w:t xml:space="preserve">L(U)</w:t>
            </w:r>
          </w:p>
        </w:tc>
        <w:tc>
          <w:tcPr/>
          <w:p>
            <w:pPr>
              <w:pStyle w:val="Compact"/>
              <w:jc w:val="left"/>
            </w:pPr>
            <w:r>
              <w:t xml:space="preserve">—</w:t>
            </w:r>
          </w:p>
        </w:tc>
      </w:tr>
      <w:tr>
        <w:tc>
          <w:tcPr/>
          <w:p>
            <w:pPr>
              <w:pStyle w:val="Compact"/>
              <w:jc w:val="left"/>
            </w:pPr>
            <w:r>
              <w:t xml:space="preserve">Document publié</w:t>
            </w:r>
          </w:p>
        </w:tc>
        <w:tc>
          <w:tcPr/>
          <w:p>
            <w:pPr>
              <w:pStyle w:val="Compact"/>
              <w:jc w:val="left"/>
            </w:pPr>
            <w:r>
              <w:t xml:space="preserve">L(T)</w:t>
            </w:r>
          </w:p>
        </w:tc>
        <w:tc>
          <w:tcPr/>
          <w:p>
            <w:pPr>
              <w:pStyle w:val="Compact"/>
              <w:jc w:val="left"/>
            </w:pPr>
            <w:r>
              <w:t xml:space="preserve">L(T)</w:t>
            </w:r>
          </w:p>
        </w:tc>
        <w:tc>
          <w:tcPr/>
          <w:p>
            <w:pPr>
              <w:pStyle w:val="Compact"/>
              <w:jc w:val="left"/>
            </w:pPr>
            <w:r>
              <w:t xml:space="preserve">L(T)</w:t>
            </w:r>
          </w:p>
        </w:tc>
        <w:tc>
          <w:tcPr/>
          <w:p>
            <w:pPr>
              <w:pStyle w:val="Compact"/>
              <w:jc w:val="left"/>
            </w:pPr>
            <w:r>
              <w:t xml:space="preserve">—</w:t>
            </w:r>
          </w:p>
        </w:tc>
      </w:tr>
      <w:tr>
        <w:tc>
          <w:tcPr/>
          <w:p>
            <w:pPr>
              <w:pStyle w:val="Compact"/>
              <w:jc w:val="left"/>
            </w:pPr>
            <w:r>
              <w:t xml:space="preserve">Demande d’absence</w:t>
            </w:r>
          </w:p>
        </w:tc>
        <w:tc>
          <w:tcPr/>
          <w:p>
            <w:pPr>
              <w:pStyle w:val="Compact"/>
              <w:jc w:val="left"/>
            </w:pPr>
            <w:r>
              <w:t xml:space="preserve">CLMV(T)</w:t>
            </w:r>
          </w:p>
        </w:tc>
        <w:tc>
          <w:tcPr/>
          <w:p>
            <w:pPr>
              <w:pStyle w:val="Compact"/>
              <w:jc w:val="left"/>
            </w:pPr>
            <w:r>
              <w:t xml:space="preserve">L*(T)</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Plan de rotation de stage</w:t>
            </w:r>
          </w:p>
        </w:tc>
        <w:tc>
          <w:tcPr/>
          <w:p>
            <w:pPr>
              <w:pStyle w:val="Compact"/>
              <w:jc w:val="left"/>
            </w:pPr>
            <w:r>
              <w:t xml:space="preserve">CLM(T)</w:t>
            </w:r>
          </w:p>
        </w:tc>
        <w:tc>
          <w:tcPr/>
          <w:p>
            <w:pPr>
              <w:pStyle w:val="Compact"/>
              <w:jc w:val="left"/>
            </w:pPr>
            <w:r>
              <w:t xml:space="preserve">—</w:t>
            </w:r>
          </w:p>
        </w:tc>
        <w:tc>
          <w:tcPr/>
          <w:p>
            <w:pPr>
              <w:pStyle w:val="Compact"/>
              <w:jc w:val="left"/>
            </w:pPr>
            <w:r>
              <w:t xml:space="preserve">L(S)</w:t>
            </w:r>
          </w:p>
        </w:tc>
        <w:tc>
          <w:tcPr/>
          <w:p>
            <w:pPr>
              <w:pStyle w:val="Compact"/>
              <w:jc w:val="left"/>
            </w:pPr>
            <w:r>
              <w:t xml:space="preserve">—</w:t>
            </w:r>
          </w:p>
        </w:tc>
      </w:tr>
      <w:tr>
        <w:tc>
          <w:tcPr/>
          <w:p>
            <w:pPr>
              <w:pStyle w:val="Compact"/>
              <w:jc w:val="left"/>
            </w:pPr>
            <w:r>
              <w:t xml:space="preserve">Rapport de stage</w:t>
            </w:r>
          </w:p>
        </w:tc>
        <w:tc>
          <w:tcPr/>
          <w:p>
            <w:pPr>
              <w:pStyle w:val="Compact"/>
              <w:jc w:val="left"/>
            </w:pPr>
            <w:r>
              <w:t xml:space="preserve">L(T)</w:t>
            </w:r>
          </w:p>
        </w:tc>
        <w:tc>
          <w:tcPr/>
          <w:p>
            <w:pPr>
              <w:pStyle w:val="Compact"/>
              <w:jc w:val="left"/>
            </w:pPr>
            <w:r>
              <w:t xml:space="preserve">—</w:t>
            </w:r>
          </w:p>
        </w:tc>
        <w:tc>
          <w:tcPr/>
          <w:p>
            <w:pPr>
              <w:pStyle w:val="Compact"/>
              <w:jc w:val="left"/>
            </w:pPr>
            <w:r>
              <w:t xml:space="preserve">LV(S)</w:t>
            </w:r>
          </w:p>
        </w:tc>
        <w:tc>
          <w:tcPr/>
          <w:p>
            <w:pPr>
              <w:pStyle w:val="Compact"/>
              <w:jc w:val="left"/>
            </w:pPr>
            <w:r>
              <w:t xml:space="preserve">—</w:t>
            </w:r>
          </w:p>
        </w:tc>
      </w:tr>
      <w:tr>
        <w:tc>
          <w:tcPr/>
          <w:p>
            <w:pPr>
              <w:pStyle w:val="Compact"/>
              <w:jc w:val="left"/>
            </w:pPr>
            <w:r>
              <w:t xml:space="preserve">Attestation de stage</w:t>
            </w:r>
          </w:p>
        </w:tc>
        <w:tc>
          <w:tcPr/>
          <w:p>
            <w:pPr>
              <w:pStyle w:val="Compact"/>
              <w:jc w:val="left"/>
            </w:pPr>
            <w:r>
              <w:t xml:space="preserve">CL(T)</w:t>
            </w:r>
          </w:p>
        </w:tc>
        <w:tc>
          <w:tcPr/>
          <w:p>
            <w:pPr>
              <w:pStyle w:val="Compact"/>
              <w:jc w:val="left"/>
            </w:pPr>
            <w:r>
              <w:t xml:space="preserve">—</w:t>
            </w:r>
          </w:p>
        </w:tc>
        <w:tc>
          <w:tcPr/>
          <w:p>
            <w:pPr>
              <w:pStyle w:val="Compact"/>
              <w:jc w:val="left"/>
            </w:pPr>
            <w:r>
              <w:t xml:space="preserve">L(S)</w:t>
            </w:r>
          </w:p>
        </w:tc>
        <w:tc>
          <w:tcPr/>
          <w:p>
            <w:pPr>
              <w:pStyle w:val="Compact"/>
              <w:jc w:val="left"/>
            </w:pPr>
            <w:r>
              <w:t xml:space="preserve">—</w:t>
            </w:r>
          </w:p>
        </w:tc>
      </w:tr>
      <w:tr>
        <w:tc>
          <w:tcPr/>
          <w:p>
            <w:pPr>
              <w:pStyle w:val="Compact"/>
              <w:jc w:val="left"/>
            </w:pPr>
            <w:r>
              <w:t xml:space="preserve">Campagne de paie</w:t>
            </w:r>
          </w:p>
        </w:tc>
        <w:tc>
          <w:tcPr/>
          <w:p>
            <w:pPr>
              <w:pStyle w:val="Compact"/>
              <w:jc w:val="left"/>
            </w:pPr>
            <w:r>
              <w:t xml:space="preserve">—</w:t>
            </w:r>
          </w:p>
        </w:tc>
        <w:tc>
          <w:tcPr/>
          <w:p>
            <w:pPr>
              <w:pStyle w:val="Compact"/>
              <w:jc w:val="left"/>
            </w:pPr>
            <w:r>
              <w:t xml:space="preserve">CLMV(T)</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Bulletin de paie</w:t>
            </w:r>
          </w:p>
        </w:tc>
        <w:tc>
          <w:tcPr/>
          <w:p>
            <w:pPr>
              <w:pStyle w:val="Compact"/>
              <w:jc w:val="left"/>
            </w:pPr>
            <w:r>
              <w:t xml:space="preserve">—</w:t>
            </w:r>
          </w:p>
        </w:tc>
        <w:tc>
          <w:tcPr/>
          <w:p>
            <w:pPr>
              <w:pStyle w:val="Compact"/>
              <w:jc w:val="left"/>
            </w:pPr>
            <w:r>
              <w:t xml:space="preserve">CL(T)</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Instruction de la Direction</w:t>
            </w:r>
          </w:p>
        </w:tc>
        <w:tc>
          <w:tcPr/>
          <w:p>
            <w:pPr>
              <w:pStyle w:val="Compact"/>
              <w:jc w:val="left"/>
            </w:pPr>
            <w:r>
              <w:t xml:space="preserve">LV(S)</w:t>
            </w:r>
          </w:p>
        </w:tc>
        <w:tc>
          <w:tcPr/>
          <w:p>
            <w:pPr>
              <w:pStyle w:val="Compact"/>
              <w:jc w:val="left"/>
            </w:pPr>
            <w:r>
              <w:t xml:space="preserve">LV(S)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Courrier</w:t>
            </w:r>
          </w:p>
        </w:tc>
        <w:tc>
          <w:tcPr/>
          <w:p>
            <w:pPr>
              <w:pStyle w:val="Compact"/>
              <w:jc w:val="left"/>
            </w:pPr>
            <w:r>
              <w:t xml:space="preserve">L(U)</w:t>
            </w:r>
          </w:p>
        </w:tc>
        <w:tc>
          <w:tcPr/>
          <w:p>
            <w:pPr>
              <w:pStyle w:val="Compact"/>
              <w:jc w:val="left"/>
            </w:pPr>
            <w:r>
              <w:t xml:space="preserve">L(U)</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Note de service</w:t>
            </w:r>
          </w:p>
        </w:tc>
        <w:tc>
          <w:tcPr/>
          <w:p>
            <w:pPr>
              <w:pStyle w:val="Compact"/>
              <w:jc w:val="left"/>
            </w:pPr>
            <w:r>
              <w:t xml:space="preserve">CL(T)</w:t>
            </w:r>
          </w:p>
        </w:tc>
        <w:tc>
          <w:tcPr/>
          <w:p>
            <w:pPr>
              <w:pStyle w:val="Compact"/>
              <w:jc w:val="left"/>
            </w:pPr>
            <w:r>
              <w:t xml:space="preserve">CL(T)</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Journal d’audit</w:t>
            </w:r>
          </w:p>
        </w:tc>
        <w:tc>
          <w:tcPr/>
          <w:p>
            <w:pPr>
              <w:pStyle w:val="Compact"/>
              <w:jc w:val="left"/>
            </w:pPr>
            <w:r>
              <w:t xml:space="preserve">L(P)</w:t>
            </w:r>
          </w:p>
        </w:tc>
        <w:tc>
          <w:tcPr/>
          <w:p>
            <w:pPr>
              <w:pStyle w:val="Compact"/>
              <w:jc w:val="left"/>
            </w:pPr>
            <w:r>
              <w:t xml:space="preserve">L(P)</w:t>
            </w:r>
          </w:p>
        </w:tc>
        <w:tc>
          <w:tcPr/>
          <w:p>
            <w:pPr>
              <w:pStyle w:val="Compact"/>
              <w:jc w:val="left"/>
            </w:pPr>
            <w:r>
              <w:t xml:space="preserve">—</w:t>
            </w:r>
          </w:p>
        </w:tc>
        <w:tc>
          <w:tcPr/>
          <w:p>
            <w:pPr>
              <w:pStyle w:val="Compact"/>
              <w:jc w:val="left"/>
            </w:pPr>
            <w:r>
              <w:t xml:space="preserve">L(T)</w:t>
            </w:r>
          </w:p>
        </w:tc>
      </w:tr>
      <w:tr>
        <w:tc>
          <w:tcPr/>
          <w:p>
            <w:pPr>
              <w:pStyle w:val="Compact"/>
              <w:jc w:val="left"/>
            </w:pPr>
            <w:r>
              <w:t xml:space="preserve">Paramétrage</w:t>
            </w:r>
          </w:p>
        </w:tc>
        <w:tc>
          <w:tcPr/>
          <w:p>
            <w:pPr>
              <w:pStyle w:val="Compact"/>
              <w:jc w:val="left"/>
            </w:pPr>
            <w:r>
              <w:t xml:space="preserve">M(D4, D6)</w:t>
            </w:r>
          </w:p>
        </w:tc>
        <w:tc>
          <w:tcPr/>
          <w:p>
            <w:pPr>
              <w:pStyle w:val="Compact"/>
              <w:jc w:val="left"/>
            </w:pPr>
            <w:r>
              <w:t xml:space="preserve">M(D5)</w:t>
            </w:r>
          </w:p>
        </w:tc>
        <w:tc>
          <w:tcPr/>
          <w:p>
            <w:pPr>
              <w:pStyle w:val="Compact"/>
              <w:jc w:val="left"/>
            </w:pPr>
            <w:r>
              <w:t xml:space="preserve">—</w:t>
            </w:r>
          </w:p>
        </w:tc>
        <w:tc>
          <w:tcPr/>
          <w:p>
            <w:pPr>
              <w:pStyle w:val="Compact"/>
              <w:jc w:val="left"/>
            </w:pPr>
            <w:r>
              <w:t xml:space="preserve">CLM(T)</w:t>
            </w:r>
          </w:p>
        </w:tc>
      </w:tr>
    </w:tbl>
    <w:p>
      <w:pPr>
        <w:pStyle w:val="BodyText"/>
      </w:pPr>
      <w:r>
        <w:rPr>
          <w:bCs/>
          <w:b/>
        </w:rPr>
        <w:t xml:space="preserve">Lectures obligatoires de cette matrice.</w:t>
      </w:r>
      <w:r>
        <w:t xml:space="preserve"> </w:t>
      </w:r>
      <w:r>
        <w:t xml:space="preserve">L’administrateur CSID n’a</w:t>
      </w:r>
      <w:r>
        <w:t xml:space="preserve"> </w:t>
      </w:r>
      <w:r>
        <w:t xml:space="preserve">accès à aucun objet protégé : ni dossier agent, ni bulletin, ni</w:t>
      </w:r>
      <w:r>
        <w:t xml:space="preserve"> </w:t>
      </w:r>
      <w:r>
        <w:t xml:space="preserve">justificatif médical, ni instruction. Le DN et le DNA valident la</w:t>
      </w:r>
      <w:r>
        <w:t xml:space="preserve"> </w:t>
      </w:r>
      <w:r>
        <w:t xml:space="preserve">campagne de paie lorsque le seuil l’impose, mais n’accèdent pas aux</w:t>
      </w:r>
      <w:r>
        <w:t xml:space="preserve"> </w:t>
      </w:r>
      <w:r>
        <w:t xml:space="preserve">bulletins individuels. Le DRH accède aux justificatifs médicaux, le SAF</w:t>
      </w:r>
      <w:r>
        <w:t xml:space="preserve"> </w:t>
      </w:r>
      <w:r>
        <w:t xml:space="preserve">n’y accède pas. Toute consultation d’un objet protégé est journalisée</w:t>
      </w:r>
      <w:r>
        <w:t xml:space="preserve"> </w:t>
      </w:r>
      <w:r>
        <w:t xml:space="preserve">(SIG-RF-SEC-11).</w:t>
      </w:r>
    </w:p>
    <w:bookmarkEnd w:id="344"/>
    <w:bookmarkStart w:id="345" w:name="objets-du-domaine-modélisation"/>
    <w:p>
      <w:pPr>
        <w:pStyle w:val="Heading3"/>
      </w:pPr>
      <w:r>
        <w:t xml:space="preserve">1.3 Objets du domaine modélisation</w:t>
      </w:r>
    </w:p>
    <w:p>
      <w:pPr>
        <w:pStyle w:val="FirstParagraph"/>
      </w:pPr>
      <w:r>
        <w:t xml:space="preserve">Ces objets ne sont pas bornés par le périmètre organisationnel (Partie 0, section 5.3, règle 4). Les colonnes sont des</w:t>
      </w:r>
      <w:r>
        <w:t xml:space="preserve"> </w:t>
      </w:r>
      <w:r>
        <w:rPr>
          <w:bCs/>
          <w:b/>
        </w:rPr>
        <w:t xml:space="preserve">rôles fonctionnels</w:t>
      </w:r>
      <w:r>
        <w:t xml:space="preserve">, cumulables avec n’importe quel périmètre : la ligne « Analyste » vaut aussi bien pour un chargé d’études que pour le Directeur National titulaire de ce rôle.</w:t>
      </w:r>
    </w:p>
    <w:tbl>
      <w:tblPr>
        <w:tblStyle w:val="Table"/>
        <w:tblW w:type="dxa" w:w="9354"/>
        <w:tblLayout w:type="fixed"/>
        <w:tblLook w:firstRow="1" w:lastRow="0" w:firstColumn="0" w:lastColumn="0" w:noHBand="0" w:noVBand="0" w:val="0020"/>
        <w:jc w:val="start"/>
      </w:tblPr>
      <w:tblGrid>
        <w:gridCol w:w="1471"/>
        <w:gridCol w:w="1317"/>
        <w:gridCol w:w="1367"/>
        <w:gridCol w:w="1277"/>
        <w:gridCol w:w="1281"/>
        <w:gridCol w:w="1346"/>
        <w:gridCol w:w="1295"/>
      </w:tblGrid>
      <w:tr>
        <w:trPr>
          <w:tblHeader w:val="true"/>
        </w:trPr>
        <w:tc>
          <w:tcPr/>
          <w:p>
            <w:pPr>
              <w:pStyle w:val="Compact"/>
              <w:jc w:val="left"/>
            </w:pPr>
            <w:r>
              <w:t xml:space="preserve">Objet</w:t>
            </w:r>
          </w:p>
        </w:tc>
        <w:tc>
          <w:tcPr/>
          <w:p>
            <w:pPr>
              <w:pStyle w:val="Compact"/>
              <w:jc w:val="left"/>
            </w:pPr>
            <w:r>
              <w:t xml:space="preserve">Analyste</w:t>
            </w:r>
          </w:p>
        </w:tc>
        <w:tc>
          <w:tcPr/>
          <w:p>
            <w:pPr>
              <w:pStyle w:val="Compact"/>
              <w:jc w:val="left"/>
            </w:pPr>
            <w:r>
              <w:t xml:space="preserve">Responsable de modèle</w:t>
            </w:r>
          </w:p>
        </w:tc>
        <w:tc>
          <w:tcPr/>
          <w:p>
            <w:pPr>
              <w:pStyle w:val="Compact"/>
              <w:jc w:val="left"/>
            </w:pPr>
            <w:r>
              <w:t xml:space="preserve">Décideur</w:t>
            </w:r>
          </w:p>
        </w:tc>
        <w:tc>
          <w:tcPr/>
          <w:p>
            <w:pPr>
              <w:pStyle w:val="Compact"/>
              <w:jc w:val="left"/>
            </w:pPr>
            <w:r>
              <w:t xml:space="preserve">Validateur</w:t>
            </w:r>
          </w:p>
        </w:tc>
        <w:tc>
          <w:tcPr/>
          <w:p>
            <w:pPr>
              <w:pStyle w:val="Compact"/>
              <w:jc w:val="left"/>
            </w:pPr>
            <w:r>
              <w:t xml:space="preserve">Administrateur</w:t>
            </w:r>
          </w:p>
        </w:tc>
        <w:tc>
          <w:tcPr/>
          <w:p>
            <w:pPr>
              <w:pStyle w:val="Compact"/>
              <w:jc w:val="left"/>
            </w:pPr>
            <w:r>
              <w:t xml:space="preserve">Compte externe</w:t>
            </w:r>
          </w:p>
        </w:tc>
      </w:tr>
      <w:tr>
        <w:tc>
          <w:tcPr/>
          <w:p>
            <w:pPr>
              <w:pStyle w:val="Compact"/>
              <w:jc w:val="left"/>
            </w:pPr>
            <w:r>
              <w:t xml:space="preserve">Fiche de modèle</w:t>
            </w:r>
          </w:p>
        </w:tc>
        <w:tc>
          <w:tcPr/>
          <w:p>
            <w:pPr>
              <w:pStyle w:val="Compact"/>
              <w:jc w:val="left"/>
            </w:pPr>
            <w:r>
              <w:t xml:space="preserve">L(T)</w:t>
            </w:r>
          </w:p>
        </w:tc>
        <w:tc>
          <w:tcPr/>
          <w:p>
            <w:pPr>
              <w:pStyle w:val="Compact"/>
              <w:jc w:val="left"/>
            </w:pPr>
            <w:r>
              <w:t xml:space="preserve">LM(T) sur ses modèles</w:t>
            </w:r>
          </w:p>
        </w:tc>
        <w:tc>
          <w:tcPr/>
          <w:p>
            <w:pPr>
              <w:pStyle w:val="Compact"/>
              <w:jc w:val="left"/>
            </w:pPr>
            <w:r>
              <w:t xml:space="preserve">L(T)</w:t>
            </w:r>
          </w:p>
        </w:tc>
        <w:tc>
          <w:tcPr/>
          <w:p>
            <w:pPr>
              <w:pStyle w:val="Compact"/>
              <w:jc w:val="left"/>
            </w:pPr>
            <w:r>
              <w:t xml:space="preserve">L(T)</w:t>
            </w:r>
          </w:p>
        </w:tc>
        <w:tc>
          <w:tcPr/>
          <w:p>
            <w:pPr>
              <w:pStyle w:val="Compact"/>
              <w:jc w:val="left"/>
            </w:pPr>
            <w:r>
              <w:t xml:space="preserve">CLMS(T)</w:t>
            </w:r>
          </w:p>
        </w:tc>
        <w:tc>
          <w:tcPr/>
          <w:p>
            <w:pPr>
              <w:pStyle w:val="Compact"/>
              <w:jc w:val="left"/>
            </w:pPr>
            <w:r>
              <w:t xml:space="preserve">—</w:t>
            </w:r>
          </w:p>
        </w:tc>
      </w:tr>
      <w:tr>
        <w:tc>
          <w:tcPr/>
          <w:p>
            <w:pPr>
              <w:pStyle w:val="Compact"/>
              <w:jc w:val="left"/>
            </w:pPr>
            <w:r>
              <w:t xml:space="preserve">Version de modèle</w:t>
            </w:r>
          </w:p>
        </w:tc>
        <w:tc>
          <w:tcPr/>
          <w:p>
            <w:pPr>
              <w:pStyle w:val="Compact"/>
              <w:jc w:val="left"/>
            </w:pPr>
            <w:r>
              <w:t xml:space="preserve">L(T)</w:t>
            </w:r>
          </w:p>
        </w:tc>
        <w:tc>
          <w:tcPr/>
          <w:p>
            <w:pPr>
              <w:pStyle w:val="Compact"/>
              <w:jc w:val="left"/>
            </w:pPr>
            <w:r>
              <w:t xml:space="preserve">LV(T) sur ses modèles</w:t>
            </w:r>
          </w:p>
        </w:tc>
        <w:tc>
          <w:tcPr/>
          <w:p>
            <w:pPr>
              <w:pStyle w:val="Compact"/>
              <w:jc w:val="left"/>
            </w:pPr>
            <w:r>
              <w:t xml:space="preserve">L(T)</w:t>
            </w:r>
          </w:p>
        </w:tc>
        <w:tc>
          <w:tcPr/>
          <w:p>
            <w:pPr>
              <w:pStyle w:val="Compact"/>
              <w:jc w:val="left"/>
            </w:pPr>
            <w:r>
              <w:t xml:space="preserve">L(T)</w:t>
            </w:r>
          </w:p>
        </w:tc>
        <w:tc>
          <w:tcPr/>
          <w:p>
            <w:pPr>
              <w:pStyle w:val="Compact"/>
              <w:jc w:val="left"/>
            </w:pPr>
            <w:r>
              <w:t xml:space="preserve">CL(T), activation sur visa du responsable</w:t>
            </w:r>
          </w:p>
        </w:tc>
        <w:tc>
          <w:tcPr/>
          <w:p>
            <w:pPr>
              <w:pStyle w:val="Compact"/>
              <w:jc w:val="left"/>
            </w:pPr>
            <w:r>
              <w:t xml:space="preserve">—</w:t>
            </w:r>
          </w:p>
        </w:tc>
      </w:tr>
      <w:tr>
        <w:tc>
          <w:tcPr/>
          <w:p>
            <w:pPr>
              <w:pStyle w:val="Compact"/>
              <w:jc w:val="left"/>
            </w:pPr>
            <w:r>
              <w:t xml:space="preserve">Base de référence</w:t>
            </w:r>
          </w:p>
        </w:tc>
        <w:tc>
          <w:tcPr/>
          <w:p>
            <w:pPr>
              <w:pStyle w:val="Compact"/>
              <w:jc w:val="left"/>
            </w:pPr>
            <w:r>
              <w:t xml:space="preserve">L(T)</w:t>
            </w:r>
          </w:p>
        </w:tc>
        <w:tc>
          <w:tcPr/>
          <w:p>
            <w:pPr>
              <w:pStyle w:val="Compact"/>
              <w:jc w:val="left"/>
            </w:pPr>
            <w:r>
              <w:t xml:space="preserve">LV(T)</w:t>
            </w:r>
          </w:p>
        </w:tc>
        <w:tc>
          <w:tcPr/>
          <w:p>
            <w:pPr>
              <w:pStyle w:val="Compact"/>
              <w:jc w:val="left"/>
            </w:pPr>
            <w:r>
              <w:t xml:space="preserve">L(T)</w:t>
            </w:r>
          </w:p>
        </w:tc>
        <w:tc>
          <w:tcPr/>
          <w:p>
            <w:pPr>
              <w:pStyle w:val="Compact"/>
              <w:jc w:val="left"/>
            </w:pPr>
            <w:r>
              <w:t xml:space="preserve">L(T)</w:t>
            </w:r>
          </w:p>
        </w:tc>
        <w:tc>
          <w:tcPr/>
          <w:p>
            <w:pPr>
              <w:pStyle w:val="Compact"/>
              <w:jc w:val="left"/>
            </w:pPr>
            <w:r>
              <w:t xml:space="preserve">CLM(T)</w:t>
            </w:r>
          </w:p>
        </w:tc>
        <w:tc>
          <w:tcPr/>
          <w:p>
            <w:pPr>
              <w:pStyle w:val="Compact"/>
              <w:jc w:val="left"/>
            </w:pPr>
            <w:r>
              <w:t xml:space="preserve">—</w:t>
            </w:r>
          </w:p>
        </w:tc>
      </w:tr>
      <w:tr>
        <w:tc>
          <w:tcPr/>
          <w:p>
            <w:pPr>
              <w:pStyle w:val="Compact"/>
              <w:jc w:val="left"/>
            </w:pPr>
            <w:r>
              <w:t xml:space="preserve">Paramètre de choc déclaré</w:t>
            </w:r>
          </w:p>
        </w:tc>
        <w:tc>
          <w:tcPr/>
          <w:p>
            <w:pPr>
              <w:pStyle w:val="Compact"/>
              <w:jc w:val="left"/>
            </w:pPr>
            <w:r>
              <w:t xml:space="preserve">L(T)</w:t>
            </w:r>
          </w:p>
        </w:tc>
        <w:tc>
          <w:tcPr/>
          <w:p>
            <w:pPr>
              <w:pStyle w:val="Compact"/>
              <w:jc w:val="left"/>
            </w:pPr>
            <w:r>
              <w:t xml:space="preserve">LM(T)</w:t>
            </w:r>
          </w:p>
        </w:tc>
        <w:tc>
          <w:tcPr/>
          <w:p>
            <w:pPr>
              <w:pStyle w:val="Compact"/>
              <w:jc w:val="left"/>
            </w:pPr>
            <w:r>
              <w:t xml:space="preserve">L(T)</w:t>
            </w:r>
          </w:p>
        </w:tc>
        <w:tc>
          <w:tcPr/>
          <w:p>
            <w:pPr>
              <w:pStyle w:val="Compact"/>
              <w:jc w:val="left"/>
            </w:pPr>
            <w:r>
              <w:t xml:space="preserve">L(T)</w:t>
            </w:r>
          </w:p>
        </w:tc>
        <w:tc>
          <w:tcPr/>
          <w:p>
            <w:pPr>
              <w:pStyle w:val="Compact"/>
              <w:jc w:val="left"/>
            </w:pPr>
            <w:r>
              <w:t xml:space="preserve">LM(T)</w:t>
            </w:r>
          </w:p>
        </w:tc>
        <w:tc>
          <w:tcPr/>
          <w:p>
            <w:pPr>
              <w:pStyle w:val="Compact"/>
              <w:jc w:val="left"/>
            </w:pPr>
            <w:r>
              <w:t xml:space="preserve">—</w:t>
            </w:r>
          </w:p>
        </w:tc>
      </w:tr>
      <w:tr>
        <w:tc>
          <w:tcPr/>
          <w:p>
            <w:pPr>
              <w:pStyle w:val="Compact"/>
              <w:jc w:val="left"/>
            </w:pPr>
            <w:r>
              <w:t xml:space="preserve">Scénario et chocs</w:t>
            </w:r>
          </w:p>
        </w:tc>
        <w:tc>
          <w:tcPr/>
          <w:p>
            <w:pPr>
              <w:pStyle w:val="Compact"/>
              <w:jc w:val="left"/>
            </w:pPr>
            <w:r>
              <w:t xml:space="preserve">CLMS(S), L(T) sur les scénarios partagés</w:t>
            </w:r>
          </w:p>
        </w:tc>
        <w:tc>
          <w:tcPr/>
          <w:p>
            <w:pPr>
              <w:pStyle w:val="Compact"/>
              <w:jc w:val="left"/>
            </w:pPr>
            <w:r>
              <w:t xml:space="preserve">CLM(T)</w:t>
            </w:r>
          </w:p>
        </w:tc>
        <w:tc>
          <w:tcPr/>
          <w:p>
            <w:pPr>
              <w:pStyle w:val="Compact"/>
              <w:jc w:val="left"/>
            </w:pPr>
            <w:r>
              <w:t xml:space="preserve">L(T)</w:t>
            </w:r>
          </w:p>
        </w:tc>
        <w:tc>
          <w:tcPr/>
          <w:p>
            <w:pPr>
              <w:pStyle w:val="Compact"/>
              <w:jc w:val="left"/>
            </w:pPr>
            <w:r>
              <w:t xml:space="preserve">L(T)</w:t>
            </w:r>
          </w:p>
        </w:tc>
        <w:tc>
          <w:tcPr/>
          <w:p>
            <w:pPr>
              <w:pStyle w:val="Compact"/>
              <w:jc w:val="left"/>
            </w:pPr>
            <w:r>
              <w:t xml:space="preserve">L(T)</w:t>
            </w:r>
          </w:p>
        </w:tc>
        <w:tc>
          <w:tcPr/>
          <w:p>
            <w:pPr>
              <w:pStyle w:val="Compact"/>
              <w:jc w:val="left"/>
            </w:pPr>
            <w:r>
              <w:t xml:space="preserve">—</w:t>
            </w:r>
          </w:p>
        </w:tc>
      </w:tr>
      <w:tr>
        <w:tc>
          <w:tcPr/>
          <w:p>
            <w:pPr>
              <w:pStyle w:val="Compact"/>
              <w:jc w:val="left"/>
            </w:pPr>
            <w:r>
              <w:t xml:space="preserve">Simulation exploratoire</w:t>
            </w:r>
          </w:p>
        </w:tc>
        <w:tc>
          <w:tcPr/>
          <w:p>
            <w:pPr>
              <w:pStyle w:val="Compact"/>
              <w:jc w:val="left"/>
            </w:pPr>
            <w:r>
              <w:t xml:space="preserve">CLMS(S)</w:t>
            </w:r>
          </w:p>
        </w:tc>
        <w:tc>
          <w:tcPr/>
          <w:p>
            <w:pPr>
              <w:pStyle w:val="Compact"/>
              <w:jc w:val="left"/>
            </w:pPr>
            <w:r>
              <w:t xml:space="preserve">L(T) sur ses modèles</w:t>
            </w:r>
          </w:p>
        </w:tc>
        <w:tc>
          <w:tcPr/>
          <w:p>
            <w:pPr>
              <w:pStyle w:val="Compact"/>
              <w:jc w:val="left"/>
            </w:pPr>
            <w:r>
              <w:t xml:space="preserve">—</w:t>
            </w:r>
          </w:p>
        </w:tc>
        <w:tc>
          <w:tcPr/>
          <w:p>
            <w:pPr>
              <w:pStyle w:val="Compact"/>
              <w:jc w:val="left"/>
            </w:pPr>
            <w:r>
              <w:t xml:space="preserve">—</w:t>
            </w:r>
          </w:p>
        </w:tc>
        <w:tc>
          <w:tcPr/>
          <w:p>
            <w:pPr>
              <w:pStyle w:val="Compact"/>
              <w:jc w:val="left"/>
            </w:pPr>
            <w:r>
              <w:t xml:space="preserve">L(T)</w:t>
            </w:r>
          </w:p>
        </w:tc>
        <w:tc>
          <w:tcPr/>
          <w:p>
            <w:pPr>
              <w:pStyle w:val="Compact"/>
              <w:jc w:val="left"/>
            </w:pPr>
            <w:r>
              <w:t xml:space="preserve">—</w:t>
            </w:r>
          </w:p>
        </w:tc>
      </w:tr>
      <w:tr>
        <w:tc>
          <w:tcPr/>
          <w:p>
            <w:pPr>
              <w:pStyle w:val="Compact"/>
              <w:jc w:val="left"/>
            </w:pPr>
            <w:r>
              <w:t xml:space="preserve">Simulation validée</w:t>
            </w:r>
          </w:p>
        </w:tc>
        <w:tc>
          <w:tcPr/>
          <w:p>
            <w:pPr>
              <w:pStyle w:val="Compact"/>
              <w:jc w:val="left"/>
            </w:pPr>
            <w:r>
              <w:t xml:space="preserve">L(T)</w:t>
            </w:r>
          </w:p>
        </w:tc>
        <w:tc>
          <w:tcPr/>
          <w:p>
            <w:pPr>
              <w:pStyle w:val="Compact"/>
              <w:jc w:val="left"/>
            </w:pPr>
            <w:r>
              <w:t xml:space="preserve">LV(T)</w:t>
            </w:r>
          </w:p>
        </w:tc>
        <w:tc>
          <w:tcPr/>
          <w:p>
            <w:pPr>
              <w:pStyle w:val="Compact"/>
              <w:jc w:val="left"/>
            </w:pPr>
            <w:r>
              <w:t xml:space="preserve">L(T)</w:t>
            </w:r>
          </w:p>
        </w:tc>
        <w:tc>
          <w:tcPr/>
          <w:p>
            <w:pPr>
              <w:pStyle w:val="Compact"/>
              <w:jc w:val="left"/>
            </w:pPr>
            <w:r>
              <w:t xml:space="preserve">L(T)</w:t>
            </w:r>
          </w:p>
        </w:tc>
        <w:tc>
          <w:tcPr/>
          <w:p>
            <w:pPr>
              <w:pStyle w:val="Compact"/>
              <w:jc w:val="left"/>
            </w:pPr>
            <w:r>
              <w:t xml:space="preserve">L(T)</w:t>
            </w:r>
          </w:p>
        </w:tc>
        <w:tc>
          <w:tcPr/>
          <w:p>
            <w:pPr>
              <w:pStyle w:val="Compact"/>
              <w:jc w:val="left"/>
            </w:pPr>
            <w:r>
              <w:t xml:space="preserve">—</w:t>
            </w:r>
          </w:p>
        </w:tc>
      </w:tr>
      <w:tr>
        <w:tc>
          <w:tcPr/>
          <w:p>
            <w:pPr>
              <w:pStyle w:val="Compact"/>
              <w:jc w:val="left"/>
            </w:pPr>
            <w:r>
              <w:t xml:space="preserve">Simulation diffusable</w:t>
            </w:r>
          </w:p>
        </w:tc>
        <w:tc>
          <w:tcPr/>
          <w:p>
            <w:pPr>
              <w:pStyle w:val="Compact"/>
              <w:jc w:val="left"/>
            </w:pPr>
            <w:r>
              <w:t xml:space="preserve">L(T)</w:t>
            </w:r>
          </w:p>
        </w:tc>
        <w:tc>
          <w:tcPr/>
          <w:p>
            <w:pPr>
              <w:pStyle w:val="Compact"/>
              <w:jc w:val="left"/>
            </w:pPr>
            <w:r>
              <w:t xml:space="preserve">L(T)</w:t>
            </w:r>
          </w:p>
        </w:tc>
        <w:tc>
          <w:tcPr/>
          <w:p>
            <w:pPr>
              <w:pStyle w:val="Compact"/>
              <w:jc w:val="left"/>
            </w:pPr>
            <w:r>
              <w:t xml:space="preserve">L(T)</w:t>
            </w:r>
          </w:p>
        </w:tc>
        <w:tc>
          <w:tcPr/>
          <w:p>
            <w:pPr>
              <w:pStyle w:val="Compact"/>
              <w:jc w:val="left"/>
            </w:pPr>
            <w:r>
              <w:t xml:space="preserve">V(T)</w:t>
            </w:r>
          </w:p>
        </w:tc>
        <w:tc>
          <w:tcPr/>
          <w:p>
            <w:pPr>
              <w:pStyle w:val="Compact"/>
              <w:jc w:val="left"/>
            </w:pPr>
            <w:r>
              <w:t xml:space="preserve">L(T)</w:t>
            </w:r>
          </w:p>
        </w:tc>
        <w:tc>
          <w:tcPr/>
          <w:p>
            <w:pPr>
              <w:pStyle w:val="Compact"/>
              <w:jc w:val="left"/>
            </w:pPr>
            <w:r>
              <w:t xml:space="preserve">L(T)</w:t>
            </w:r>
          </w:p>
        </w:tc>
      </w:tr>
      <w:tr>
        <w:tc>
          <w:tcPr/>
          <w:p>
            <w:pPr>
              <w:pStyle w:val="Compact"/>
              <w:jc w:val="left"/>
            </w:pPr>
            <w:r>
              <w:t xml:space="preserve">Résultats et comparaisons</w:t>
            </w:r>
          </w:p>
        </w:tc>
        <w:tc>
          <w:tcPr/>
          <w:p>
            <w:pPr>
              <w:pStyle w:val="Compact"/>
              <w:jc w:val="left"/>
            </w:pPr>
            <w:r>
              <w:t xml:space="preserve">L(T)</w:t>
            </w:r>
          </w:p>
        </w:tc>
        <w:tc>
          <w:tcPr/>
          <w:p>
            <w:pPr>
              <w:pStyle w:val="Compact"/>
              <w:jc w:val="left"/>
            </w:pPr>
            <w:r>
              <w:t xml:space="preserve">L(T)</w:t>
            </w:r>
          </w:p>
        </w:tc>
        <w:tc>
          <w:tcPr/>
          <w:p>
            <w:pPr>
              <w:pStyle w:val="Compact"/>
              <w:jc w:val="left"/>
            </w:pPr>
            <w:r>
              <w:t xml:space="preserve">L(T)</w:t>
            </w:r>
          </w:p>
        </w:tc>
        <w:tc>
          <w:tcPr/>
          <w:p>
            <w:pPr>
              <w:pStyle w:val="Compact"/>
              <w:jc w:val="left"/>
            </w:pPr>
            <w:r>
              <w:t xml:space="preserve">L(T)</w:t>
            </w:r>
          </w:p>
        </w:tc>
        <w:tc>
          <w:tcPr/>
          <w:p>
            <w:pPr>
              <w:pStyle w:val="Compact"/>
              <w:jc w:val="left"/>
            </w:pPr>
            <w:r>
              <w:t xml:space="preserve">L(T)</w:t>
            </w:r>
          </w:p>
        </w:tc>
        <w:tc>
          <w:tcPr/>
          <w:p>
            <w:pPr>
              <w:pStyle w:val="Compact"/>
              <w:jc w:val="left"/>
            </w:pPr>
            <w:r>
              <w:t xml:space="preserve">L(T) sur les simulations diffusables</w:t>
            </w:r>
          </w:p>
        </w:tc>
      </w:tr>
      <w:tr>
        <w:tc>
          <w:tcPr/>
          <w:p>
            <w:pPr>
              <w:pStyle w:val="Compact"/>
              <w:jc w:val="left"/>
            </w:pPr>
            <w:r>
              <w:t xml:space="preserve">Rapport en projet</w:t>
            </w:r>
          </w:p>
        </w:tc>
        <w:tc>
          <w:tcPr/>
          <w:p>
            <w:pPr>
              <w:pStyle w:val="Compact"/>
              <w:jc w:val="left"/>
            </w:pPr>
            <w:r>
              <w:t xml:space="preserve">CLM(S)</w:t>
            </w:r>
          </w:p>
        </w:tc>
        <w:tc>
          <w:tcPr/>
          <w:p>
            <w:pPr>
              <w:pStyle w:val="Compact"/>
              <w:jc w:val="left"/>
            </w:pPr>
            <w:r>
              <w:t xml:space="preserve">L(T)</w:t>
            </w:r>
          </w:p>
        </w:tc>
        <w:tc>
          <w:tcPr/>
          <w:p>
            <w:pPr>
              <w:pStyle w:val="Compact"/>
              <w:jc w:val="left"/>
            </w:pPr>
            <w:r>
              <w:t xml:space="preserve">—</w:t>
            </w:r>
          </w:p>
        </w:tc>
        <w:tc>
          <w:tcPr/>
          <w:p>
            <w:pPr>
              <w:pStyle w:val="Compact"/>
              <w:jc w:val="left"/>
            </w:pPr>
            <w:r>
              <w:t xml:space="preserve">L(T)</w:t>
            </w:r>
          </w:p>
        </w:tc>
        <w:tc>
          <w:tcPr/>
          <w:p>
            <w:pPr>
              <w:pStyle w:val="Compact"/>
              <w:jc w:val="left"/>
            </w:pPr>
            <w:r>
              <w:t xml:space="preserve">L(T)</w:t>
            </w:r>
          </w:p>
        </w:tc>
        <w:tc>
          <w:tcPr/>
          <w:p>
            <w:pPr>
              <w:pStyle w:val="Compact"/>
              <w:jc w:val="left"/>
            </w:pPr>
            <w:r>
              <w:t xml:space="preserve">—</w:t>
            </w:r>
          </w:p>
        </w:tc>
      </w:tr>
      <w:tr>
        <w:tc>
          <w:tcPr/>
          <w:p>
            <w:pPr>
              <w:pStyle w:val="Compact"/>
              <w:jc w:val="left"/>
            </w:pPr>
            <w:r>
              <w:t xml:space="preserve">Rapport diffusable</w:t>
            </w:r>
          </w:p>
        </w:tc>
        <w:tc>
          <w:tcPr/>
          <w:p>
            <w:pPr>
              <w:pStyle w:val="Compact"/>
              <w:jc w:val="left"/>
            </w:pPr>
            <w:r>
              <w:t xml:space="preserve">L(T)</w:t>
            </w:r>
          </w:p>
        </w:tc>
        <w:tc>
          <w:tcPr/>
          <w:p>
            <w:pPr>
              <w:pStyle w:val="Compact"/>
              <w:jc w:val="left"/>
            </w:pPr>
            <w:r>
              <w:t xml:space="preserve">L(T)</w:t>
            </w:r>
          </w:p>
        </w:tc>
        <w:tc>
          <w:tcPr/>
          <w:p>
            <w:pPr>
              <w:pStyle w:val="Compact"/>
              <w:jc w:val="left"/>
            </w:pPr>
            <w:r>
              <w:t xml:space="preserve">L(T)</w:t>
            </w:r>
          </w:p>
        </w:tc>
        <w:tc>
          <w:tcPr/>
          <w:p>
            <w:pPr>
              <w:pStyle w:val="Compact"/>
              <w:jc w:val="left"/>
            </w:pPr>
            <w:r>
              <w:t xml:space="preserve">V(T)</w:t>
            </w:r>
          </w:p>
        </w:tc>
        <w:tc>
          <w:tcPr/>
          <w:p>
            <w:pPr>
              <w:pStyle w:val="Compact"/>
              <w:jc w:val="left"/>
            </w:pPr>
            <w:r>
              <w:t xml:space="preserve">L(T)</w:t>
            </w:r>
          </w:p>
        </w:tc>
        <w:tc>
          <w:tcPr/>
          <w:p>
            <w:pPr>
              <w:pStyle w:val="Compact"/>
              <w:jc w:val="left"/>
            </w:pPr>
            <w:r>
              <w:t xml:space="preserve">L(T)</w:t>
            </w:r>
          </w:p>
        </w:tc>
      </w:tr>
      <w:tr>
        <w:tc>
          <w:tcPr/>
          <w:p>
            <w:pPr>
              <w:pStyle w:val="Compact"/>
              <w:jc w:val="left"/>
            </w:pPr>
            <w:r>
              <w:t xml:space="preserve">Dérogation à un contrôle bloquant</w:t>
            </w:r>
          </w:p>
        </w:tc>
        <w:tc>
          <w:tcPr/>
          <w:p>
            <w:pPr>
              <w:pStyle w:val="Compact"/>
              <w:jc w:val="left"/>
            </w:pPr>
            <w:r>
              <w:t xml:space="preserve">—</w:t>
            </w:r>
          </w:p>
        </w:tc>
        <w:tc>
          <w:tcPr/>
          <w:p>
            <w:pPr>
              <w:pStyle w:val="Compact"/>
              <w:jc w:val="left"/>
            </w:pPr>
            <w:r>
              <w:t xml:space="preserve">V(T) sur ses modèles</w:t>
            </w:r>
          </w:p>
        </w:tc>
        <w:tc>
          <w:tcPr/>
          <w:p>
            <w:pPr>
              <w:pStyle w:val="Compact"/>
              <w:jc w:val="left"/>
            </w:pPr>
            <w:r>
              <w:t xml:space="preserve">—</w:t>
            </w:r>
          </w:p>
        </w:tc>
        <w:tc>
          <w:tcPr/>
          <w:p>
            <w:pPr>
              <w:pStyle w:val="Compact"/>
              <w:jc w:val="left"/>
            </w:pPr>
            <w:r>
              <w:t xml:space="preserve">—</w:t>
            </w:r>
          </w:p>
        </w:tc>
        <w:tc>
          <w:tcPr/>
          <w:p>
            <w:pPr>
              <w:pStyle w:val="Compact"/>
              <w:jc w:val="left"/>
            </w:pPr>
            <w:r>
              <w:t xml:space="preserve">C(T), notifiée au responsable</w:t>
            </w:r>
          </w:p>
        </w:tc>
        <w:tc>
          <w:tcPr/>
          <w:p>
            <w:pPr>
              <w:pStyle w:val="Compact"/>
              <w:jc w:val="left"/>
            </w:pPr>
            <w:r>
              <w:t xml:space="preserve">—</w:t>
            </w:r>
          </w:p>
        </w:tc>
      </w:tr>
      <w:tr>
        <w:tc>
          <w:tcPr/>
          <w:p>
            <w:pPr>
              <w:pStyle w:val="Compact"/>
              <w:jc w:val="left"/>
            </w:pPr>
            <w:r>
              <w:t xml:space="preserve">Registre des exécutions et consommation</w:t>
            </w:r>
          </w:p>
        </w:tc>
        <w:tc>
          <w:tcPr/>
          <w:p>
            <w:pPr>
              <w:pStyle w:val="Compact"/>
              <w:jc w:val="left"/>
            </w:pPr>
            <w:r>
              <w:t xml:space="preserve">L(S)</w:t>
            </w:r>
          </w:p>
        </w:tc>
        <w:tc>
          <w:tcPr/>
          <w:p>
            <w:pPr>
              <w:pStyle w:val="Compact"/>
              <w:jc w:val="left"/>
            </w:pPr>
            <w:r>
              <w:t xml:space="preserve">L(T) sur ses modèles</w:t>
            </w:r>
          </w:p>
        </w:tc>
        <w:tc>
          <w:tcPr/>
          <w:p>
            <w:pPr>
              <w:pStyle w:val="Compact"/>
              <w:jc w:val="left"/>
            </w:pPr>
            <w:r>
              <w:t xml:space="preserve">—</w:t>
            </w:r>
          </w:p>
        </w:tc>
        <w:tc>
          <w:tcPr/>
          <w:p>
            <w:pPr>
              <w:pStyle w:val="Compact"/>
              <w:jc w:val="left"/>
            </w:pPr>
            <w:r>
              <w:t xml:space="preserve">—</w:t>
            </w:r>
          </w:p>
        </w:tc>
        <w:tc>
          <w:tcPr/>
          <w:p>
            <w:pPr>
              <w:pStyle w:val="Compact"/>
              <w:jc w:val="left"/>
            </w:pPr>
            <w:r>
              <w:t xml:space="preserve">L(T)</w:t>
            </w:r>
          </w:p>
        </w:tc>
        <w:tc>
          <w:tcPr/>
          <w:p>
            <w:pPr>
              <w:pStyle w:val="Compact"/>
              <w:jc w:val="left"/>
            </w:pPr>
            <w:r>
              <w:t xml:space="preserve">—</w:t>
            </w:r>
          </w:p>
        </w:tc>
      </w:tr>
    </w:tbl>
    <w:p>
      <w:pPr>
        <w:pStyle w:val="BodyText"/>
      </w:pPr>
      <w:r>
        <w:rPr>
          <w:bCs/>
          <w:b/>
        </w:rPr>
        <w:t xml:space="preserve">Lecture de deux lignes.</w:t>
      </w:r>
      <w:r>
        <w:t xml:space="preserve"> </w:t>
      </w:r>
      <w:r>
        <w:rPr>
          <w:iCs/>
          <w:i/>
        </w:rPr>
        <w:t xml:space="preserve">Simulation exploratoire</w:t>
      </w:r>
      <w:r>
        <w:t xml:space="preserve"> </w:t>
      </w:r>
      <w:r>
        <w:t xml:space="preserve">: elle n’appartient qu’à son auteur, au responsable du modèle utilisé et à l’administrateur — ni le Décideur, ni le Validateur, ni la hiérarchie de l’auteur n’y accèdent, conformément à la Partie 0, section 3.2.</w:t>
      </w:r>
      <w:r>
        <w:t xml:space="preserve"> </w:t>
      </w:r>
      <w:r>
        <w:rPr>
          <w:iCs/>
          <w:i/>
        </w:rPr>
        <w:t xml:space="preserve">Version de modèle</w:t>
      </w:r>
      <w:r>
        <w:t xml:space="preserve"> </w:t>
      </w:r>
      <w:r>
        <w:t xml:space="preserve">: l’administrateur prépare et dépose, mais l’activation exige le visa économique du responsable du modèle ; aucun des deux ne peut agir seul.</w:t>
      </w:r>
    </w:p>
    <w:bookmarkEnd w:id="345"/>
    <w:bookmarkStart w:id="346" w:name="X72a59dd3694bf06b43a21769cf76b357a6d1540"/>
    <w:p>
      <w:pPr>
        <w:pStyle w:val="Heading3"/>
      </w:pPr>
      <w:r>
        <w:t xml:space="preserve">1.4 Assistant DN/DNA et objets ajoutés en version 2.0</w:t>
      </w:r>
    </w:p>
    <w:p>
      <w:pPr>
        <w:pStyle w:val="FirstParagraph"/>
      </w:pPr>
      <w:r>
        <w:t xml:space="preserve">Codes identiques à ceux des tables précédentes. La colonne « Assistant » vaut pour les secrétaires du Directeur National et du Directeur National Adjoint.</w:t>
      </w:r>
    </w:p>
    <w:tbl>
      <w:tblPr>
        <w:tblStyle w:val="Table"/>
        <w:tblW w:type="dxa" w:w="9354"/>
        <w:tblLayout w:type="fixed"/>
        <w:tblLook w:firstRow="1" w:lastRow="0" w:firstColumn="0" w:lastColumn="0" w:noHBand="0" w:noVBand="0" w:val="0020"/>
        <w:jc w:val="start"/>
      </w:tblPr>
      <w:tblGrid>
        <w:gridCol w:w="1775"/>
        <w:gridCol w:w="1517"/>
        <w:gridCol w:w="1521"/>
        <w:gridCol w:w="1509"/>
        <w:gridCol w:w="1498"/>
        <w:gridCol w:w="1534"/>
      </w:tblGrid>
      <w:tr>
        <w:trPr>
          <w:tblHeader w:val="true"/>
        </w:trPr>
        <w:tc>
          <w:tcPr/>
          <w:p>
            <w:pPr>
              <w:pStyle w:val="Compact"/>
              <w:jc w:val="left"/>
            </w:pPr>
            <w:r>
              <w:t xml:space="preserve">Objet</w:t>
            </w:r>
          </w:p>
        </w:tc>
        <w:tc>
          <w:tcPr/>
          <w:p>
            <w:pPr>
              <w:pStyle w:val="Compact"/>
              <w:jc w:val="left"/>
            </w:pPr>
            <w:r>
              <w:t xml:space="preserve">DN / DNA</w:t>
            </w:r>
          </w:p>
        </w:tc>
        <w:tc>
          <w:tcPr/>
          <w:p>
            <w:pPr>
              <w:pStyle w:val="Compact"/>
              <w:jc w:val="left"/>
            </w:pPr>
            <w:r>
              <w:t xml:space="preserve">Assistant DN/DNA</w:t>
            </w:r>
          </w:p>
        </w:tc>
        <w:tc>
          <w:tcPr/>
          <w:p>
            <w:pPr>
              <w:pStyle w:val="Compact"/>
              <w:jc w:val="left"/>
            </w:pPr>
            <w:r>
              <w:t xml:space="preserve">Chef SAF</w:t>
            </w:r>
          </w:p>
        </w:tc>
        <w:tc>
          <w:tcPr/>
          <w:p>
            <w:pPr>
              <w:pStyle w:val="Compact"/>
              <w:jc w:val="left"/>
            </w:pPr>
            <w:r>
              <w:t xml:space="preserve">DRH</w:t>
            </w:r>
          </w:p>
        </w:tc>
        <w:tc>
          <w:tcPr/>
          <w:p>
            <w:pPr>
              <w:pStyle w:val="Compact"/>
              <w:jc w:val="left"/>
            </w:pPr>
            <w:r>
              <w:t xml:space="preserve">Administrateur</w:t>
            </w:r>
          </w:p>
        </w:tc>
      </w:tr>
      <w:tr>
        <w:tc>
          <w:tcPr/>
          <w:p>
            <w:pPr>
              <w:pStyle w:val="Compact"/>
              <w:jc w:val="left"/>
            </w:pPr>
            <w:r>
              <w:t xml:space="preserve">Courrier entrant</w:t>
            </w:r>
          </w:p>
        </w:tc>
        <w:tc>
          <w:tcPr/>
          <w:p>
            <w:pPr>
              <w:pStyle w:val="Compact"/>
              <w:jc w:val="left"/>
            </w:pPr>
            <w:r>
              <w:t xml:space="preserve">CLMV(T)</w:t>
            </w:r>
          </w:p>
        </w:tc>
        <w:tc>
          <w:tcPr/>
          <w:p>
            <w:pPr>
              <w:pStyle w:val="Compact"/>
              <w:jc w:val="left"/>
            </w:pPr>
            <w:r>
              <w:t xml:space="preserve">CLM(T)</w:t>
            </w:r>
          </w:p>
        </w:tc>
        <w:tc>
          <w:tcPr/>
          <w:p>
            <w:pPr>
              <w:pStyle w:val="Compact"/>
              <w:jc w:val="left"/>
            </w:pPr>
            <w:r>
              <w:t xml:space="preserve">L(T)</w:t>
            </w:r>
          </w:p>
        </w:tc>
        <w:tc>
          <w:tcPr/>
          <w:p>
            <w:pPr>
              <w:pStyle w:val="Compact"/>
              <w:jc w:val="left"/>
            </w:pPr>
            <w:r>
              <w:t xml:space="preserve">L(T)</w:t>
            </w:r>
          </w:p>
        </w:tc>
        <w:tc>
          <w:tcPr/>
          <w:p>
            <w:pPr>
              <w:pStyle w:val="Compact"/>
              <w:jc w:val="left"/>
            </w:pPr>
            <w:r>
              <w:t xml:space="preserve">—</w:t>
            </w:r>
          </w:p>
        </w:tc>
      </w:tr>
      <w:tr>
        <w:tc>
          <w:tcPr/>
          <w:p>
            <w:pPr>
              <w:pStyle w:val="Compact"/>
              <w:jc w:val="left"/>
            </w:pPr>
            <w:r>
              <w:t xml:space="preserve">Imputation d’un courrier</w:t>
            </w:r>
          </w:p>
        </w:tc>
        <w:tc>
          <w:tcPr/>
          <w:p>
            <w:pPr>
              <w:pStyle w:val="Compact"/>
              <w:jc w:val="left"/>
            </w:pPr>
            <w:r>
              <w:t xml:space="preserve">V(T)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Convocation et compte rendu de réunion</w:t>
            </w:r>
          </w:p>
        </w:tc>
        <w:tc>
          <w:tcPr/>
          <w:p>
            <w:pPr>
              <w:pStyle w:val="Compact"/>
              <w:jc w:val="left"/>
            </w:pPr>
            <w:r>
              <w:t xml:space="preserve">CLMV(T)</w:t>
            </w:r>
          </w:p>
        </w:tc>
        <w:tc>
          <w:tcPr/>
          <w:p>
            <w:pPr>
              <w:pStyle w:val="Compact"/>
              <w:jc w:val="left"/>
            </w:pPr>
            <w:r>
              <w:t xml:space="preserve">CLM(T)</w:t>
            </w:r>
          </w:p>
        </w:tc>
        <w:tc>
          <w:tcPr/>
          <w:p>
            <w:pPr>
              <w:pStyle w:val="Compact"/>
              <w:jc w:val="left"/>
            </w:pPr>
            <w:r>
              <w:t xml:space="preserve">L(P)</w:t>
            </w:r>
          </w:p>
        </w:tc>
        <w:tc>
          <w:tcPr/>
          <w:p>
            <w:pPr>
              <w:pStyle w:val="Compact"/>
              <w:jc w:val="left"/>
            </w:pPr>
            <w:r>
              <w:t xml:space="preserve">L(P)</w:t>
            </w:r>
          </w:p>
        </w:tc>
        <w:tc>
          <w:tcPr/>
          <w:p>
            <w:pPr>
              <w:pStyle w:val="Compact"/>
              <w:jc w:val="left"/>
            </w:pPr>
            <w:r>
              <w:t xml:space="preserve">—</w:t>
            </w:r>
          </w:p>
        </w:tc>
      </w:tr>
      <w:tr>
        <w:tc>
          <w:tcPr/>
          <w:p>
            <w:pPr>
              <w:pStyle w:val="Compact"/>
              <w:jc w:val="left"/>
            </w:pPr>
            <w:r>
              <w:t xml:space="preserve">Instruction de la Direction</w:t>
            </w:r>
          </w:p>
        </w:tc>
        <w:tc>
          <w:tcPr/>
          <w:p>
            <w:pPr>
              <w:pStyle w:val="Compact"/>
              <w:jc w:val="left"/>
            </w:pPr>
            <w:r>
              <w:t xml:space="preserve">C(T)</w:t>
            </w:r>
          </w:p>
        </w:tc>
        <w:tc>
          <w:tcPr/>
          <w:p>
            <w:pPr>
              <w:pStyle w:val="Compact"/>
              <w:jc w:val="left"/>
            </w:pPr>
            <w:r>
              <w:t xml:space="preserve">L(T)</w:t>
            </w:r>
          </w:p>
        </w:tc>
        <w:tc>
          <w:tcPr/>
          <w:p>
            <w:pPr>
              <w:pStyle w:val="Compact"/>
              <w:jc w:val="left"/>
            </w:pPr>
            <w:r>
              <w:t xml:space="preserve">LV(T)</w:t>
            </w:r>
          </w:p>
        </w:tc>
        <w:tc>
          <w:tcPr/>
          <w:p>
            <w:pPr>
              <w:pStyle w:val="Compact"/>
              <w:jc w:val="left"/>
            </w:pPr>
            <w:r>
              <w:t xml:space="preserve">L(T)</w:t>
            </w:r>
          </w:p>
        </w:tc>
        <w:tc>
          <w:tcPr/>
          <w:p>
            <w:pPr>
              <w:pStyle w:val="Compact"/>
              <w:jc w:val="left"/>
            </w:pPr>
            <w:r>
              <w:t xml:space="preserve">—</w:t>
            </w:r>
          </w:p>
        </w:tc>
      </w:tr>
      <w:tr>
        <w:tc>
          <w:tcPr/>
          <w:p>
            <w:pPr>
              <w:pStyle w:val="Compact"/>
              <w:jc w:val="left"/>
            </w:pPr>
            <w:r>
              <w:t xml:space="preserve">Message et pièce jointe</w:t>
            </w:r>
          </w:p>
        </w:tc>
        <w:tc>
          <w:tcPr/>
          <w:p>
            <w:pPr>
              <w:pStyle w:val="Compact"/>
              <w:jc w:val="left"/>
            </w:pPr>
            <w:r>
              <w:t xml:space="preserve">CL(S)</w:t>
            </w:r>
          </w:p>
        </w:tc>
        <w:tc>
          <w:tcPr/>
          <w:p>
            <w:pPr>
              <w:pStyle w:val="Compact"/>
              <w:jc w:val="left"/>
            </w:pPr>
            <w:r>
              <w:t xml:space="preserve">CL(S)</w:t>
            </w:r>
          </w:p>
        </w:tc>
        <w:tc>
          <w:tcPr/>
          <w:p>
            <w:pPr>
              <w:pStyle w:val="Compact"/>
              <w:jc w:val="left"/>
            </w:pPr>
            <w:r>
              <w:t xml:space="preserve">CL(S)</w:t>
            </w:r>
          </w:p>
        </w:tc>
        <w:tc>
          <w:tcPr/>
          <w:p>
            <w:pPr>
              <w:pStyle w:val="Compact"/>
              <w:jc w:val="left"/>
            </w:pPr>
            <w:r>
              <w:t xml:space="preserve">CL(S)</w:t>
            </w:r>
          </w:p>
        </w:tc>
        <w:tc>
          <w:tcPr/>
          <w:p>
            <w:pPr>
              <w:pStyle w:val="Compact"/>
              <w:jc w:val="left"/>
            </w:pPr>
            <w:r>
              <w:t xml:space="preserve">CL(S)</w:t>
            </w:r>
          </w:p>
        </w:tc>
      </w:tr>
      <w:tr>
        <w:tc>
          <w:tcPr/>
          <w:p>
            <w:pPr>
              <w:pStyle w:val="Compact"/>
              <w:jc w:val="left"/>
            </w:pPr>
            <w:r>
              <w:t xml:space="preserve">Séquence de numérotation des actes</w:t>
            </w:r>
          </w:p>
        </w:tc>
        <w:tc>
          <w:tcPr/>
          <w:p>
            <w:pPr>
              <w:pStyle w:val="Compact"/>
              <w:jc w:val="left"/>
            </w:pPr>
            <w:r>
              <w:t xml:space="preserve">L(T)</w:t>
            </w:r>
          </w:p>
        </w:tc>
        <w:tc>
          <w:tcPr/>
          <w:p>
            <w:pPr>
              <w:pStyle w:val="Compact"/>
              <w:jc w:val="left"/>
            </w:pPr>
            <w:r>
              <w:t xml:space="preserve">LM(T)</w:t>
            </w:r>
          </w:p>
        </w:tc>
        <w:tc>
          <w:tcPr/>
          <w:p>
            <w:pPr>
              <w:pStyle w:val="Compact"/>
              <w:jc w:val="left"/>
            </w:pPr>
            <w:r>
              <w:t xml:space="preserve">L(T)</w:t>
            </w:r>
          </w:p>
        </w:tc>
        <w:tc>
          <w:tcPr/>
          <w:p>
            <w:pPr>
              <w:pStyle w:val="Compact"/>
              <w:jc w:val="left"/>
            </w:pPr>
            <w:r>
              <w:t xml:space="preserve">LM(T)</w:t>
            </w:r>
          </w:p>
        </w:tc>
        <w:tc>
          <w:tcPr/>
          <w:p>
            <w:pPr>
              <w:pStyle w:val="Compact"/>
              <w:jc w:val="left"/>
            </w:pPr>
            <w:r>
              <w:t xml:space="preserve">LM(T)</w:t>
            </w:r>
          </w:p>
        </w:tc>
      </w:tr>
      <w:tr>
        <w:tc>
          <w:tcPr/>
          <w:p>
            <w:pPr>
              <w:pStyle w:val="Compact"/>
              <w:jc w:val="left"/>
            </w:pPr>
            <w:r>
              <w:t xml:space="preserve">Gabarit d’acte</w:t>
            </w:r>
          </w:p>
        </w:tc>
        <w:tc>
          <w:tcPr/>
          <w:p>
            <w:pPr>
              <w:pStyle w:val="Compact"/>
              <w:jc w:val="left"/>
            </w:pPr>
            <w:r>
              <w:t xml:space="preserve">L(T)</w:t>
            </w:r>
          </w:p>
        </w:tc>
        <w:tc>
          <w:tcPr/>
          <w:p>
            <w:pPr>
              <w:pStyle w:val="Compact"/>
              <w:jc w:val="left"/>
            </w:pPr>
            <w:r>
              <w:t xml:space="preserve">M(T) sur instruction</w:t>
            </w:r>
          </w:p>
        </w:tc>
        <w:tc>
          <w:tcPr/>
          <w:p>
            <w:pPr>
              <w:pStyle w:val="Compact"/>
              <w:jc w:val="left"/>
            </w:pPr>
            <w:r>
              <w:t xml:space="preserve">—</w:t>
            </w:r>
          </w:p>
        </w:tc>
        <w:tc>
          <w:tcPr/>
          <w:p>
            <w:pPr>
              <w:pStyle w:val="Compact"/>
              <w:jc w:val="left"/>
            </w:pPr>
            <w:r>
              <w:t xml:space="preserve">—</w:t>
            </w:r>
          </w:p>
        </w:tc>
        <w:tc>
          <w:tcPr/>
          <w:p>
            <w:pPr>
              <w:pStyle w:val="Compact"/>
              <w:jc w:val="left"/>
            </w:pPr>
            <w:r>
              <w:t xml:space="preserve">M(T) sur instruction</w:t>
            </w:r>
          </w:p>
        </w:tc>
      </w:tr>
      <w:tr>
        <w:tc>
          <w:tcPr/>
          <w:p>
            <w:pPr>
              <w:pStyle w:val="Compact"/>
              <w:jc w:val="left"/>
            </w:pPr>
            <w:r>
              <w:t xml:space="preserve">Élément de rémunération</w:t>
            </w:r>
          </w:p>
        </w:tc>
        <w:tc>
          <w:tcPr/>
          <w:p>
            <w:pPr>
              <w:pStyle w:val="Compact"/>
              <w:jc w:val="left"/>
            </w:pPr>
            <w:r>
              <w:t xml:space="preserve">—</w:t>
            </w:r>
          </w:p>
        </w:tc>
        <w:tc>
          <w:tcPr/>
          <w:p>
            <w:pPr>
              <w:pStyle w:val="Compact"/>
              <w:jc w:val="left"/>
            </w:pPr>
            <w:r>
              <w:t xml:space="preserve">—</w:t>
            </w:r>
          </w:p>
        </w:tc>
        <w:tc>
          <w:tcPr/>
          <w:p>
            <w:pPr>
              <w:pStyle w:val="Compact"/>
              <w:jc w:val="left"/>
            </w:pPr>
            <w:r>
              <w:t xml:space="preserve">LMV(T)</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Ordre de paiement</w:t>
            </w:r>
          </w:p>
        </w:tc>
        <w:tc>
          <w:tcPr/>
          <w:p>
            <w:pPr>
              <w:pStyle w:val="Compact"/>
              <w:jc w:val="left"/>
            </w:pPr>
            <w:r>
              <w:t xml:space="preserve">L(T)</w:t>
            </w:r>
          </w:p>
        </w:tc>
        <w:tc>
          <w:tcPr/>
          <w:p>
            <w:pPr>
              <w:pStyle w:val="Compact"/>
              <w:jc w:val="left"/>
            </w:pPr>
            <w:r>
              <w:t xml:space="preserve">—</w:t>
            </w:r>
          </w:p>
        </w:tc>
        <w:tc>
          <w:tcPr/>
          <w:p>
            <w:pPr>
              <w:pStyle w:val="Compact"/>
              <w:jc w:val="left"/>
            </w:pPr>
            <w:r>
              <w:t xml:space="preserve">CLMV(T)</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Mission et indemnité</w:t>
            </w:r>
          </w:p>
        </w:tc>
        <w:tc>
          <w:tcPr/>
          <w:p>
            <w:pPr>
              <w:pStyle w:val="Compact"/>
              <w:jc w:val="left"/>
            </w:pPr>
            <w:r>
              <w:t xml:space="preserve">L(T)</w:t>
            </w:r>
          </w:p>
        </w:tc>
        <w:tc>
          <w:tcPr/>
          <w:p>
            <w:pPr>
              <w:pStyle w:val="Compact"/>
              <w:jc w:val="left"/>
            </w:pPr>
            <w:r>
              <w:t xml:space="preserve">L(T)</w:t>
            </w:r>
          </w:p>
        </w:tc>
        <w:tc>
          <w:tcPr/>
          <w:p>
            <w:pPr>
              <w:pStyle w:val="Compact"/>
              <w:jc w:val="left"/>
            </w:pPr>
            <w:r>
              <w:t xml:space="preserve">CLMV(T)</w:t>
            </w:r>
          </w:p>
        </w:tc>
        <w:tc>
          <w:tcPr/>
          <w:p>
            <w:pPr>
              <w:pStyle w:val="Compact"/>
              <w:jc w:val="left"/>
            </w:pPr>
            <w:r>
              <w:t xml:space="preserve">L(T)</w:t>
            </w:r>
          </w:p>
        </w:tc>
        <w:tc>
          <w:tcPr/>
          <w:p>
            <w:pPr>
              <w:pStyle w:val="Compact"/>
              <w:jc w:val="left"/>
            </w:pPr>
            <w:r>
              <w:t xml:space="preserve">—</w:t>
            </w:r>
          </w:p>
        </w:tc>
      </w:tr>
      <w:tr>
        <w:tc>
          <w:tcPr/>
          <w:p>
            <w:pPr>
              <w:pStyle w:val="Compact"/>
              <w:jc w:val="left"/>
            </w:pPr>
            <w:r>
              <w:t xml:space="preserve">Ligne budgétaire et état financier</w:t>
            </w:r>
          </w:p>
        </w:tc>
        <w:tc>
          <w:tcPr/>
          <w:p>
            <w:pPr>
              <w:pStyle w:val="Compact"/>
              <w:jc w:val="left"/>
            </w:pPr>
            <w:r>
              <w:t xml:space="preserve">L(T)</w:t>
            </w:r>
          </w:p>
        </w:tc>
        <w:tc>
          <w:tcPr/>
          <w:p>
            <w:pPr>
              <w:pStyle w:val="Compact"/>
              <w:jc w:val="left"/>
            </w:pPr>
            <w:r>
              <w:t xml:space="preserve">L(T)</w:t>
            </w:r>
          </w:p>
        </w:tc>
        <w:tc>
          <w:tcPr/>
          <w:p>
            <w:pPr>
              <w:pStyle w:val="Compact"/>
              <w:jc w:val="left"/>
            </w:pPr>
            <w:r>
              <w:t xml:space="preserve">CLM(T)</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Mouvement de carrière et acte RH</w:t>
            </w:r>
          </w:p>
        </w:tc>
        <w:tc>
          <w:tcPr/>
          <w:p>
            <w:pPr>
              <w:pStyle w:val="Compact"/>
              <w:jc w:val="left"/>
            </w:pPr>
            <w:r>
              <w:t xml:space="preserve">V(T)</w:t>
            </w:r>
          </w:p>
        </w:tc>
        <w:tc>
          <w:tcPr/>
          <w:p>
            <w:pPr>
              <w:pStyle w:val="Compact"/>
              <w:jc w:val="left"/>
            </w:pPr>
            <w:r>
              <w:t xml:space="preserve">—</w:t>
            </w:r>
          </w:p>
        </w:tc>
        <w:tc>
          <w:tcPr/>
          <w:p>
            <w:pPr>
              <w:pStyle w:val="Compact"/>
              <w:jc w:val="left"/>
            </w:pPr>
            <w:r>
              <w:t xml:space="preserve">—</w:t>
            </w:r>
          </w:p>
        </w:tc>
        <w:tc>
          <w:tcPr/>
          <w:p>
            <w:pPr>
              <w:pStyle w:val="Compact"/>
              <w:jc w:val="left"/>
            </w:pPr>
            <w:r>
              <w:t xml:space="preserve">CLMV(T)</w:t>
            </w:r>
          </w:p>
        </w:tc>
        <w:tc>
          <w:tcPr/>
          <w:p>
            <w:pPr>
              <w:pStyle w:val="Compact"/>
              <w:jc w:val="left"/>
            </w:pPr>
            <w:r>
              <w:t xml:space="preserve">—</w:t>
            </w:r>
          </w:p>
        </w:tc>
      </w:tr>
      <w:tr>
        <w:tc>
          <w:tcPr/>
          <w:p>
            <w:pPr>
              <w:pStyle w:val="Compact"/>
              <w:jc w:val="left"/>
            </w:pPr>
            <w:r>
              <w:t xml:space="preserve">Effectifs et alertes RH</w:t>
            </w:r>
          </w:p>
        </w:tc>
        <w:tc>
          <w:tcPr/>
          <w:p>
            <w:pPr>
              <w:pStyle w:val="Compact"/>
              <w:jc w:val="left"/>
            </w:pPr>
            <w:r>
              <w:t xml:space="preserve">L(T)</w:t>
            </w:r>
          </w:p>
        </w:tc>
        <w:tc>
          <w:tcPr/>
          <w:p>
            <w:pPr>
              <w:pStyle w:val="Compact"/>
              <w:jc w:val="left"/>
            </w:pPr>
            <w:r>
              <w:t xml:space="preserve">—</w:t>
            </w:r>
          </w:p>
        </w:tc>
        <w:tc>
          <w:tcPr/>
          <w:p>
            <w:pPr>
              <w:pStyle w:val="Compact"/>
              <w:jc w:val="left"/>
            </w:pPr>
            <w:r>
              <w:t xml:space="preserve">—</w:t>
            </w:r>
          </w:p>
        </w:tc>
        <w:tc>
          <w:tcPr/>
          <w:p>
            <w:pPr>
              <w:pStyle w:val="Compact"/>
              <w:jc w:val="left"/>
            </w:pPr>
            <w:r>
              <w:t xml:space="preserve">L(T)</w:t>
            </w:r>
          </w:p>
        </w:tc>
        <w:tc>
          <w:tcPr/>
          <w:p>
            <w:pPr>
              <w:pStyle w:val="Compact"/>
              <w:jc w:val="left"/>
            </w:pPr>
            <w:r>
              <w:t xml:space="preserve">—</w:t>
            </w:r>
          </w:p>
        </w:tc>
      </w:tr>
      <w:tr>
        <w:tc>
          <w:tcPr/>
          <w:p>
            <w:pPr>
              <w:pStyle w:val="Compact"/>
              <w:jc w:val="left"/>
            </w:pPr>
            <w:r>
              <w:t xml:space="preserve">Compte, rôle, suppléance, réglage</w:t>
            </w:r>
          </w:p>
        </w:tc>
        <w:tc>
          <w:tcPr/>
          <w:p>
            <w:pPr>
              <w:pStyle w:val="Compact"/>
              <w:jc w:val="left"/>
            </w:pPr>
            <w:r>
              <w:t xml:space="preserve">L(T)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CLMV(T)</w:t>
            </w:r>
          </w:p>
        </w:tc>
      </w:tr>
      <w:tr>
        <w:tc>
          <w:tcPr/>
          <w:p>
            <w:pPr>
              <w:pStyle w:val="Compact"/>
              <w:jc w:val="left"/>
            </w:pPr>
            <w:r>
              <w:t xml:space="preserve">Version de modèle</w:t>
            </w:r>
          </w:p>
        </w:tc>
        <w:tc>
          <w:tcPr/>
          <w:p>
            <w:pPr>
              <w:pStyle w:val="Compact"/>
              <w:jc w:val="left"/>
            </w:pPr>
            <w:r>
              <w:t xml:space="preserve">L(T)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CL(T), activation sur visa</w:t>
            </w:r>
          </w:p>
        </w:tc>
      </w:tr>
      <w:tr>
        <w:tc>
          <w:tcPr/>
          <w:p>
            <w:pPr>
              <w:pStyle w:val="Compact"/>
              <w:jc w:val="left"/>
            </w:pPr>
            <w:r>
              <w:t xml:space="preserve">Intégration d’un modèle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C(T)</w:t>
            </w:r>
          </w:p>
        </w:tc>
      </w:tr>
    </w:tbl>
    <w:p>
      <w:pPr>
        <w:pStyle w:val="BodyText"/>
      </w:pPr>
      <w:r>
        <w:rPr>
          <w:bCs/>
          <w:b/>
        </w:rPr>
        <w:t xml:space="preserve">Deux lectures obligatoires de cette table.</w:t>
      </w:r>
      <w:r>
        <w:t xml:space="preserve"> </w:t>
      </w:r>
      <w:r>
        <w:t xml:space="preserve">L’assistant conduit le courrier, les réunions et le suivi pour le compte de la Direction, mais</w:t>
      </w:r>
      <w:r>
        <w:t xml:space="preserve"> </w:t>
      </w:r>
      <w:r>
        <w:rPr>
          <w:bCs/>
          <w:b/>
        </w:rPr>
        <w:t xml:space="preserve">n’obtient jamais un accès qu’il ne pourrait pas obtenir par lui-même sur un objet protégé</w:t>
      </w:r>
      <w:r>
        <w:t xml:space="preserve"> </w:t>
      </w:r>
      <w:r>
        <w:t xml:space="preserve">: la délégation porte sur la charge de travail, pas sur le secret. Et l’administrateur, qui crée les comptes et attribue les rôles, ne figure dans aucune colonne d’accès aux éléments de rémunération, aux dossiers agents ni aux actes individuels.</w:t>
      </w:r>
    </w:p>
    <w:bookmarkEnd w:id="346"/>
    <w:bookmarkEnd w:id="347"/>
    <w:bookmarkStart w:id="361" w:name="Xd3915dc5c54b672b85295480fd2ba442335f22a"/>
    <w:p>
      <w:pPr>
        <w:pStyle w:val="Heading2"/>
      </w:pPr>
      <w:r>
        <w:t xml:space="preserve">Annexe 2 — Dictionnaire des objets et machines à états</w:t>
      </w:r>
    </w:p>
    <w:p>
      <w:pPr>
        <w:pStyle w:val="FirstParagraph"/>
      </w:pPr>
      <w:r>
        <w:t xml:space="preserve">Pour chaque objet structurant : champs obligatoires, états possibles,</w:t>
      </w:r>
      <w:r>
        <w:t xml:space="preserve"> </w:t>
      </w:r>
      <w:r>
        <w:t xml:space="preserve">transitions autorisées et acteur habilité à les déclencher. Cette annexe</w:t>
      </w:r>
      <w:r>
        <w:t xml:space="preserve"> </w:t>
      </w:r>
      <w:r>
        <w:t xml:space="preserve">est la référence de la modélisation ; toute divergence constatée en</w:t>
      </w:r>
      <w:r>
        <w:t xml:space="preserve"> </w:t>
      </w:r>
      <w:r>
        <w:t xml:space="preserve">développement remonte au comité technique.</w:t>
      </w:r>
    </w:p>
    <w:bookmarkStart w:id="348" w:name="unité-organisationnelle"/>
    <w:p>
      <w:pPr>
        <w:pStyle w:val="Heading3"/>
      </w:pPr>
      <w:r>
        <w:t xml:space="preserve">2.1 Unité organisationnelle</w:t>
      </w:r>
    </w:p>
    <w:p>
      <w:pPr>
        <w:numPr>
          <w:ilvl w:val="0"/>
          <w:numId w:val="1056"/>
        </w:numPr>
        <w:pStyle w:val="Compact"/>
      </w:pPr>
      <w:r>
        <w:rPr>
          <w:bCs/>
          <w:b/>
        </w:rPr>
        <w:t xml:space="preserve">Champs</w:t>
      </w:r>
      <w:r>
        <w:t xml:space="preserve"> </w:t>
      </w:r>
      <w:r>
        <w:t xml:space="preserve">: code, libellé, type (Direction, Division, Section,</w:t>
      </w:r>
      <w:r>
        <w:t xml:space="preserve"> </w:t>
      </w:r>
      <w:r>
        <w:t xml:space="preserve">Cellule, Instance), unité parente, responsable, suppléant, date de</w:t>
      </w:r>
      <w:r>
        <w:t xml:space="preserve"> </w:t>
      </w:r>
      <w:r>
        <w:t xml:space="preserve">création, date de fermeture.</w:t>
      </w:r>
    </w:p>
    <w:p>
      <w:pPr>
        <w:numPr>
          <w:ilvl w:val="0"/>
          <w:numId w:val="1056"/>
        </w:numPr>
        <w:pStyle w:val="Compact"/>
      </w:pPr>
      <w:r>
        <w:rPr>
          <w:bCs/>
          <w:b/>
        </w:rPr>
        <w:t xml:space="preserve">États</w:t>
      </w:r>
      <w:r>
        <w:t xml:space="preserve"> </w:t>
      </w:r>
      <w:r>
        <w:t xml:space="preserve">: Active → Fermée.</w:t>
      </w:r>
    </w:p>
    <w:p>
      <w:pPr>
        <w:numPr>
          <w:ilvl w:val="0"/>
          <w:numId w:val="1056"/>
        </w:numPr>
        <w:pStyle w:val="Compact"/>
      </w:pPr>
      <w:r>
        <w:rPr>
          <w:bCs/>
          <w:b/>
        </w:rPr>
        <w:t xml:space="preserve">Transitions</w:t>
      </w:r>
      <w:r>
        <w:t xml:space="preserve"> </w:t>
      </w:r>
      <w:r>
        <w:t xml:space="preserve">: fermeture par le DRH ou l’administrateur ; une</w:t>
      </w:r>
      <w:r>
        <w:t xml:space="preserve"> </w:t>
      </w:r>
      <w:r>
        <w:t xml:space="preserve">unité ne peut être fermée si des agents y sont rattachés.</w:t>
      </w:r>
    </w:p>
    <w:bookmarkEnd w:id="348"/>
    <w:bookmarkStart w:id="349" w:name="agent"/>
    <w:p>
      <w:pPr>
        <w:pStyle w:val="Heading3"/>
      </w:pPr>
      <w:r>
        <w:t xml:space="preserve">2.2 Agent</w:t>
      </w:r>
    </w:p>
    <w:p>
      <w:pPr>
        <w:numPr>
          <w:ilvl w:val="0"/>
          <w:numId w:val="1057"/>
        </w:numPr>
        <w:pStyle w:val="Compact"/>
      </w:pPr>
      <w:r>
        <w:rPr>
          <w:bCs/>
          <w:b/>
        </w:rPr>
        <w:t xml:space="preserve">Champs</w:t>
      </w:r>
      <w:r>
        <w:t xml:space="preserve"> </w:t>
      </w:r>
      <w:r>
        <w:t xml:space="preserve">: matricule, nom, prénoms, statut (fonctionnaire,</w:t>
      </w:r>
      <w:r>
        <w:t xml:space="preserve"> </w:t>
      </w:r>
      <w:r>
        <w:t xml:space="preserve">contractuel, vacataire, stagiaire, mise à disposition), grade,</w:t>
      </w:r>
      <w:r>
        <w:t xml:space="preserve"> </w:t>
      </w:r>
      <w:r>
        <w:t xml:space="preserve">échelon, date de prise de service, unité, fonction, contact</w:t>
      </w:r>
      <w:r>
        <w:t xml:space="preserve"> </w:t>
      </w:r>
      <w:r>
        <w:t xml:space="preserve">professionnel.</w:t>
      </w:r>
    </w:p>
    <w:p>
      <w:pPr>
        <w:numPr>
          <w:ilvl w:val="0"/>
          <w:numId w:val="1057"/>
        </w:numPr>
        <w:pStyle w:val="Compact"/>
      </w:pPr>
      <w:r>
        <w:rPr>
          <w:bCs/>
          <w:b/>
        </w:rPr>
        <w:t xml:space="preserve">États</w:t>
      </w:r>
      <w:r>
        <w:t xml:space="preserve"> </w:t>
      </w:r>
      <w:r>
        <w:t xml:space="preserve">: En activité → Suspendu → Parti.</w:t>
      </w:r>
    </w:p>
    <w:p>
      <w:pPr>
        <w:numPr>
          <w:ilvl w:val="0"/>
          <w:numId w:val="1057"/>
        </w:numPr>
        <w:pStyle w:val="Compact"/>
      </w:pPr>
      <w:r>
        <w:rPr>
          <w:bCs/>
          <w:b/>
        </w:rPr>
        <w:t xml:space="preserve">Transitions</w:t>
      </w:r>
      <w:r>
        <w:t xml:space="preserve"> </w:t>
      </w:r>
      <w:r>
        <w:t xml:space="preserve">: par le DRH exclusivement ; le passage à « Parti »</w:t>
      </w:r>
      <w:r>
        <w:t xml:space="preserve"> </w:t>
      </w:r>
      <w:r>
        <w:t xml:space="preserve">déclenche la désactivation du compte et la réassignation des tâches</w:t>
      </w:r>
      <w:r>
        <w:t xml:space="preserve"> </w:t>
      </w:r>
      <w:r>
        <w:t xml:space="preserve">en cours (SIG-RF-TAC-15).</w:t>
      </w:r>
    </w:p>
    <w:bookmarkEnd w:id="349"/>
    <w:bookmarkStart w:id="350" w:name="compte-utilisateur"/>
    <w:p>
      <w:pPr>
        <w:pStyle w:val="Heading3"/>
      </w:pPr>
      <w:r>
        <w:t xml:space="preserve">2.3 Compte utilisateur</w:t>
      </w:r>
    </w:p>
    <w:p>
      <w:pPr>
        <w:numPr>
          <w:ilvl w:val="0"/>
          <w:numId w:val="1058"/>
        </w:numPr>
        <w:pStyle w:val="Compact"/>
      </w:pPr>
      <w:r>
        <w:rPr>
          <w:bCs/>
          <w:b/>
        </w:rPr>
        <w:t xml:space="preserve">Champs</w:t>
      </w:r>
      <w:r>
        <w:t xml:space="preserve"> </w:t>
      </w:r>
      <w:r>
        <w:t xml:space="preserve">: agent rattaché, identifiant, rôles, unité, date</w:t>
      </w:r>
      <w:r>
        <w:t xml:space="preserve"> </w:t>
      </w:r>
      <w:r>
        <w:t xml:space="preserve">d’activation, date d’échéance (stagiaires).</w:t>
      </w:r>
    </w:p>
    <w:p>
      <w:pPr>
        <w:numPr>
          <w:ilvl w:val="0"/>
          <w:numId w:val="1058"/>
        </w:numPr>
        <w:pStyle w:val="Compact"/>
      </w:pPr>
      <w:r>
        <w:rPr>
          <w:bCs/>
          <w:b/>
        </w:rPr>
        <w:t xml:space="preserve">États</w:t>
      </w:r>
      <w:r>
        <w:t xml:space="preserve"> </w:t>
      </w:r>
      <w:r>
        <w:t xml:space="preserve">: En attente → Actif → Suspendu → Désactivé.</w:t>
      </w:r>
    </w:p>
    <w:p>
      <w:pPr>
        <w:numPr>
          <w:ilvl w:val="0"/>
          <w:numId w:val="1058"/>
        </w:numPr>
        <w:pStyle w:val="Compact"/>
      </w:pPr>
      <w:r>
        <w:rPr>
          <w:bCs/>
          <w:b/>
        </w:rPr>
        <w:t xml:space="preserve">Transitions</w:t>
      </w:r>
      <w:r>
        <w:t xml:space="preserve"> </w:t>
      </w:r>
      <w:r>
        <w:t xml:space="preserve">: activation par l’administrateur après</w:t>
      </w:r>
      <w:r>
        <w:t xml:space="preserve"> </w:t>
      </w:r>
      <w:r>
        <w:t xml:space="preserve">rapprochement avec un dossier agent ; désactivation automatique à</w:t>
      </w:r>
      <w:r>
        <w:t xml:space="preserve"> </w:t>
      </w:r>
      <w:r>
        <w:t xml:space="preserve">l’échéance ou au départ.</w:t>
      </w:r>
    </w:p>
    <w:bookmarkEnd w:id="350"/>
    <w:bookmarkStart w:id="351" w:name="activité-plan-de-travail"/>
    <w:p>
      <w:pPr>
        <w:pStyle w:val="Heading3"/>
      </w:pPr>
      <w:r>
        <w:t xml:space="preserve">2.4 Activité (plan de travail)</w:t>
      </w:r>
    </w:p>
    <w:p>
      <w:pPr>
        <w:numPr>
          <w:ilvl w:val="0"/>
          <w:numId w:val="1059"/>
        </w:numPr>
        <w:pStyle w:val="Compact"/>
      </w:pPr>
      <w:r>
        <w:rPr>
          <w:bCs/>
          <w:b/>
        </w:rPr>
        <w:t xml:space="preserve">Champs</w:t>
      </w:r>
      <w:r>
        <w:t xml:space="preserve"> </w:t>
      </w:r>
      <w:r>
        <w:t xml:space="preserve">: intitulé, division, responsable, objectif rattaché,</w:t>
      </w:r>
      <w:r>
        <w:t xml:space="preserve"> </w:t>
      </w:r>
      <w:r>
        <w:t xml:space="preserve">date de début, date de fin, indicateur d’avancement.</w:t>
      </w:r>
    </w:p>
    <w:p>
      <w:pPr>
        <w:numPr>
          <w:ilvl w:val="0"/>
          <w:numId w:val="1059"/>
        </w:numPr>
        <w:pStyle w:val="Compact"/>
      </w:pPr>
      <w:r>
        <w:rPr>
          <w:bCs/>
          <w:b/>
        </w:rPr>
        <w:t xml:space="preserve">États</w:t>
      </w:r>
      <w:r>
        <w:t xml:space="preserve"> </w:t>
      </w:r>
      <w:r>
        <w:t xml:space="preserve">: Programmée → En cours → Achevée → Abandonnée (motivée).</w:t>
      </w:r>
    </w:p>
    <w:p>
      <w:pPr>
        <w:numPr>
          <w:ilvl w:val="0"/>
          <w:numId w:val="1059"/>
        </w:numPr>
        <w:pStyle w:val="Compact"/>
      </w:pPr>
      <w:r>
        <w:rPr>
          <w:bCs/>
          <w:b/>
        </w:rPr>
        <w:t xml:space="preserve">Transitions</w:t>
      </w:r>
      <w:r>
        <w:t xml:space="preserve"> </w:t>
      </w:r>
      <w:r>
        <w:t xml:space="preserve">: par le chef de division ; l’avancement est calculé</w:t>
      </w:r>
      <w:r>
        <w:t xml:space="preserve"> </w:t>
      </w:r>
      <w:r>
        <w:t xml:space="preserve">à partir des tâches rattachées.</w:t>
      </w:r>
    </w:p>
    <w:bookmarkEnd w:id="351"/>
    <w:bookmarkStart w:id="352" w:name="tâche"/>
    <w:p>
      <w:pPr>
        <w:pStyle w:val="Heading3"/>
      </w:pPr>
      <w:r>
        <w:t xml:space="preserve">2.5 Tâche</w:t>
      </w:r>
    </w:p>
    <w:p>
      <w:pPr>
        <w:numPr>
          <w:ilvl w:val="0"/>
          <w:numId w:val="1060"/>
        </w:numPr>
        <w:pStyle w:val="Compact"/>
      </w:pPr>
      <w:r>
        <w:rPr>
          <w:bCs/>
          <w:b/>
        </w:rPr>
        <w:t xml:space="preserve">Champs</w:t>
      </w:r>
      <w:r>
        <w:t xml:space="preserve"> </w:t>
      </w:r>
      <w:r>
        <w:t xml:space="preserve">: intitulé, responsable ou co-responsables, créateur,</w:t>
      </w:r>
      <w:r>
        <w:t xml:space="preserve"> </w:t>
      </w:r>
      <w:r>
        <w:t xml:space="preserve">unité, échéance, priorité, niveau de confidentialité, activité</w:t>
      </w:r>
      <w:r>
        <w:t xml:space="preserve"> </w:t>
      </w:r>
      <w:r>
        <w:t xml:space="preserve">rattachée le cas échéant.</w:t>
      </w:r>
    </w:p>
    <w:p>
      <w:pPr>
        <w:numPr>
          <w:ilvl w:val="0"/>
          <w:numId w:val="1060"/>
        </w:numPr>
        <w:pStyle w:val="Compact"/>
      </w:pPr>
      <w:r>
        <w:rPr>
          <w:bCs/>
          <w:b/>
        </w:rPr>
        <w:t xml:space="preserve">États</w:t>
      </w:r>
      <w:r>
        <w:t xml:space="preserve"> </w:t>
      </w:r>
      <w:r>
        <w:t xml:space="preserve">: À faire → En cours → Soumise pour validation → Validée</w:t>
      </w:r>
      <w:r>
        <w:t xml:space="preserve"> </w:t>
      </w:r>
      <w:r>
        <w:t xml:space="preserve">ou Rejetée → Terminée ; Archivée (suppression logique).</w:t>
      </w:r>
    </w:p>
    <w:p>
      <w:pPr>
        <w:numPr>
          <w:ilvl w:val="0"/>
          <w:numId w:val="1060"/>
        </w:numPr>
        <w:pStyle w:val="Compact"/>
      </w:pPr>
      <w:r>
        <w:rPr>
          <w:bCs/>
          <w:b/>
        </w:rPr>
        <w:t xml:space="preserve">Transitions</w:t>
      </w:r>
      <w:r>
        <w:t xml:space="preserve"> </w:t>
      </w:r>
      <w:r>
        <w:t xml:space="preserve">: soumission par le responsable ; validation ou</w:t>
      </w:r>
      <w:r>
        <w:t xml:space="preserve"> </w:t>
      </w:r>
      <w:r>
        <w:t xml:space="preserve">rejet par le créateur ou le supérieur hiérarchique direct ; le rejet</w:t>
      </w:r>
      <w:r>
        <w:t xml:space="preserve"> </w:t>
      </w:r>
      <w:r>
        <w:t xml:space="preserve">renvoie en « En cours » avec motif obligatoire.</w:t>
      </w:r>
    </w:p>
    <w:bookmarkEnd w:id="352"/>
    <w:bookmarkStart w:id="353" w:name="réunion-décision-et-action"/>
    <w:p>
      <w:pPr>
        <w:pStyle w:val="Heading3"/>
      </w:pPr>
      <w:r>
        <w:t xml:space="preserve">2.6 Réunion, décision et action</w:t>
      </w:r>
    </w:p>
    <w:p>
      <w:pPr>
        <w:numPr>
          <w:ilvl w:val="0"/>
          <w:numId w:val="1061"/>
        </w:numPr>
        <w:pStyle w:val="Compact"/>
      </w:pPr>
      <w:r>
        <w:rPr>
          <w:bCs/>
          <w:b/>
        </w:rPr>
        <w:t xml:space="preserve">Champs réunion</w:t>
      </w:r>
      <w:r>
        <w:t xml:space="preserve"> </w:t>
      </w:r>
      <w:r>
        <w:t xml:space="preserve">: objet, date, lieu, participants, ordre du jour,</w:t>
      </w:r>
      <w:r>
        <w:t xml:space="preserve"> </w:t>
      </w:r>
      <w:r>
        <w:t xml:space="preserve">documents préparatoires, président de séance.</w:t>
      </w:r>
    </w:p>
    <w:p>
      <w:pPr>
        <w:numPr>
          <w:ilvl w:val="0"/>
          <w:numId w:val="1061"/>
        </w:numPr>
        <w:pStyle w:val="Compact"/>
      </w:pPr>
      <w:r>
        <w:rPr>
          <w:bCs/>
          <w:b/>
        </w:rPr>
        <w:t xml:space="preserve">États réunion</w:t>
      </w:r>
      <w:r>
        <w:t xml:space="preserve"> </w:t>
      </w:r>
      <w:r>
        <w:t xml:space="preserve">: Planifiée → Tenue → Compte rendu rédigé → Compte</w:t>
      </w:r>
      <w:r>
        <w:t xml:space="preserve"> </w:t>
      </w:r>
      <w:r>
        <w:t xml:space="preserve">rendu validé.</w:t>
      </w:r>
    </w:p>
    <w:p>
      <w:pPr>
        <w:numPr>
          <w:ilvl w:val="0"/>
          <w:numId w:val="1061"/>
        </w:numPr>
        <w:pStyle w:val="Compact"/>
      </w:pPr>
      <w:r>
        <w:rPr>
          <w:bCs/>
          <w:b/>
        </w:rPr>
        <w:t xml:space="preserve">Champs décision</w:t>
      </w:r>
      <w:r>
        <w:t xml:space="preserve"> </w:t>
      </w:r>
      <w:r>
        <w:t xml:space="preserve">: libellé, réunion d’origine, responsable</w:t>
      </w:r>
      <w:r>
        <w:t xml:space="preserve"> </w:t>
      </w:r>
      <w:r>
        <w:t xml:space="preserve">désigné, échéance.</w:t>
      </w:r>
    </w:p>
    <w:p>
      <w:pPr>
        <w:numPr>
          <w:ilvl w:val="0"/>
          <w:numId w:val="1061"/>
        </w:numPr>
        <w:pStyle w:val="Compact"/>
      </w:pPr>
      <w:r>
        <w:rPr>
          <w:bCs/>
          <w:b/>
        </w:rPr>
        <w:t xml:space="preserve">États décision</w:t>
      </w:r>
      <w:r>
        <w:t xml:space="preserve"> </w:t>
      </w:r>
      <w:r>
        <w:t xml:space="preserve">: Prise → Convertie en action → Exécutée → Close</w:t>
      </w:r>
      <w:r>
        <w:t xml:space="preserve"> </w:t>
      </w:r>
      <w:r>
        <w:t xml:space="preserve">; une décision non exécutée reste visible au tableau de bord du</w:t>
      </w:r>
      <w:r>
        <w:t xml:space="preserve"> </w:t>
      </w:r>
      <w:r>
        <w:t xml:space="preserve">président de séance et du DN.</w:t>
      </w:r>
    </w:p>
    <w:bookmarkEnd w:id="353"/>
    <w:bookmarkStart w:id="354" w:name="demande-dabsence"/>
    <w:p>
      <w:pPr>
        <w:pStyle w:val="Heading3"/>
      </w:pPr>
      <w:r>
        <w:t xml:space="preserve">2.7 Demande d’absence</w:t>
      </w:r>
    </w:p>
    <w:p>
      <w:pPr>
        <w:numPr>
          <w:ilvl w:val="0"/>
          <w:numId w:val="1062"/>
        </w:numPr>
        <w:pStyle w:val="Compact"/>
      </w:pPr>
      <w:r>
        <w:rPr>
          <w:bCs/>
          <w:b/>
        </w:rPr>
        <w:t xml:space="preserve">Champs</w:t>
      </w:r>
      <w:r>
        <w:t xml:space="preserve"> </w:t>
      </w:r>
      <w:r>
        <w:t xml:space="preserve">: agent, type, date de début, date de fin, nombre de</w:t>
      </w:r>
      <w:r>
        <w:t xml:space="preserve"> </w:t>
      </w:r>
      <w:r>
        <w:t xml:space="preserve">jours décomptés, justificatif le cas échéant, motif (visible du seul</w:t>
      </w:r>
      <w:r>
        <w:t xml:space="preserve"> </w:t>
      </w:r>
      <w:r>
        <w:t xml:space="preserve">DRH pour les absences médicales).</w:t>
      </w:r>
    </w:p>
    <w:p>
      <w:pPr>
        <w:numPr>
          <w:ilvl w:val="0"/>
          <w:numId w:val="1062"/>
        </w:numPr>
        <w:pStyle w:val="Compact"/>
      </w:pPr>
      <w:r>
        <w:rPr>
          <w:bCs/>
          <w:b/>
        </w:rPr>
        <w:t xml:space="preserve">États</w:t>
      </w:r>
      <w:r>
        <w:t xml:space="preserve"> </w:t>
      </w:r>
      <w:r>
        <w:t xml:space="preserve">: Brouillon → Soumise → Avis rendu (favorable ou</w:t>
      </w:r>
      <w:r>
        <w:t xml:space="preserve"> </w:t>
      </w:r>
      <w:r>
        <w:t xml:space="preserve">défavorable) → Approuvée ou Refusée → Clôturée ; variantes :</w:t>
      </w:r>
      <w:r>
        <w:t xml:space="preserve"> </w:t>
      </w:r>
      <w:r>
        <w:t xml:space="preserve">Annulée, Retour anticipé, Reportée, Prolongée.</w:t>
      </w:r>
    </w:p>
    <w:p>
      <w:pPr>
        <w:numPr>
          <w:ilvl w:val="0"/>
          <w:numId w:val="1062"/>
        </w:numPr>
        <w:pStyle w:val="Compact"/>
      </w:pPr>
      <w:r>
        <w:rPr>
          <w:bCs/>
          <w:b/>
        </w:rPr>
        <w:t xml:space="preserve">Transitions</w:t>
      </w:r>
      <w:r>
        <w:t xml:space="preserve"> </w:t>
      </w:r>
      <w:r>
        <w:t xml:space="preserve">: avis par le chef d’unité dans un délai de 48</w:t>
      </w:r>
      <w:r>
        <w:t xml:space="preserve"> </w:t>
      </w:r>
      <w:r>
        <w:t xml:space="preserve">heures ouvrées, réputé favorable au-delà ; décision par le DRH ;</w:t>
      </w:r>
      <w:r>
        <w:t xml:space="preserve"> </w:t>
      </w:r>
      <w:r>
        <w:t xml:space="preserve">l’approbation décompte le solde et inscrit l’absence au planning.</w:t>
      </w:r>
    </w:p>
    <w:bookmarkEnd w:id="354"/>
    <w:bookmarkStart w:id="355" w:name="plan-de-rotation-et-rotation"/>
    <w:p>
      <w:pPr>
        <w:pStyle w:val="Heading3"/>
      </w:pPr>
      <w:r>
        <w:t xml:space="preserve">2.8 Plan de rotation et rotation</w:t>
      </w:r>
    </w:p>
    <w:p>
      <w:pPr>
        <w:numPr>
          <w:ilvl w:val="0"/>
          <w:numId w:val="1063"/>
        </w:numPr>
        <w:pStyle w:val="Compact"/>
      </w:pPr>
      <w:r>
        <w:rPr>
          <w:bCs/>
          <w:b/>
        </w:rPr>
        <w:t xml:space="preserve">Champs plan</w:t>
      </w:r>
      <w:r>
        <w:t xml:space="preserve"> </w:t>
      </w:r>
      <w:r>
        <w:t xml:space="preserve">: stagiaire, encadreur principal, liste ordonnée des</w:t>
      </w:r>
      <w:r>
        <w:t xml:space="preserve"> </w:t>
      </w:r>
      <w:r>
        <w:t xml:space="preserve">unités, durée par unité en jours ouvrables, date de début, date de</w:t>
      </w:r>
      <w:r>
        <w:t xml:space="preserve"> </w:t>
      </w:r>
      <w:r>
        <w:t xml:space="preserve">fin calculée.</w:t>
      </w:r>
    </w:p>
    <w:p>
      <w:pPr>
        <w:numPr>
          <w:ilvl w:val="0"/>
          <w:numId w:val="1063"/>
        </w:numPr>
        <w:pStyle w:val="Compact"/>
      </w:pPr>
      <w:r>
        <w:rPr>
          <w:bCs/>
          <w:b/>
        </w:rPr>
        <w:t xml:space="preserve">Champs rotation</w:t>
      </w:r>
      <w:r>
        <w:t xml:space="preserve"> </w:t>
      </w:r>
      <w:r>
        <w:t xml:space="preserve">: unité d’accueil, encadreur de rotation, date</w:t>
      </w:r>
      <w:r>
        <w:t xml:space="preserve"> </w:t>
      </w:r>
      <w:r>
        <w:t xml:space="preserve">de début, date de fin, accusé de réception, fiche d’évaluation.</w:t>
      </w:r>
    </w:p>
    <w:p>
      <w:pPr>
        <w:numPr>
          <w:ilvl w:val="0"/>
          <w:numId w:val="1063"/>
        </w:numPr>
        <w:pStyle w:val="Compact"/>
      </w:pPr>
      <w:r>
        <w:rPr>
          <w:bCs/>
          <w:b/>
        </w:rPr>
        <w:t xml:space="preserve">États rotation</w:t>
      </w:r>
      <w:r>
        <w:t xml:space="preserve"> </w:t>
      </w:r>
      <w:r>
        <w:t xml:space="preserve">: Programmée → En cours → Clôturée ; la clôture</w:t>
      </w:r>
      <w:r>
        <w:t xml:space="preserve"> </w:t>
      </w:r>
      <w:r>
        <w:t xml:space="preserve">ouvre automatiquement la rotation suivante.</w:t>
      </w:r>
    </w:p>
    <w:p>
      <w:pPr>
        <w:numPr>
          <w:ilvl w:val="0"/>
          <w:numId w:val="1063"/>
        </w:numPr>
        <w:pStyle w:val="Compact"/>
      </w:pPr>
      <w:r>
        <w:rPr>
          <w:bCs/>
          <w:b/>
        </w:rPr>
        <w:t xml:space="preserve">Transitions</w:t>
      </w:r>
      <w:r>
        <w:t xml:space="preserve"> </w:t>
      </w:r>
      <w:r>
        <w:t xml:space="preserve">: automatiques à l’échéance ; report ou permutation</w:t>
      </w:r>
      <w:r>
        <w:t xml:space="preserve"> </w:t>
      </w:r>
      <w:r>
        <w:t xml:space="preserve">par le DRH seul.</w:t>
      </w:r>
    </w:p>
    <w:bookmarkEnd w:id="355"/>
    <w:bookmarkStart w:id="356" w:name="rapport-de-stage-et-attestation"/>
    <w:p>
      <w:pPr>
        <w:pStyle w:val="Heading3"/>
      </w:pPr>
      <w:r>
        <w:t xml:space="preserve">2.9 Rapport de stage et attestation</w:t>
      </w:r>
    </w:p>
    <w:p>
      <w:pPr>
        <w:numPr>
          <w:ilvl w:val="0"/>
          <w:numId w:val="1064"/>
        </w:numPr>
        <w:pStyle w:val="Compact"/>
      </w:pPr>
      <w:r>
        <w:rPr>
          <w:bCs/>
          <w:b/>
        </w:rPr>
        <w:t xml:space="preserve">Champs</w:t>
      </w:r>
      <w:r>
        <w:t xml:space="preserve"> </w:t>
      </w:r>
      <w:r>
        <w:t xml:space="preserve">: stagiaire, période, unités parcourues, fichier déposé,</w:t>
      </w:r>
      <w:r>
        <w:t xml:space="preserve"> </w:t>
      </w:r>
      <w:r>
        <w:t xml:space="preserve">avis de l’encadreur principal.</w:t>
      </w:r>
    </w:p>
    <w:p>
      <w:pPr>
        <w:numPr>
          <w:ilvl w:val="0"/>
          <w:numId w:val="1064"/>
        </w:numPr>
        <w:pStyle w:val="Compact"/>
      </w:pPr>
      <w:r>
        <w:rPr>
          <w:bCs/>
          <w:b/>
        </w:rPr>
        <w:t xml:space="preserve">États rapport</w:t>
      </w:r>
      <w:r>
        <w:t xml:space="preserve"> </w:t>
      </w:r>
      <w:r>
        <w:t xml:space="preserve">: Déposé → Validé ou Renvoyé pour correction →</w:t>
      </w:r>
      <w:r>
        <w:t xml:space="preserve"> </w:t>
      </w:r>
      <w:r>
        <w:t xml:space="preserve">Transmis au DRH.</w:t>
      </w:r>
    </w:p>
    <w:p>
      <w:pPr>
        <w:numPr>
          <w:ilvl w:val="0"/>
          <w:numId w:val="1064"/>
        </w:numPr>
        <w:pStyle w:val="Compact"/>
      </w:pPr>
      <w:r>
        <w:rPr>
          <w:bCs/>
          <w:b/>
        </w:rPr>
        <w:t xml:space="preserve">États attestation</w:t>
      </w:r>
      <w:r>
        <w:t xml:space="preserve"> </w:t>
      </w:r>
      <w:r>
        <w:t xml:space="preserve">: Générée → Visée → Remise ; numérotée et</w:t>
      </w:r>
      <w:r>
        <w:t xml:space="preserve"> </w:t>
      </w:r>
      <w:r>
        <w:t xml:space="preserve">versée au dossier et à la GED.</w:t>
      </w:r>
    </w:p>
    <w:bookmarkEnd w:id="356"/>
    <w:bookmarkStart w:id="357" w:name="campagne-de-paie-et-bulletin"/>
    <w:p>
      <w:pPr>
        <w:pStyle w:val="Heading3"/>
      </w:pPr>
      <w:r>
        <w:t xml:space="preserve">2.10 Campagne de paie et bulletin</w:t>
      </w:r>
    </w:p>
    <w:p>
      <w:pPr>
        <w:numPr>
          <w:ilvl w:val="0"/>
          <w:numId w:val="1065"/>
        </w:numPr>
        <w:pStyle w:val="Compact"/>
      </w:pPr>
      <w:r>
        <w:rPr>
          <w:bCs/>
          <w:b/>
        </w:rPr>
        <w:t xml:space="preserve">Champs campagne</w:t>
      </w:r>
      <w:r>
        <w:t xml:space="preserve"> </w:t>
      </w:r>
      <w:r>
        <w:t xml:space="preserve">: période, agents concernés, éléments variables,</w:t>
      </w:r>
      <w:r>
        <w:t xml:space="preserve"> </w:t>
      </w:r>
      <w:r>
        <w:t xml:space="preserve">instructions intégrées, auteur, validateur.</w:t>
      </w:r>
    </w:p>
    <w:p>
      <w:pPr>
        <w:numPr>
          <w:ilvl w:val="0"/>
          <w:numId w:val="1065"/>
        </w:numPr>
        <w:pStyle w:val="Compact"/>
      </w:pPr>
      <w:r>
        <w:rPr>
          <w:bCs/>
          <w:b/>
        </w:rPr>
        <w:t xml:space="preserve">États campagne</w:t>
      </w:r>
      <w:r>
        <w:t xml:space="preserve"> </w:t>
      </w:r>
      <w:r>
        <w:t xml:space="preserve">: Créée → En contrôle → En validation → Publiée →</w:t>
      </w:r>
      <w:r>
        <w:t xml:space="preserve"> </w:t>
      </w:r>
      <w:r>
        <w:t xml:space="preserve">Clôturée ; variante : Rectificative, rattachée à la campagne</w:t>
      </w:r>
      <w:r>
        <w:t xml:space="preserve"> </w:t>
      </w:r>
      <w:r>
        <w:t xml:space="preserve">d’origine.</w:t>
      </w:r>
    </w:p>
    <w:p>
      <w:pPr>
        <w:numPr>
          <w:ilvl w:val="0"/>
          <w:numId w:val="1065"/>
        </w:numPr>
        <w:pStyle w:val="Compact"/>
      </w:pPr>
      <w:r>
        <w:rPr>
          <w:bCs/>
          <w:b/>
        </w:rPr>
        <w:t xml:space="preserve">États bulletin</w:t>
      </w:r>
      <w:r>
        <w:t xml:space="preserve"> </w:t>
      </w:r>
      <w:r>
        <w:t xml:space="preserve">: Publié (figé) → Consulté → Duplicata imprimé ;</w:t>
      </w:r>
      <w:r>
        <w:t xml:space="preserve"> </w:t>
      </w:r>
      <w:r>
        <w:t xml:space="preserve">jamais Modifié.</w:t>
      </w:r>
    </w:p>
    <w:p>
      <w:pPr>
        <w:numPr>
          <w:ilvl w:val="0"/>
          <w:numId w:val="1065"/>
        </w:numPr>
        <w:pStyle w:val="Compact"/>
      </w:pPr>
      <w:r>
        <w:rPr>
          <w:bCs/>
          <w:b/>
        </w:rPr>
        <w:t xml:space="preserve">Transitions</w:t>
      </w:r>
      <w:r>
        <w:t xml:space="preserve"> </w:t>
      </w:r>
      <w:r>
        <w:t xml:space="preserve">: publication irréversible ; toute correction passe</w:t>
      </w:r>
      <w:r>
        <w:t xml:space="preserve"> </w:t>
      </w:r>
      <w:r>
        <w:t xml:space="preserve">par une campagne rectificative.</w:t>
      </w:r>
    </w:p>
    <w:bookmarkEnd w:id="357"/>
    <w:bookmarkStart w:id="358" w:name="instruction-de-la-direction"/>
    <w:p>
      <w:pPr>
        <w:pStyle w:val="Heading3"/>
      </w:pPr>
      <w:r>
        <w:t xml:space="preserve">2.11 Instruction de la Direction</w:t>
      </w:r>
    </w:p>
    <w:p>
      <w:pPr>
        <w:numPr>
          <w:ilvl w:val="0"/>
          <w:numId w:val="1066"/>
        </w:numPr>
        <w:pStyle w:val="Compact"/>
      </w:pPr>
      <w:r>
        <w:rPr>
          <w:bCs/>
          <w:b/>
        </w:rPr>
        <w:t xml:space="preserve">Champs</w:t>
      </w:r>
      <w:r>
        <w:t xml:space="preserve"> </w:t>
      </w:r>
      <w:r>
        <w:t xml:space="preserve">: émetteur, destinataire, nature, agents concernés,</w:t>
      </w:r>
      <w:r>
        <w:t xml:space="preserve"> </w:t>
      </w:r>
      <w:r>
        <w:t xml:space="preserve">montant ou taux, date d’effet, durée, pièce jointe, motivation.</w:t>
      </w:r>
    </w:p>
    <w:p>
      <w:pPr>
        <w:numPr>
          <w:ilvl w:val="0"/>
          <w:numId w:val="1066"/>
        </w:numPr>
        <w:pStyle w:val="Compact"/>
      </w:pPr>
      <w:r>
        <w:rPr>
          <w:bCs/>
          <w:b/>
        </w:rPr>
        <w:t xml:space="preserve">États</w:t>
      </w:r>
      <w:r>
        <w:t xml:space="preserve"> </w:t>
      </w:r>
      <w:r>
        <w:t xml:space="preserve">: Émise → Reçue → Prise en compte → Exécutée (référence de</w:t>
      </w:r>
      <w:r>
        <w:t xml:space="preserve"> </w:t>
      </w:r>
      <w:r>
        <w:t xml:space="preserve">campagne ou d’acte) → Classée ; ou Rejetée avec motif.</w:t>
      </w:r>
    </w:p>
    <w:p>
      <w:pPr>
        <w:numPr>
          <w:ilvl w:val="0"/>
          <w:numId w:val="1066"/>
        </w:numPr>
        <w:pStyle w:val="Compact"/>
      </w:pPr>
      <w:r>
        <w:rPr>
          <w:bCs/>
          <w:b/>
        </w:rPr>
        <w:t xml:space="preserve">Transitions</w:t>
      </w:r>
      <w:r>
        <w:t xml:space="preserve"> </w:t>
      </w:r>
      <w:r>
        <w:t xml:space="preserve">: émission par le DN ou le DNA ; exécution par le</w:t>
      </w:r>
      <w:r>
        <w:t xml:space="preserve"> </w:t>
      </w:r>
      <w:r>
        <w:t xml:space="preserve">SAF ou le DRH ; au-delà du seuil paramétré, le passage à « Exécutée</w:t>
      </w:r>
      <w:r>
        <w:t xml:space="preserve"> </w:t>
      </w:r>
      <w:r>
        <w:t xml:space="preserve">» exige une pièce signée.</w:t>
      </w:r>
    </w:p>
    <w:bookmarkEnd w:id="358"/>
    <w:bookmarkStart w:id="359" w:name="courrier-et-note-de-service"/>
    <w:p>
      <w:pPr>
        <w:pStyle w:val="Heading3"/>
      </w:pPr>
      <w:r>
        <w:t xml:space="preserve">2.12 Courrier et note de service</w:t>
      </w:r>
    </w:p>
    <w:p>
      <w:pPr>
        <w:numPr>
          <w:ilvl w:val="0"/>
          <w:numId w:val="1067"/>
        </w:numPr>
        <w:pStyle w:val="Compact"/>
      </w:pPr>
      <w:r>
        <w:rPr>
          <w:bCs/>
          <w:b/>
        </w:rPr>
        <w:t xml:space="preserve">Champs courrier entrant</w:t>
      </w:r>
      <w:r>
        <w:t xml:space="preserve"> </w:t>
      </w:r>
      <w:r>
        <w:t xml:space="preserve">: référence, date de réception,</w:t>
      </w:r>
      <w:r>
        <w:t xml:space="preserve"> </w:t>
      </w:r>
      <w:r>
        <w:t xml:space="preserve">expéditeur, objet, pièce numérisée, imputation, délai de traitement.</w:t>
      </w:r>
    </w:p>
    <w:p>
      <w:pPr>
        <w:numPr>
          <w:ilvl w:val="0"/>
          <w:numId w:val="1067"/>
        </w:numPr>
        <w:pStyle w:val="Compact"/>
      </w:pPr>
      <w:r>
        <w:rPr>
          <w:bCs/>
          <w:b/>
        </w:rPr>
        <w:t xml:space="preserve">États courrier entrant</w:t>
      </w:r>
      <w:r>
        <w:t xml:space="preserve"> </w:t>
      </w:r>
      <w:r>
        <w:t xml:space="preserve">: Enregistré → Imputé → En traitement →</w:t>
      </w:r>
      <w:r>
        <w:t xml:space="preserve"> </w:t>
      </w:r>
      <w:r>
        <w:t xml:space="preserve">Traité → Classé.</w:t>
      </w:r>
    </w:p>
    <w:p>
      <w:pPr>
        <w:numPr>
          <w:ilvl w:val="0"/>
          <w:numId w:val="1067"/>
        </w:numPr>
        <w:pStyle w:val="Compact"/>
      </w:pPr>
      <w:r>
        <w:rPr>
          <w:bCs/>
          <w:b/>
        </w:rPr>
        <w:t xml:space="preserve">États courrier sortant et note de service</w:t>
      </w:r>
      <w:r>
        <w:t xml:space="preserve"> </w:t>
      </w:r>
      <w:r>
        <w:t xml:space="preserve">: Projet → En visa →</w:t>
      </w:r>
      <w:r>
        <w:t xml:space="preserve"> </w:t>
      </w:r>
      <w:r>
        <w:t xml:space="preserve">Visé → Numéroté → Expédié ou Publié → Classé ; variante : Annulé par</w:t>
      </w:r>
      <w:r>
        <w:t xml:space="preserve"> </w:t>
      </w:r>
      <w:r>
        <w:t xml:space="preserve">acte d’annulation.</w:t>
      </w:r>
    </w:p>
    <w:bookmarkEnd w:id="359"/>
    <w:bookmarkStart w:id="360" w:name="document"/>
    <w:p>
      <w:pPr>
        <w:pStyle w:val="Heading3"/>
      </w:pPr>
      <w:r>
        <w:t xml:space="preserve">2.13 Document</w:t>
      </w:r>
    </w:p>
    <w:p>
      <w:pPr>
        <w:numPr>
          <w:ilvl w:val="0"/>
          <w:numId w:val="1068"/>
        </w:numPr>
        <w:pStyle w:val="Compact"/>
      </w:pPr>
      <w:r>
        <w:rPr>
          <w:bCs/>
          <w:b/>
        </w:rPr>
        <w:t xml:space="preserve">Champs</w:t>
      </w:r>
      <w:r>
        <w:t xml:space="preserve"> </w:t>
      </w:r>
      <w:r>
        <w:t xml:space="preserve">: titre, unité productrice, type, auteur, date, période</w:t>
      </w:r>
      <w:r>
        <w:t xml:space="preserve"> </w:t>
      </w:r>
      <w:r>
        <w:t xml:space="preserve">couverte, durée d’utilité administrative, sort final, version, objet</w:t>
      </w:r>
      <w:r>
        <w:t xml:space="preserve"> </w:t>
      </w:r>
      <w:r>
        <w:t xml:space="preserve">lié (tâche, activité, réunion).</w:t>
      </w:r>
    </w:p>
    <w:p>
      <w:pPr>
        <w:numPr>
          <w:ilvl w:val="0"/>
          <w:numId w:val="1068"/>
        </w:numPr>
        <w:pStyle w:val="Compact"/>
      </w:pPr>
      <w:r>
        <w:rPr>
          <w:bCs/>
          <w:b/>
        </w:rPr>
        <w:t xml:space="preserve">États</w:t>
      </w:r>
      <w:r>
        <w:t xml:space="preserve"> </w:t>
      </w:r>
      <w:r>
        <w:t xml:space="preserve">: Brouillon → Version de travail → Final → Publié →</w:t>
      </w:r>
      <w:r>
        <w:t xml:space="preserve"> </w:t>
      </w:r>
      <w:r>
        <w:t xml:space="preserve">Proposé à l’élimination → Éliminé ou Versé.</w:t>
      </w:r>
    </w:p>
    <w:p>
      <w:pPr>
        <w:numPr>
          <w:ilvl w:val="0"/>
          <w:numId w:val="1068"/>
        </w:numPr>
        <w:pStyle w:val="Compact"/>
      </w:pPr>
      <w:r>
        <w:rPr>
          <w:bCs/>
          <w:b/>
        </w:rPr>
        <w:t xml:space="preserve">Transitions</w:t>
      </w:r>
      <w:r>
        <w:t xml:space="preserve"> </w:t>
      </w:r>
      <w:r>
        <w:t xml:space="preserve">: publication réservée au DN, au DNA et aux chefs</w:t>
      </w:r>
      <w:r>
        <w:t xml:space="preserve"> </w:t>
      </w:r>
      <w:r>
        <w:t xml:space="preserve">d’unité ; élimination jamais automatique, toujours validée.</w:t>
      </w:r>
    </w:p>
    <w:bookmarkEnd w:id="360"/>
    <w:bookmarkEnd w:id="361"/>
    <w:bookmarkStart w:id="363" w:name="annexe-3-règles-de-gestion-à-écrire"/>
    <w:p>
      <w:pPr>
        <w:pStyle w:val="Heading2"/>
      </w:pPr>
      <w:r>
        <w:t xml:space="preserve">Annexe 3 — Règles de gestion à écrire</w:t>
      </w:r>
    </w:p>
    <w:p>
      <w:pPr>
        <w:pStyle w:val="FirstParagraph"/>
      </w:pPr>
      <w:r>
        <w:t xml:space="preserve">Le système ne peut être développé tant que ces règles ne sont pas</w:t>
      </w:r>
      <w:r>
        <w:t xml:space="preserve"> </w:t>
      </w:r>
      <w:r>
        <w:t xml:space="preserve">écrites. Elles ne relèvent pas de la maîtrise d’œuvre : elles</w:t>
      </w:r>
      <w:r>
        <w:t xml:space="preserve"> </w:t>
      </w:r>
      <w:r>
        <w:t xml:space="preserve">appartiennent aux RH, au SAF et au secrétariat de direction. Le tableau</w:t>
      </w:r>
      <w:r>
        <w:t xml:space="preserve"> </w:t>
      </w:r>
      <w:r>
        <w:t xml:space="preserve">fixe le cadre et l’échéance ; le contenu reste à produire.</w:t>
      </w:r>
    </w:p>
    <w:tbl>
      <w:tblPr>
        <w:tblStyle w:val="Table"/>
        <w:tblW w:type="dxa" w:w="9354"/>
        <w:tblLayout w:type="fixed"/>
        <w:tblLook w:firstRow="1" w:lastRow="0" w:firstColumn="0" w:lastColumn="0" w:noHBand="0" w:noVBand="0" w:val="0020"/>
        <w:jc w:val="start"/>
      </w:tblPr>
      <w:tblGrid>
        <w:gridCol w:w="2114"/>
        <w:gridCol w:w="2987"/>
        <w:gridCol w:w="2100"/>
        <w:gridCol w:w="2153"/>
      </w:tblGrid>
      <w:tr>
        <w:trPr>
          <w:tblHeader w:val="true"/>
        </w:trPr>
        <w:tc>
          <w:tcPr/>
          <w:p>
            <w:pPr>
              <w:pStyle w:val="Compact"/>
              <w:jc w:val="left"/>
            </w:pPr>
            <w:r>
              <w:t xml:space="preserve">ID</w:t>
            </w:r>
          </w:p>
        </w:tc>
        <w:tc>
          <w:tcPr/>
          <w:p>
            <w:pPr>
              <w:pStyle w:val="Compact"/>
              <w:jc w:val="left"/>
            </w:pPr>
            <w:r>
              <w:t xml:space="preserve">Règle à définir</w:t>
            </w:r>
          </w:p>
        </w:tc>
        <w:tc>
          <w:tcPr/>
          <w:p>
            <w:pPr>
              <w:pStyle w:val="Compact"/>
              <w:jc w:val="left"/>
            </w:pPr>
            <w:r>
              <w:t xml:space="preserve">Responsable</w:t>
            </w:r>
          </w:p>
        </w:tc>
        <w:tc>
          <w:tcPr/>
          <w:p>
            <w:pPr>
              <w:pStyle w:val="Compact"/>
              <w:jc w:val="left"/>
            </w:pPr>
            <w:r>
              <w:t xml:space="preserve">Échéance</w:t>
            </w:r>
          </w:p>
        </w:tc>
      </w:tr>
      <w:tr>
        <w:tc>
          <w:tcPr/>
          <w:p>
            <w:pPr>
              <w:pStyle w:val="Compact"/>
              <w:jc w:val="left"/>
            </w:pPr>
            <w:r>
              <w:t xml:space="preserve">RG-TMP-01</w:t>
            </w:r>
          </w:p>
        </w:tc>
        <w:tc>
          <w:tcPr/>
          <w:p>
            <w:pPr>
              <w:pStyle w:val="Compact"/>
              <w:jc w:val="left"/>
            </w:pPr>
            <w:r>
              <w:t xml:space="preserve">Droits à congé annuel par statut et par ancienneté</w:t>
            </w:r>
          </w:p>
        </w:tc>
        <w:tc>
          <w:tcPr/>
          <w:p>
            <w:pPr>
              <w:pStyle w:val="Compact"/>
              <w:jc w:val="left"/>
            </w:pPr>
            <w:r>
              <w:t xml:space="preserve">RH</w:t>
            </w:r>
          </w:p>
        </w:tc>
        <w:tc>
          <w:tcPr/>
          <w:p>
            <w:pPr>
              <w:pStyle w:val="Compact"/>
              <w:jc w:val="left"/>
            </w:pPr>
            <w:r>
              <w:t xml:space="preserve">Avant lot 3</w:t>
            </w:r>
          </w:p>
        </w:tc>
      </w:tr>
      <w:tr>
        <w:tc>
          <w:tcPr/>
          <w:p>
            <w:pPr>
              <w:pStyle w:val="Compact"/>
              <w:jc w:val="left"/>
            </w:pPr>
            <w:r>
              <w:t xml:space="preserve">RG-TMP-02</w:t>
            </w:r>
          </w:p>
        </w:tc>
        <w:tc>
          <w:tcPr/>
          <w:p>
            <w:pPr>
              <w:pStyle w:val="Compact"/>
              <w:jc w:val="left"/>
            </w:pPr>
            <w:r>
              <w:t xml:space="preserve">Modalités de report d’une année sur l’autre et date de péremption</w:t>
            </w:r>
          </w:p>
        </w:tc>
        <w:tc>
          <w:tcPr/>
          <w:p>
            <w:pPr>
              <w:pStyle w:val="Compact"/>
              <w:jc w:val="left"/>
            </w:pPr>
            <w:r>
              <w:t xml:space="preserve">RH</w:t>
            </w:r>
          </w:p>
        </w:tc>
        <w:tc>
          <w:tcPr/>
          <w:p>
            <w:pPr>
              <w:pStyle w:val="Compact"/>
              <w:jc w:val="left"/>
            </w:pPr>
            <w:r>
              <w:t xml:space="preserve">Avant lot 3</w:t>
            </w:r>
          </w:p>
        </w:tc>
      </w:tr>
      <w:tr>
        <w:tc>
          <w:tcPr/>
          <w:p>
            <w:pPr>
              <w:pStyle w:val="Compact"/>
              <w:jc w:val="left"/>
            </w:pPr>
            <w:r>
              <w:t xml:space="preserve">RG-TMP-03</w:t>
            </w:r>
          </w:p>
        </w:tc>
        <w:tc>
          <w:tcPr/>
          <w:p>
            <w:pPr>
              <w:pStyle w:val="Compact"/>
              <w:jc w:val="left"/>
            </w:pPr>
            <w:r>
              <w:t xml:space="preserve">Calendrier des jours fériés et règle de décompte (jours ouvrés ou calendaires)</w:t>
            </w:r>
          </w:p>
        </w:tc>
        <w:tc>
          <w:tcPr/>
          <w:p>
            <w:pPr>
              <w:pStyle w:val="Compact"/>
              <w:jc w:val="left"/>
            </w:pPr>
            <w:r>
              <w:t xml:space="preserve">RH</w:t>
            </w:r>
          </w:p>
        </w:tc>
        <w:tc>
          <w:tcPr/>
          <w:p>
            <w:pPr>
              <w:pStyle w:val="Compact"/>
              <w:jc w:val="left"/>
            </w:pPr>
            <w:r>
              <w:t xml:space="preserve">Avant lot 3</w:t>
            </w:r>
          </w:p>
        </w:tc>
      </w:tr>
      <w:tr>
        <w:tc>
          <w:tcPr/>
          <w:p>
            <w:pPr>
              <w:pStyle w:val="Compact"/>
              <w:jc w:val="left"/>
            </w:pPr>
            <w:r>
              <w:t xml:space="preserve">RG-TMP-04</w:t>
            </w:r>
          </w:p>
        </w:tc>
        <w:tc>
          <w:tcPr/>
          <w:p>
            <w:pPr>
              <w:pStyle w:val="Compact"/>
              <w:jc w:val="left"/>
            </w:pPr>
            <w:r>
              <w:t xml:space="preserve">Pièces justificatives exigées par type d’absence et délai de production</w:t>
            </w:r>
          </w:p>
        </w:tc>
        <w:tc>
          <w:tcPr/>
          <w:p>
            <w:pPr>
              <w:pStyle w:val="Compact"/>
              <w:jc w:val="left"/>
            </w:pPr>
            <w:r>
              <w:t xml:space="preserve">RH</w:t>
            </w:r>
          </w:p>
        </w:tc>
        <w:tc>
          <w:tcPr/>
          <w:p>
            <w:pPr>
              <w:pStyle w:val="Compact"/>
              <w:jc w:val="left"/>
            </w:pPr>
            <w:r>
              <w:t xml:space="preserve">Avant lot 3</w:t>
            </w:r>
          </w:p>
        </w:tc>
      </w:tr>
      <w:tr>
        <w:tc>
          <w:tcPr/>
          <w:p>
            <w:pPr>
              <w:pStyle w:val="Compact"/>
              <w:jc w:val="left"/>
            </w:pPr>
            <w:r>
              <w:t xml:space="preserve">RG-TMP-05</w:t>
            </w:r>
          </w:p>
        </w:tc>
        <w:tc>
          <w:tcPr/>
          <w:p>
            <w:pPr>
              <w:pStyle w:val="Compact"/>
              <w:jc w:val="left"/>
            </w:pPr>
            <w:r>
              <w:t xml:space="preserve">Traitement du congé maladie : plafond, prolongation, contrôle</w:t>
            </w:r>
          </w:p>
        </w:tc>
        <w:tc>
          <w:tcPr/>
          <w:p>
            <w:pPr>
              <w:pStyle w:val="Compact"/>
              <w:jc w:val="left"/>
            </w:pPr>
            <w:r>
              <w:t xml:space="preserve">RH</w:t>
            </w:r>
          </w:p>
        </w:tc>
        <w:tc>
          <w:tcPr/>
          <w:p>
            <w:pPr>
              <w:pStyle w:val="Compact"/>
              <w:jc w:val="left"/>
            </w:pPr>
            <w:r>
              <w:t xml:space="preserve">Avant lot 3</w:t>
            </w:r>
          </w:p>
        </w:tc>
      </w:tr>
      <w:tr>
        <w:tc>
          <w:tcPr/>
          <w:p>
            <w:pPr>
              <w:pStyle w:val="Compact"/>
              <w:jc w:val="left"/>
            </w:pPr>
            <w:r>
              <w:t xml:space="preserve">RG-TMP-06</w:t>
            </w:r>
          </w:p>
        </w:tc>
        <w:tc>
          <w:tcPr/>
          <w:p>
            <w:pPr>
              <w:pStyle w:val="Compact"/>
              <w:jc w:val="left"/>
            </w:pPr>
            <w:r>
              <w:t xml:space="preserve">Congés exceptionnels : événements ouvrant droit et durées</w:t>
            </w:r>
          </w:p>
        </w:tc>
        <w:tc>
          <w:tcPr/>
          <w:p>
            <w:pPr>
              <w:pStyle w:val="Compact"/>
              <w:jc w:val="left"/>
            </w:pPr>
            <w:r>
              <w:t xml:space="preserve">RH</w:t>
            </w:r>
          </w:p>
        </w:tc>
        <w:tc>
          <w:tcPr/>
          <w:p>
            <w:pPr>
              <w:pStyle w:val="Compact"/>
              <w:jc w:val="left"/>
            </w:pPr>
            <w:r>
              <w:t xml:space="preserve">Avant lot 3</w:t>
            </w:r>
          </w:p>
        </w:tc>
      </w:tr>
      <w:tr>
        <w:tc>
          <w:tcPr/>
          <w:p>
            <w:pPr>
              <w:pStyle w:val="Compact"/>
              <w:jc w:val="left"/>
            </w:pPr>
            <w:r>
              <w:t xml:space="preserve">RG-TMP-07</w:t>
            </w:r>
          </w:p>
        </w:tc>
        <w:tc>
          <w:tcPr/>
          <w:p>
            <w:pPr>
              <w:pStyle w:val="Compact"/>
              <w:jc w:val="left"/>
            </w:pPr>
            <w:r>
              <w:t xml:space="preserve">Effet d’une absence sur les tâches en cours et sur la suppléance</w:t>
            </w:r>
          </w:p>
        </w:tc>
        <w:tc>
          <w:tcPr/>
          <w:p>
            <w:pPr>
              <w:pStyle w:val="Compact"/>
              <w:jc w:val="left"/>
            </w:pPr>
            <w:r>
              <w:t xml:space="preserve">RH et chefs de division</w:t>
            </w:r>
          </w:p>
        </w:tc>
        <w:tc>
          <w:tcPr/>
          <w:p>
            <w:pPr>
              <w:pStyle w:val="Compact"/>
              <w:jc w:val="left"/>
            </w:pPr>
            <w:r>
              <w:t xml:space="preserve">Avant lot 3</w:t>
            </w:r>
          </w:p>
        </w:tc>
      </w:tr>
      <w:tr>
        <w:tc>
          <w:tcPr/>
          <w:p>
            <w:pPr>
              <w:pStyle w:val="Compact"/>
              <w:jc w:val="left"/>
            </w:pPr>
            <w:r>
              <w:t xml:space="preserve">RG-TMP-08</w:t>
            </w:r>
          </w:p>
        </w:tc>
        <w:tc>
          <w:tcPr/>
          <w:p>
            <w:pPr>
              <w:pStyle w:val="Compact"/>
              <w:jc w:val="left"/>
            </w:pPr>
            <w:r>
              <w:t xml:space="preserve">Règle de dérogation en cas de solde insuffisant</w:t>
            </w:r>
          </w:p>
        </w:tc>
        <w:tc>
          <w:tcPr/>
          <w:p>
            <w:pPr>
              <w:pStyle w:val="Compact"/>
              <w:jc w:val="left"/>
            </w:pPr>
            <w:r>
              <w:t xml:space="preserve">RH</w:t>
            </w:r>
          </w:p>
        </w:tc>
        <w:tc>
          <w:tcPr/>
          <w:p>
            <w:pPr>
              <w:pStyle w:val="Compact"/>
              <w:jc w:val="left"/>
            </w:pPr>
            <w:r>
              <w:t xml:space="preserve">Avant lot 3</w:t>
            </w:r>
          </w:p>
        </w:tc>
      </w:tr>
      <w:tr>
        <w:tc>
          <w:tcPr/>
          <w:p>
            <w:pPr>
              <w:pStyle w:val="Compact"/>
              <w:jc w:val="left"/>
            </w:pPr>
            <w:r>
              <w:t xml:space="preserve">RG-PAI-01</w:t>
            </w:r>
          </w:p>
        </w:tc>
        <w:tc>
          <w:tcPr/>
          <w:p>
            <w:pPr>
              <w:pStyle w:val="Compact"/>
              <w:jc w:val="left"/>
            </w:pPr>
            <w:r>
              <w:t xml:space="preserve">Population rémunérée directement par la Direction et population soldée en central</w:t>
            </w:r>
          </w:p>
        </w:tc>
        <w:tc>
          <w:tcPr/>
          <w:p>
            <w:pPr>
              <w:pStyle w:val="Compact"/>
              <w:jc w:val="left"/>
            </w:pPr>
            <w:r>
              <w:t xml:space="preserve">SAF</w:t>
            </w:r>
          </w:p>
        </w:tc>
        <w:tc>
          <w:tcPr/>
          <w:p>
            <w:pPr>
              <w:pStyle w:val="Compact"/>
              <w:jc w:val="left"/>
            </w:pPr>
            <w:r>
              <w:t xml:space="preserve">Avant lot 4</w:t>
            </w:r>
          </w:p>
        </w:tc>
      </w:tr>
      <w:tr>
        <w:tc>
          <w:tcPr/>
          <w:p>
            <w:pPr>
              <w:pStyle w:val="Compact"/>
              <w:jc w:val="left"/>
            </w:pPr>
            <w:r>
              <w:t xml:space="preserve">RG-PAI-02</w:t>
            </w:r>
          </w:p>
        </w:tc>
        <w:tc>
          <w:tcPr/>
          <w:p>
            <w:pPr>
              <w:pStyle w:val="Compact"/>
              <w:jc w:val="left"/>
            </w:pPr>
            <w:r>
              <w:t xml:space="preserve">Éléments constitutifs de la rémunération des contractuels et vacataires</w:t>
            </w:r>
          </w:p>
        </w:tc>
        <w:tc>
          <w:tcPr/>
          <w:p>
            <w:pPr>
              <w:pStyle w:val="Compact"/>
              <w:jc w:val="left"/>
            </w:pPr>
            <w:r>
              <w:t xml:space="preserve">SAF</w:t>
            </w:r>
          </w:p>
        </w:tc>
        <w:tc>
          <w:tcPr/>
          <w:p>
            <w:pPr>
              <w:pStyle w:val="Compact"/>
              <w:jc w:val="left"/>
            </w:pPr>
            <w:r>
              <w:t xml:space="preserve">Avant lot 4</w:t>
            </w:r>
          </w:p>
        </w:tc>
      </w:tr>
      <w:tr>
        <w:tc>
          <w:tcPr/>
          <w:p>
            <w:pPr>
              <w:pStyle w:val="Compact"/>
              <w:jc w:val="left"/>
            </w:pPr>
            <w:r>
              <w:t xml:space="preserve">RG-PAI-03</w:t>
            </w:r>
          </w:p>
        </w:tc>
        <w:tc>
          <w:tcPr/>
          <w:p>
            <w:pPr>
              <w:pStyle w:val="Compact"/>
              <w:jc w:val="left"/>
            </w:pPr>
            <w:r>
              <w:t xml:space="preserve">Retenues applicables et leur base de calcul</w:t>
            </w:r>
          </w:p>
        </w:tc>
        <w:tc>
          <w:tcPr/>
          <w:p>
            <w:pPr>
              <w:pStyle w:val="Compact"/>
              <w:jc w:val="left"/>
            </w:pPr>
            <w:r>
              <w:t xml:space="preserve">SAF</w:t>
            </w:r>
          </w:p>
        </w:tc>
        <w:tc>
          <w:tcPr/>
          <w:p>
            <w:pPr>
              <w:pStyle w:val="Compact"/>
              <w:jc w:val="left"/>
            </w:pPr>
            <w:r>
              <w:t xml:space="preserve">Avant lot 4</w:t>
            </w:r>
          </w:p>
        </w:tc>
      </w:tr>
      <w:tr>
        <w:tc>
          <w:tcPr/>
          <w:p>
            <w:pPr>
              <w:pStyle w:val="Compact"/>
              <w:jc w:val="left"/>
            </w:pPr>
            <w:r>
              <w:t xml:space="preserve">RG-PAI-04</w:t>
            </w:r>
          </w:p>
        </w:tc>
        <w:tc>
          <w:tcPr/>
          <w:p>
            <w:pPr>
              <w:pStyle w:val="Compact"/>
              <w:jc w:val="left"/>
            </w:pPr>
            <w:r>
              <w:t xml:space="preserve">Règles d’arrondi et de proratisation (mois incomplet, entrée, sortie)</w:t>
            </w:r>
          </w:p>
        </w:tc>
        <w:tc>
          <w:tcPr/>
          <w:p>
            <w:pPr>
              <w:pStyle w:val="Compact"/>
              <w:jc w:val="left"/>
            </w:pPr>
            <w:r>
              <w:t xml:space="preserve">SAF</w:t>
            </w:r>
          </w:p>
        </w:tc>
        <w:tc>
          <w:tcPr/>
          <w:p>
            <w:pPr>
              <w:pStyle w:val="Compact"/>
              <w:jc w:val="left"/>
            </w:pPr>
            <w:r>
              <w:t xml:space="preserve">Avant lot 4</w:t>
            </w:r>
          </w:p>
        </w:tc>
      </w:tr>
      <w:tr>
        <w:tc>
          <w:tcPr/>
          <w:p>
            <w:pPr>
              <w:pStyle w:val="Compact"/>
              <w:jc w:val="left"/>
            </w:pPr>
            <w:r>
              <w:t xml:space="preserve">RG-PAI-05</w:t>
            </w:r>
          </w:p>
        </w:tc>
        <w:tc>
          <w:tcPr/>
          <w:p>
            <w:pPr>
              <w:pStyle w:val="Compact"/>
              <w:jc w:val="left"/>
            </w:pPr>
            <w:r>
              <w:t xml:space="preserve">Barème des indemnités de mission et règle de liquidation</w:t>
            </w:r>
          </w:p>
        </w:tc>
        <w:tc>
          <w:tcPr/>
          <w:p>
            <w:pPr>
              <w:pStyle w:val="Compact"/>
              <w:jc w:val="left"/>
            </w:pPr>
            <w:r>
              <w:t xml:space="preserve">SAF</w:t>
            </w:r>
          </w:p>
        </w:tc>
        <w:tc>
          <w:tcPr/>
          <w:p>
            <w:pPr>
              <w:pStyle w:val="Compact"/>
              <w:jc w:val="left"/>
            </w:pPr>
            <w:r>
              <w:t xml:space="preserve">Avant lot 4</w:t>
            </w:r>
          </w:p>
        </w:tc>
      </w:tr>
      <w:tr>
        <w:tc>
          <w:tcPr/>
          <w:p>
            <w:pPr>
              <w:pStyle w:val="Compact"/>
              <w:jc w:val="left"/>
            </w:pPr>
            <w:r>
              <w:t xml:space="preserve">RG-PAI-06</w:t>
            </w:r>
          </w:p>
        </w:tc>
        <w:tc>
          <w:tcPr/>
          <w:p>
            <w:pPr>
              <w:pStyle w:val="Compact"/>
              <w:jc w:val="left"/>
            </w:pPr>
            <w:r>
              <w:t xml:space="preserve">Seuil au-delà duquel une instruction financière exige une pièce signée</w:t>
            </w:r>
          </w:p>
        </w:tc>
        <w:tc>
          <w:tcPr/>
          <w:p>
            <w:pPr>
              <w:pStyle w:val="Compact"/>
              <w:jc w:val="left"/>
            </w:pPr>
            <w:r>
              <w:t xml:space="preserve">Direction</w:t>
            </w:r>
          </w:p>
        </w:tc>
        <w:tc>
          <w:tcPr/>
          <w:p>
            <w:pPr>
              <w:pStyle w:val="Compact"/>
              <w:jc w:val="left"/>
            </w:pPr>
            <w:r>
              <w:t xml:space="preserve">Avant lot 4</w:t>
            </w:r>
          </w:p>
        </w:tc>
      </w:tr>
      <w:tr>
        <w:tc>
          <w:tcPr/>
          <w:p>
            <w:pPr>
              <w:pStyle w:val="Compact"/>
              <w:jc w:val="left"/>
            </w:pPr>
            <w:r>
              <w:t xml:space="preserve">RG-PAI-07</w:t>
            </w:r>
          </w:p>
        </w:tc>
        <w:tc>
          <w:tcPr/>
          <w:p>
            <w:pPr>
              <w:pStyle w:val="Compact"/>
              <w:jc w:val="left"/>
            </w:pPr>
            <w:r>
              <w:t xml:space="preserve">Autorité de validation de la campagne de paie</w:t>
            </w:r>
          </w:p>
        </w:tc>
        <w:tc>
          <w:tcPr/>
          <w:p>
            <w:pPr>
              <w:pStyle w:val="Compact"/>
              <w:jc w:val="left"/>
            </w:pPr>
            <w:r>
              <w:t xml:space="preserve">Direction</w:t>
            </w:r>
          </w:p>
        </w:tc>
        <w:tc>
          <w:tcPr/>
          <w:p>
            <w:pPr>
              <w:pStyle w:val="Compact"/>
              <w:jc w:val="left"/>
            </w:pPr>
            <w:r>
              <w:t xml:space="preserve">Avant lot 4</w:t>
            </w:r>
          </w:p>
        </w:tc>
      </w:tr>
      <w:tr>
        <w:tc>
          <w:tcPr/>
          <w:p>
            <w:pPr>
              <w:pStyle w:val="Compact"/>
              <w:jc w:val="left"/>
            </w:pPr>
            <w:r>
              <w:t xml:space="preserve">RG-PAI-08</w:t>
            </w:r>
          </w:p>
        </w:tc>
        <w:tc>
          <w:tcPr/>
          <w:p>
            <w:pPr>
              <w:pStyle w:val="Compact"/>
              <w:jc w:val="left"/>
            </w:pPr>
            <w:r>
              <w:t xml:space="preserve">Calendrier mensuel de la paie (dates de clôture, de validation, de publication)</w:t>
            </w:r>
          </w:p>
        </w:tc>
        <w:tc>
          <w:tcPr/>
          <w:p>
            <w:pPr>
              <w:pStyle w:val="Compact"/>
              <w:jc w:val="left"/>
            </w:pPr>
            <w:r>
              <w:t xml:space="preserve">SAF</w:t>
            </w:r>
          </w:p>
        </w:tc>
        <w:tc>
          <w:tcPr/>
          <w:p>
            <w:pPr>
              <w:pStyle w:val="Compact"/>
              <w:jc w:val="left"/>
            </w:pPr>
            <w:r>
              <w:t xml:space="preserve">Avant lot 4</w:t>
            </w:r>
          </w:p>
        </w:tc>
      </w:tr>
      <w:tr>
        <w:tc>
          <w:tcPr/>
          <w:p>
            <w:pPr>
              <w:pStyle w:val="Compact"/>
              <w:jc w:val="left"/>
            </w:pPr>
            <w:r>
              <w:t xml:space="preserve">RG-STG-01</w:t>
            </w:r>
          </w:p>
        </w:tc>
        <w:tc>
          <w:tcPr/>
          <w:p>
            <w:pPr>
              <w:pStyle w:val="Compact"/>
              <w:jc w:val="left"/>
            </w:pPr>
            <w:r>
              <w:t xml:space="preserve">Durée standard d’un stage et d’une rotation</w:t>
            </w:r>
          </w:p>
        </w:tc>
        <w:tc>
          <w:tcPr/>
          <w:p>
            <w:pPr>
              <w:pStyle w:val="Compact"/>
              <w:jc w:val="left"/>
            </w:pPr>
            <w:r>
              <w:t xml:space="preserve">RH</w:t>
            </w:r>
          </w:p>
        </w:tc>
        <w:tc>
          <w:tcPr/>
          <w:p>
            <w:pPr>
              <w:pStyle w:val="Compact"/>
              <w:jc w:val="left"/>
            </w:pPr>
            <w:r>
              <w:t xml:space="preserve">Avant lot 3</w:t>
            </w:r>
          </w:p>
        </w:tc>
      </w:tr>
      <w:tr>
        <w:tc>
          <w:tcPr/>
          <w:p>
            <w:pPr>
              <w:pStyle w:val="Compact"/>
              <w:jc w:val="left"/>
            </w:pPr>
            <w:r>
              <w:t xml:space="preserve">RG-STG-02</w:t>
            </w:r>
          </w:p>
        </w:tc>
        <w:tc>
          <w:tcPr/>
          <w:p>
            <w:pPr>
              <w:pStyle w:val="Compact"/>
              <w:jc w:val="left"/>
            </w:pPr>
            <w:r>
              <w:t xml:space="preserve">Ordre par défaut des unités du parcours</w:t>
            </w:r>
          </w:p>
        </w:tc>
        <w:tc>
          <w:tcPr/>
          <w:p>
            <w:pPr>
              <w:pStyle w:val="Compact"/>
              <w:jc w:val="left"/>
            </w:pPr>
            <w:r>
              <w:t xml:space="preserve">RH</w:t>
            </w:r>
          </w:p>
        </w:tc>
        <w:tc>
          <w:tcPr/>
          <w:p>
            <w:pPr>
              <w:pStyle w:val="Compact"/>
              <w:jc w:val="left"/>
            </w:pPr>
            <w:r>
              <w:t xml:space="preserve">Avant lot 3</w:t>
            </w:r>
          </w:p>
        </w:tc>
      </w:tr>
      <w:tr>
        <w:tc>
          <w:tcPr/>
          <w:p>
            <w:pPr>
              <w:pStyle w:val="Compact"/>
              <w:jc w:val="left"/>
            </w:pPr>
            <w:r>
              <w:t xml:space="preserve">RG-STG-03</w:t>
            </w:r>
          </w:p>
        </w:tc>
        <w:tc>
          <w:tcPr/>
          <w:p>
            <w:pPr>
              <w:pStyle w:val="Compact"/>
              <w:jc w:val="left"/>
            </w:pPr>
            <w:r>
              <w:t xml:space="preserve">Capacité maximale d’accueil simultané par unité</w:t>
            </w:r>
          </w:p>
        </w:tc>
        <w:tc>
          <w:tcPr/>
          <w:p>
            <w:pPr>
              <w:pStyle w:val="Compact"/>
              <w:jc w:val="left"/>
            </w:pPr>
            <w:r>
              <w:t xml:space="preserve">RH et chefs de division</w:t>
            </w:r>
          </w:p>
        </w:tc>
        <w:tc>
          <w:tcPr/>
          <w:p>
            <w:pPr>
              <w:pStyle w:val="Compact"/>
              <w:jc w:val="left"/>
            </w:pPr>
            <w:r>
              <w:t xml:space="preserve">Avant lot 3</w:t>
            </w:r>
          </w:p>
        </w:tc>
      </w:tr>
      <w:tr>
        <w:tc>
          <w:tcPr/>
          <w:p>
            <w:pPr>
              <w:pStyle w:val="Compact"/>
              <w:jc w:val="left"/>
            </w:pPr>
            <w:r>
              <w:t xml:space="preserve">RG-STG-04</w:t>
            </w:r>
          </w:p>
        </w:tc>
        <w:tc>
          <w:tcPr/>
          <w:p>
            <w:pPr>
              <w:pStyle w:val="Compact"/>
              <w:jc w:val="left"/>
            </w:pPr>
            <w:r>
              <w:t xml:space="preserve">Effet d’une absence du stagiaire sur la rotation en cours</w:t>
            </w:r>
          </w:p>
        </w:tc>
        <w:tc>
          <w:tcPr/>
          <w:p>
            <w:pPr>
              <w:pStyle w:val="Compact"/>
              <w:jc w:val="left"/>
            </w:pPr>
            <w:r>
              <w:t xml:space="preserve">RH</w:t>
            </w:r>
          </w:p>
        </w:tc>
        <w:tc>
          <w:tcPr/>
          <w:p>
            <w:pPr>
              <w:pStyle w:val="Compact"/>
              <w:jc w:val="left"/>
            </w:pPr>
            <w:r>
              <w:t xml:space="preserve">Avant lot 3</w:t>
            </w:r>
          </w:p>
        </w:tc>
      </w:tr>
      <w:tr>
        <w:tc>
          <w:tcPr/>
          <w:p>
            <w:pPr>
              <w:pStyle w:val="Compact"/>
              <w:jc w:val="left"/>
            </w:pPr>
            <w:r>
              <w:t xml:space="preserve">RG-STG-05</w:t>
            </w:r>
          </w:p>
        </w:tc>
        <w:tc>
          <w:tcPr/>
          <w:p>
            <w:pPr>
              <w:pStyle w:val="Compact"/>
              <w:jc w:val="left"/>
            </w:pPr>
            <w:r>
              <w:t xml:space="preserve">Contenu et autorité signataire de l’attestation de stage</w:t>
            </w:r>
          </w:p>
        </w:tc>
        <w:tc>
          <w:tcPr/>
          <w:p>
            <w:pPr>
              <w:pStyle w:val="Compact"/>
              <w:jc w:val="left"/>
            </w:pPr>
            <w:r>
              <w:t xml:space="preserve">RH et Direction</w:t>
            </w:r>
          </w:p>
        </w:tc>
        <w:tc>
          <w:tcPr/>
          <w:p>
            <w:pPr>
              <w:pStyle w:val="Compact"/>
              <w:jc w:val="left"/>
            </w:pPr>
            <w:r>
              <w:t xml:space="preserve">Avant lot 3</w:t>
            </w:r>
          </w:p>
        </w:tc>
      </w:tr>
      <w:tr>
        <w:tc>
          <w:tcPr/>
          <w:p>
            <w:pPr>
              <w:pStyle w:val="Compact"/>
              <w:jc w:val="left"/>
            </w:pPr>
            <w:r>
              <w:t xml:space="preserve">RG-CRR-01</w:t>
            </w:r>
          </w:p>
        </w:tc>
        <w:tc>
          <w:tcPr/>
          <w:p>
            <w:pPr>
              <w:pStyle w:val="Compact"/>
              <w:jc w:val="left"/>
            </w:pPr>
            <w:r>
              <w:t xml:space="preserve">Format de numérotation par famille d’actes</w:t>
            </w:r>
          </w:p>
        </w:tc>
        <w:tc>
          <w:tcPr/>
          <w:p>
            <w:pPr>
              <w:pStyle w:val="Compact"/>
              <w:jc w:val="left"/>
            </w:pPr>
            <w:r>
              <w:t xml:space="preserve">Secrétariat de direction</w:t>
            </w:r>
          </w:p>
        </w:tc>
        <w:tc>
          <w:tcPr/>
          <w:p>
            <w:pPr>
              <w:pStyle w:val="Compact"/>
              <w:jc w:val="left"/>
            </w:pPr>
            <w:r>
              <w:t xml:space="preserve">Avant lot 4</w:t>
            </w:r>
          </w:p>
        </w:tc>
      </w:tr>
      <w:tr>
        <w:tc>
          <w:tcPr/>
          <w:p>
            <w:pPr>
              <w:pStyle w:val="Compact"/>
              <w:jc w:val="left"/>
            </w:pPr>
            <w:r>
              <w:t xml:space="preserve">RG-CRR-02</w:t>
            </w:r>
          </w:p>
        </w:tc>
        <w:tc>
          <w:tcPr/>
          <w:p>
            <w:pPr>
              <w:pStyle w:val="Compact"/>
              <w:jc w:val="left"/>
            </w:pPr>
            <w:r>
              <w:t xml:space="preserve">Délais de traitement par nature de courrier</w:t>
            </w:r>
          </w:p>
        </w:tc>
        <w:tc>
          <w:tcPr/>
          <w:p>
            <w:pPr>
              <w:pStyle w:val="Compact"/>
              <w:jc w:val="left"/>
            </w:pPr>
            <w:r>
              <w:t xml:space="preserve">Direction</w:t>
            </w:r>
          </w:p>
        </w:tc>
        <w:tc>
          <w:tcPr/>
          <w:p>
            <w:pPr>
              <w:pStyle w:val="Compact"/>
              <w:jc w:val="left"/>
            </w:pPr>
            <w:r>
              <w:t xml:space="preserve">Avant lot 4</w:t>
            </w:r>
          </w:p>
        </w:tc>
      </w:tr>
      <w:tr>
        <w:tc>
          <w:tcPr/>
          <w:p>
            <w:pPr>
              <w:pStyle w:val="Compact"/>
              <w:jc w:val="left"/>
            </w:pPr>
            <w:r>
              <w:t xml:space="preserve">RG-CRR-03</w:t>
            </w:r>
          </w:p>
        </w:tc>
        <w:tc>
          <w:tcPr/>
          <w:p>
            <w:pPr>
              <w:pStyle w:val="Compact"/>
              <w:jc w:val="left"/>
            </w:pPr>
            <w:r>
              <w:t xml:space="preserve">Circuit de visa par famille d’actes</w:t>
            </w:r>
          </w:p>
        </w:tc>
        <w:tc>
          <w:tcPr/>
          <w:p>
            <w:pPr>
              <w:pStyle w:val="Compact"/>
              <w:jc w:val="left"/>
            </w:pPr>
            <w:r>
              <w:t xml:space="preserve">Direction</w:t>
            </w:r>
          </w:p>
        </w:tc>
        <w:tc>
          <w:tcPr/>
          <w:p>
            <w:pPr>
              <w:pStyle w:val="Compact"/>
              <w:jc w:val="left"/>
            </w:pPr>
            <w:r>
              <w:t xml:space="preserve">Avant lot 4</w:t>
            </w:r>
          </w:p>
        </w:tc>
      </w:tr>
      <w:tr>
        <w:tc>
          <w:tcPr/>
          <w:p>
            <w:pPr>
              <w:pStyle w:val="Compact"/>
              <w:jc w:val="left"/>
            </w:pPr>
            <w:r>
              <w:t xml:space="preserve">RG-DOC-01</w:t>
            </w:r>
          </w:p>
        </w:tc>
        <w:tc>
          <w:tcPr/>
          <w:p>
            <w:pPr>
              <w:pStyle w:val="Compact"/>
              <w:jc w:val="left"/>
            </w:pPr>
            <w:r>
              <w:t xml:space="preserve">Plan de classement institutionnel et typologie documentaire</w:t>
            </w:r>
          </w:p>
        </w:tc>
        <w:tc>
          <w:tcPr/>
          <w:p>
            <w:pPr>
              <w:pStyle w:val="Compact"/>
              <w:jc w:val="left"/>
            </w:pPr>
            <w:r>
              <w:t xml:space="preserve">Chefs de division</w:t>
            </w:r>
          </w:p>
        </w:tc>
        <w:tc>
          <w:tcPr/>
          <w:p>
            <w:pPr>
              <w:pStyle w:val="Compact"/>
              <w:jc w:val="left"/>
            </w:pPr>
            <w:r>
              <w:t xml:space="preserve">Avant lot 3</w:t>
            </w:r>
          </w:p>
        </w:tc>
      </w:tr>
      <w:tr>
        <w:tc>
          <w:tcPr/>
          <w:p>
            <w:pPr>
              <w:pStyle w:val="Compact"/>
              <w:jc w:val="left"/>
            </w:pPr>
            <w:r>
              <w:t xml:space="preserve">RG-DOC-02</w:t>
            </w:r>
          </w:p>
        </w:tc>
        <w:tc>
          <w:tcPr/>
          <w:p>
            <w:pPr>
              <w:pStyle w:val="Compact"/>
              <w:jc w:val="left"/>
            </w:pPr>
            <w:r>
              <w:t xml:space="preserve">Durées d’utilité administrative et sort final par type (annexe 4 à confirmer)</w:t>
            </w:r>
          </w:p>
        </w:tc>
        <w:tc>
          <w:tcPr/>
          <w:p>
            <w:pPr>
              <w:pStyle w:val="Compact"/>
              <w:jc w:val="left"/>
            </w:pPr>
            <w:r>
              <w:t xml:space="preserve">RH, SAF, Archives</w:t>
            </w:r>
          </w:p>
        </w:tc>
        <w:tc>
          <w:tcPr/>
          <w:p>
            <w:pPr>
              <w:pStyle w:val="Compact"/>
              <w:jc w:val="left"/>
            </w:pPr>
            <w:r>
              <w:t xml:space="preserve">Avant lot 3</w:t>
            </w:r>
          </w:p>
        </w:tc>
      </w:tr>
      <w:tr>
        <w:tc>
          <w:tcPr/>
          <w:p>
            <w:pPr>
              <w:pStyle w:val="Compact"/>
              <w:jc w:val="left"/>
            </w:pPr>
            <w:r>
              <w:t xml:space="preserve">RG-DOC-03</w:t>
            </w:r>
          </w:p>
        </w:tc>
        <w:tc>
          <w:tcPr/>
          <w:p>
            <w:pPr>
              <w:pStyle w:val="Compact"/>
              <w:jc w:val="left"/>
            </w:pPr>
            <w:r>
              <w:t xml:space="preserve">Règle de publication : ce qui relève de l’espace privé et ce qui est publié</w:t>
            </w:r>
          </w:p>
        </w:tc>
        <w:tc>
          <w:tcPr/>
          <w:p>
            <w:pPr>
              <w:pStyle w:val="Compact"/>
              <w:jc w:val="left"/>
            </w:pPr>
            <w:r>
              <w:t xml:space="preserve">Direction</w:t>
            </w:r>
          </w:p>
        </w:tc>
        <w:tc>
          <w:tcPr/>
          <w:p>
            <w:pPr>
              <w:pStyle w:val="Compact"/>
              <w:jc w:val="left"/>
            </w:pPr>
            <w:r>
              <w:t xml:space="preserve">Avant lot 3</w:t>
            </w:r>
          </w:p>
        </w:tc>
      </w:tr>
      <w:tr>
        <w:tc>
          <w:tcPr/>
          <w:p>
            <w:pPr>
              <w:pStyle w:val="Compact"/>
              <w:jc w:val="left"/>
            </w:pPr>
            <w:r>
              <w:t xml:space="preserve">RG-SEC-01</w:t>
            </w:r>
          </w:p>
        </w:tc>
        <w:tc>
          <w:tcPr/>
          <w:p>
            <w:pPr>
              <w:pStyle w:val="Compact"/>
              <w:jc w:val="left"/>
            </w:pPr>
            <w:r>
              <w:t xml:space="preserve">Liste des rôles soumis à la double authentification obligatoire</w:t>
            </w:r>
          </w:p>
        </w:tc>
        <w:tc>
          <w:tcPr/>
          <w:p>
            <w:pPr>
              <w:pStyle w:val="Compact"/>
              <w:jc w:val="left"/>
            </w:pPr>
            <w:r>
              <w:t xml:space="preserve">CSID et Direction</w:t>
            </w:r>
          </w:p>
        </w:tc>
        <w:tc>
          <w:tcPr/>
          <w:p>
            <w:pPr>
              <w:pStyle w:val="Compact"/>
              <w:jc w:val="left"/>
            </w:pPr>
            <w:r>
              <w:t xml:space="preserve">Avant lot 1</w:t>
            </w:r>
          </w:p>
        </w:tc>
      </w:tr>
      <w:tr>
        <w:tc>
          <w:tcPr/>
          <w:p>
            <w:pPr>
              <w:pStyle w:val="Compact"/>
              <w:jc w:val="left"/>
            </w:pPr>
            <w:r>
              <w:t xml:space="preserve">RG-SEC-02</w:t>
            </w:r>
          </w:p>
        </w:tc>
        <w:tc>
          <w:tcPr/>
          <w:p>
            <w:pPr>
              <w:pStyle w:val="Compact"/>
              <w:jc w:val="left"/>
            </w:pPr>
            <w:r>
              <w:t xml:space="preserve">Délai de désactivation d’un compte après le départ d’un agent</w:t>
            </w:r>
          </w:p>
        </w:tc>
        <w:tc>
          <w:tcPr/>
          <w:p>
            <w:pPr>
              <w:pStyle w:val="Compact"/>
              <w:jc w:val="left"/>
            </w:pPr>
            <w:r>
              <w:t xml:space="preserve">RH et CSID</w:t>
            </w:r>
          </w:p>
        </w:tc>
        <w:tc>
          <w:tcPr/>
          <w:p>
            <w:pPr>
              <w:pStyle w:val="Compact"/>
              <w:jc w:val="left"/>
            </w:pPr>
            <w:r>
              <w:t xml:space="preserve">Avant lot 1</w:t>
            </w:r>
          </w:p>
        </w:tc>
      </w:tr>
      <w:tr>
        <w:tc>
          <w:tcPr/>
          <w:p>
            <w:pPr>
              <w:pStyle w:val="Compact"/>
              <w:jc w:val="left"/>
            </w:pPr>
            <w:r>
              <w:t xml:space="preserve">RG-SEC-03</w:t>
            </w:r>
          </w:p>
        </w:tc>
        <w:tc>
          <w:tcPr/>
          <w:p>
            <w:pPr>
              <w:pStyle w:val="Compact"/>
              <w:jc w:val="left"/>
            </w:pPr>
            <w:r>
              <w:t xml:space="preserve">Conditions d’usage des journaux d’audit et des accusés de lecture (charte)</w:t>
            </w:r>
          </w:p>
        </w:tc>
        <w:tc>
          <w:tcPr/>
          <w:p>
            <w:pPr>
              <w:pStyle w:val="Compact"/>
              <w:jc w:val="left"/>
            </w:pPr>
            <w:r>
              <w:t xml:space="preserve">Direction</w:t>
            </w:r>
          </w:p>
        </w:tc>
        <w:tc>
          <w:tcPr/>
          <w:p>
            <w:pPr>
              <w:pStyle w:val="Compact"/>
              <w:jc w:val="left"/>
            </w:pPr>
            <w:r>
              <w:t xml:space="preserve">Avant lot 2</w:t>
            </w:r>
          </w:p>
        </w:tc>
      </w:tr>
    </w:tbl>
    <w:bookmarkStart w:id="362" w:name="règles-ajoutées-en-version-2.1"/>
    <w:p>
      <w:pPr>
        <w:pStyle w:val="Heading3"/>
      </w:pPr>
      <w:r>
        <w:t xml:space="preserve">3.1 Règles ajoutées en version 2.1</w:t>
      </w:r>
    </w:p>
    <w:tbl>
      <w:tblPr>
        <w:tblStyle w:val="Table"/>
        <w:tblW w:type="dxa" w:w="9354"/>
        <w:tblLayout w:type="fixed"/>
        <w:tblLook w:firstRow="1" w:lastRow="0" w:firstColumn="0" w:lastColumn="0" w:noHBand="0" w:noVBand="0" w:val="0020"/>
        <w:jc w:val="start"/>
      </w:tblPr>
      <w:tblGrid>
        <w:gridCol w:w="2104"/>
        <w:gridCol w:w="2918"/>
        <w:gridCol w:w="2135"/>
        <w:gridCol w:w="2197"/>
      </w:tblGrid>
      <w:tr>
        <w:trPr>
          <w:tblHeader w:val="true"/>
        </w:trPr>
        <w:tc>
          <w:tcPr/>
          <w:p>
            <w:pPr>
              <w:pStyle w:val="Compact"/>
              <w:jc w:val="left"/>
            </w:pPr>
            <w:r>
              <w:t xml:space="preserve">ID</w:t>
            </w:r>
          </w:p>
        </w:tc>
        <w:tc>
          <w:tcPr/>
          <w:p>
            <w:pPr>
              <w:pStyle w:val="Compact"/>
              <w:jc w:val="left"/>
            </w:pPr>
            <w:r>
              <w:t xml:space="preserve">Règle à définir</w:t>
            </w:r>
          </w:p>
        </w:tc>
        <w:tc>
          <w:tcPr/>
          <w:p>
            <w:pPr>
              <w:pStyle w:val="Compact"/>
              <w:jc w:val="left"/>
            </w:pPr>
            <w:r>
              <w:t xml:space="preserve">Responsable</w:t>
            </w:r>
          </w:p>
        </w:tc>
        <w:tc>
          <w:tcPr/>
          <w:p>
            <w:pPr>
              <w:pStyle w:val="Compact"/>
              <w:jc w:val="left"/>
            </w:pPr>
            <w:r>
              <w:t xml:space="preserve">Échéance</w:t>
            </w:r>
          </w:p>
        </w:tc>
      </w:tr>
      <w:tr>
        <w:tc>
          <w:tcPr/>
          <w:p>
            <w:pPr>
              <w:pStyle w:val="Compact"/>
              <w:jc w:val="left"/>
            </w:pPr>
            <w:r>
              <w:t xml:space="preserve">RG-FIN-01</w:t>
            </w:r>
          </w:p>
        </w:tc>
        <w:tc>
          <w:tcPr/>
          <w:p>
            <w:pPr>
              <w:pStyle w:val="Compact"/>
              <w:jc w:val="left"/>
            </w:pPr>
            <w:r>
              <w:t xml:space="preserve">Seuil au-delà duquel un ordre de paiement exige une pièce signée</w:t>
            </w:r>
          </w:p>
        </w:tc>
        <w:tc>
          <w:tcPr/>
          <w:p>
            <w:pPr>
              <w:pStyle w:val="Compact"/>
              <w:jc w:val="left"/>
            </w:pPr>
            <w:r>
              <w:t xml:space="preserve">Chef SAF, DN</w:t>
            </w:r>
          </w:p>
        </w:tc>
        <w:tc>
          <w:tcPr/>
          <w:p>
            <w:pPr>
              <w:pStyle w:val="Compact"/>
              <w:jc w:val="left"/>
            </w:pPr>
            <w:r>
              <w:t xml:space="preserve">Avant le lot 5</w:t>
            </w:r>
          </w:p>
        </w:tc>
      </w:tr>
      <w:tr>
        <w:tc>
          <w:tcPr/>
          <w:p>
            <w:pPr>
              <w:pStyle w:val="Compact"/>
              <w:jc w:val="left"/>
            </w:pPr>
            <w:r>
              <w:t xml:space="preserve">RG-FIN-02</w:t>
            </w:r>
          </w:p>
        </w:tc>
        <w:tc>
          <w:tcPr/>
          <w:p>
            <w:pPr>
              <w:pStyle w:val="Compact"/>
              <w:jc w:val="left"/>
            </w:pPr>
            <w:r>
              <w:t xml:space="preserve">Chaîne de visa d’un ordre de paiement selon son montant</w:t>
            </w:r>
          </w:p>
        </w:tc>
        <w:tc>
          <w:tcPr/>
          <w:p>
            <w:pPr>
              <w:pStyle w:val="Compact"/>
              <w:jc w:val="left"/>
            </w:pPr>
            <w:r>
              <w:t xml:space="preserve">Chef SAF, DN</w:t>
            </w:r>
          </w:p>
        </w:tc>
        <w:tc>
          <w:tcPr/>
          <w:p>
            <w:pPr>
              <w:pStyle w:val="Compact"/>
              <w:jc w:val="left"/>
            </w:pPr>
            <w:r>
              <w:t xml:space="preserve">Avant le lot 5</w:t>
            </w:r>
          </w:p>
        </w:tc>
      </w:tr>
      <w:tr>
        <w:tc>
          <w:tcPr/>
          <w:p>
            <w:pPr>
              <w:pStyle w:val="Compact"/>
              <w:jc w:val="left"/>
            </w:pPr>
            <w:r>
              <w:t xml:space="preserve">RG-FIN-03</w:t>
            </w:r>
          </w:p>
        </w:tc>
        <w:tc>
          <w:tcPr/>
          <w:p>
            <w:pPr>
              <w:pStyle w:val="Compact"/>
              <w:jc w:val="left"/>
            </w:pPr>
            <w:r>
              <w:t xml:space="preserve">Barème des indemnités journalières de mission par destination et par catégorie</w:t>
            </w:r>
          </w:p>
        </w:tc>
        <w:tc>
          <w:tcPr/>
          <w:p>
            <w:pPr>
              <w:pStyle w:val="Compact"/>
              <w:jc w:val="left"/>
            </w:pPr>
            <w:r>
              <w:t xml:space="preserve">SAF, DRH</w:t>
            </w:r>
          </w:p>
        </w:tc>
        <w:tc>
          <w:tcPr/>
          <w:p>
            <w:pPr>
              <w:pStyle w:val="Compact"/>
              <w:jc w:val="left"/>
            </w:pPr>
            <w:r>
              <w:t xml:space="preserve">Avant le lot 5</w:t>
            </w:r>
          </w:p>
        </w:tc>
      </w:tr>
      <w:tr>
        <w:tc>
          <w:tcPr/>
          <w:p>
            <w:pPr>
              <w:pStyle w:val="Compact"/>
              <w:jc w:val="left"/>
            </w:pPr>
            <w:r>
              <w:t xml:space="preserve">RG-FIN-04</w:t>
            </w:r>
          </w:p>
        </w:tc>
        <w:tc>
          <w:tcPr/>
          <w:p>
            <w:pPr>
              <w:pStyle w:val="Compact"/>
              <w:jc w:val="left"/>
            </w:pPr>
            <w:r>
              <w:t xml:space="preserve">Règles d’imputation budgétaire par nature de dépense</w:t>
            </w:r>
          </w:p>
        </w:tc>
        <w:tc>
          <w:tcPr/>
          <w:p>
            <w:pPr>
              <w:pStyle w:val="Compact"/>
              <w:jc w:val="left"/>
            </w:pPr>
            <w:r>
              <w:t xml:space="preserve">Chef SAF</w:t>
            </w:r>
          </w:p>
        </w:tc>
        <w:tc>
          <w:tcPr/>
          <w:p>
            <w:pPr>
              <w:pStyle w:val="Compact"/>
              <w:jc w:val="left"/>
            </w:pPr>
            <w:r>
              <w:t xml:space="preserve">Avant le lot 5</w:t>
            </w:r>
          </w:p>
        </w:tc>
      </w:tr>
      <w:tr>
        <w:tc>
          <w:tcPr/>
          <w:p>
            <w:pPr>
              <w:pStyle w:val="Compact"/>
              <w:jc w:val="left"/>
            </w:pPr>
            <w:r>
              <w:t xml:space="preserve">RG-FIN-05</w:t>
            </w:r>
          </w:p>
        </w:tc>
        <w:tc>
          <w:tcPr/>
          <w:p>
            <w:pPr>
              <w:pStyle w:val="Compact"/>
              <w:jc w:val="left"/>
            </w:pPr>
            <w:r>
              <w:t xml:space="preserve">Origine et périodicité d’alimentation des dotations et des engagements</w:t>
            </w:r>
          </w:p>
        </w:tc>
        <w:tc>
          <w:tcPr/>
          <w:p>
            <w:pPr>
              <w:pStyle w:val="Compact"/>
              <w:jc w:val="left"/>
            </w:pPr>
            <w:r>
              <w:t xml:space="preserve">Chef SAF, DN</w:t>
            </w:r>
          </w:p>
        </w:tc>
        <w:tc>
          <w:tcPr/>
          <w:p>
            <w:pPr>
              <w:pStyle w:val="Compact"/>
              <w:jc w:val="left"/>
            </w:pPr>
            <w:r>
              <w:t xml:space="preserve">Avant le lot 5</w:t>
            </w:r>
          </w:p>
        </w:tc>
      </w:tr>
      <w:tr>
        <w:tc>
          <w:tcPr/>
          <w:p>
            <w:pPr>
              <w:pStyle w:val="Compact"/>
              <w:jc w:val="left"/>
            </w:pPr>
            <w:r>
              <w:t xml:space="preserve">RG-FIN-06</w:t>
            </w:r>
          </w:p>
        </w:tc>
        <w:tc>
          <w:tcPr/>
          <w:p>
            <w:pPr>
              <w:pStyle w:val="Compact"/>
              <w:jc w:val="left"/>
            </w:pPr>
            <w:r>
              <w:t xml:space="preserve">Seuil d’alerte sur le taux d’engagement d’une ligne</w:t>
            </w:r>
          </w:p>
        </w:tc>
        <w:tc>
          <w:tcPr/>
          <w:p>
            <w:pPr>
              <w:pStyle w:val="Compact"/>
              <w:jc w:val="left"/>
            </w:pPr>
            <w:r>
              <w:t xml:space="preserve">Chef SAF</w:t>
            </w:r>
          </w:p>
        </w:tc>
        <w:tc>
          <w:tcPr/>
          <w:p>
            <w:pPr>
              <w:pStyle w:val="Compact"/>
              <w:jc w:val="left"/>
            </w:pPr>
            <w:r>
              <w:t xml:space="preserve">Avant le lot 5</w:t>
            </w:r>
          </w:p>
        </w:tc>
      </w:tr>
      <w:tr>
        <w:tc>
          <w:tcPr/>
          <w:p>
            <w:pPr>
              <w:pStyle w:val="Compact"/>
              <w:jc w:val="left"/>
            </w:pPr>
            <w:r>
              <w:t xml:space="preserve">RG-FIN-07</w:t>
            </w:r>
          </w:p>
        </w:tc>
        <w:tc>
          <w:tcPr/>
          <w:p>
            <w:pPr>
              <w:pStyle w:val="Compact"/>
              <w:jc w:val="left"/>
            </w:pPr>
            <w:r>
              <w:t xml:space="preserve">Règles de constitution d’une campagne rectificative</w:t>
            </w:r>
          </w:p>
        </w:tc>
        <w:tc>
          <w:tcPr/>
          <w:p>
            <w:pPr>
              <w:pStyle w:val="Compact"/>
              <w:jc w:val="left"/>
            </w:pPr>
            <w:r>
              <w:t xml:space="preserve">Chef SAF, DRH</w:t>
            </w:r>
          </w:p>
        </w:tc>
        <w:tc>
          <w:tcPr/>
          <w:p>
            <w:pPr>
              <w:pStyle w:val="Compact"/>
              <w:jc w:val="left"/>
            </w:pPr>
            <w:r>
              <w:t xml:space="preserve">Avant le lot 5</w:t>
            </w:r>
          </w:p>
        </w:tc>
      </w:tr>
      <w:tr>
        <w:tc>
          <w:tcPr/>
          <w:p>
            <w:pPr>
              <w:pStyle w:val="Compact"/>
              <w:jc w:val="left"/>
            </w:pPr>
            <w:r>
              <w:t xml:space="preserve">RG-CAR-01</w:t>
            </w:r>
          </w:p>
        </w:tc>
        <w:tc>
          <w:tcPr/>
          <w:p>
            <w:pPr>
              <w:pStyle w:val="Compact"/>
              <w:jc w:val="left"/>
            </w:pPr>
            <w:r>
              <w:t xml:space="preserve">Conditions et périodicité de l’avancement d’échelon</w:t>
            </w:r>
          </w:p>
        </w:tc>
        <w:tc>
          <w:tcPr/>
          <w:p>
            <w:pPr>
              <w:pStyle w:val="Compact"/>
              <w:jc w:val="left"/>
            </w:pPr>
            <w:r>
              <w:t xml:space="preserve">DRH, DN</w:t>
            </w:r>
          </w:p>
        </w:tc>
        <w:tc>
          <w:tcPr/>
          <w:p>
            <w:pPr>
              <w:pStyle w:val="Compact"/>
              <w:jc w:val="left"/>
            </w:pPr>
            <w:r>
              <w:t xml:space="preserve">Avant le lot 3</w:t>
            </w:r>
          </w:p>
        </w:tc>
      </w:tr>
      <w:tr>
        <w:tc>
          <w:tcPr/>
          <w:p>
            <w:pPr>
              <w:pStyle w:val="Compact"/>
              <w:jc w:val="left"/>
            </w:pPr>
            <w:r>
              <w:t xml:space="preserve">RG-CAR-02</w:t>
            </w:r>
          </w:p>
        </w:tc>
        <w:tc>
          <w:tcPr/>
          <w:p>
            <w:pPr>
              <w:pStyle w:val="Compact"/>
              <w:jc w:val="left"/>
            </w:pPr>
            <w:r>
              <w:t xml:space="preserve">Effets d’un avancement sur la grille de rémunération</w:t>
            </w:r>
          </w:p>
        </w:tc>
        <w:tc>
          <w:tcPr/>
          <w:p>
            <w:pPr>
              <w:pStyle w:val="Compact"/>
              <w:jc w:val="left"/>
            </w:pPr>
            <w:r>
              <w:t xml:space="preserve">DRH, SAF</w:t>
            </w:r>
          </w:p>
        </w:tc>
        <w:tc>
          <w:tcPr/>
          <w:p>
            <w:pPr>
              <w:pStyle w:val="Compact"/>
              <w:jc w:val="left"/>
            </w:pPr>
            <w:r>
              <w:t xml:space="preserve">Avant le lot 5</w:t>
            </w:r>
          </w:p>
        </w:tc>
      </w:tr>
      <w:tr>
        <w:tc>
          <w:tcPr/>
          <w:p>
            <w:pPr>
              <w:pStyle w:val="Compact"/>
              <w:jc w:val="left"/>
            </w:pPr>
            <w:r>
              <w:t xml:space="preserve">RG-CAR-03</w:t>
            </w:r>
          </w:p>
        </w:tc>
        <w:tc>
          <w:tcPr/>
          <w:p>
            <w:pPr>
              <w:pStyle w:val="Compact"/>
              <w:jc w:val="left"/>
            </w:pPr>
            <w:r>
              <w:t xml:space="preserve">Pièces obligatoires au dossier agent, par statut</w:t>
            </w:r>
          </w:p>
        </w:tc>
        <w:tc>
          <w:tcPr/>
          <w:p>
            <w:pPr>
              <w:pStyle w:val="Compact"/>
              <w:jc w:val="left"/>
            </w:pPr>
            <w:r>
              <w:t xml:space="preserve">DRH</w:t>
            </w:r>
          </w:p>
        </w:tc>
        <w:tc>
          <w:tcPr/>
          <w:p>
            <w:pPr>
              <w:pStyle w:val="Compact"/>
              <w:jc w:val="left"/>
            </w:pPr>
            <w:r>
              <w:t xml:space="preserve">Avant le lot 3</w:t>
            </w:r>
          </w:p>
        </w:tc>
      </w:tr>
      <w:tr>
        <w:tc>
          <w:tcPr/>
          <w:p>
            <w:pPr>
              <w:pStyle w:val="Compact"/>
              <w:jc w:val="left"/>
            </w:pPr>
            <w:r>
              <w:t xml:space="preserve">RG-CAR-04</w:t>
            </w:r>
          </w:p>
        </w:tc>
        <w:tc>
          <w:tcPr/>
          <w:p>
            <w:pPr>
              <w:pStyle w:val="Compact"/>
              <w:jc w:val="left"/>
            </w:pPr>
            <w:r>
              <w:t xml:space="preserve">Signataire et circuit de visa de chaque famille d’actes</w:t>
            </w:r>
          </w:p>
        </w:tc>
        <w:tc>
          <w:tcPr/>
          <w:p>
            <w:pPr>
              <w:pStyle w:val="Compact"/>
              <w:jc w:val="left"/>
            </w:pPr>
            <w:r>
              <w:t xml:space="preserve">DN, DRH</w:t>
            </w:r>
          </w:p>
        </w:tc>
        <w:tc>
          <w:tcPr/>
          <w:p>
            <w:pPr>
              <w:pStyle w:val="Compact"/>
              <w:jc w:val="left"/>
            </w:pPr>
            <w:r>
              <w:t xml:space="preserve">Avant le lot 3</w:t>
            </w:r>
          </w:p>
        </w:tc>
      </w:tr>
      <w:tr>
        <w:tc>
          <w:tcPr/>
          <w:p>
            <w:pPr>
              <w:pStyle w:val="Compact"/>
              <w:jc w:val="left"/>
            </w:pPr>
            <w:r>
              <w:t xml:space="preserve">RG-MSG-01</w:t>
            </w:r>
          </w:p>
        </w:tc>
        <w:tc>
          <w:tcPr/>
          <w:p>
            <w:pPr>
              <w:pStyle w:val="Compact"/>
              <w:jc w:val="left"/>
            </w:pPr>
            <w:r>
              <w:t xml:space="preserve">Durée au-delà de laquelle un message non lu donne lieu à relance</w:t>
            </w:r>
          </w:p>
        </w:tc>
        <w:tc>
          <w:tcPr/>
          <w:p>
            <w:pPr>
              <w:pStyle w:val="Compact"/>
              <w:jc w:val="left"/>
            </w:pPr>
            <w:r>
              <w:t xml:space="preserve">Secrétariat de direction</w:t>
            </w:r>
          </w:p>
        </w:tc>
        <w:tc>
          <w:tcPr/>
          <w:p>
            <w:pPr>
              <w:pStyle w:val="Compact"/>
              <w:jc w:val="left"/>
            </w:pPr>
            <w:r>
              <w:t xml:space="preserve">Avant le lot 1</w:t>
            </w:r>
          </w:p>
        </w:tc>
      </w:tr>
    </w:tbl>
    <w:bookmarkEnd w:id="362"/>
    <w:bookmarkEnd w:id="363"/>
    <w:bookmarkStart w:id="365" w:name="X8996654c670ba020000578168c6bcaccc5f7b42"/>
    <w:p>
      <w:pPr>
        <w:pStyle w:val="Heading2"/>
      </w:pPr>
      <w:r>
        <w:t xml:space="preserve">Annexe 4 — Référentiel des durées de conservation</w:t>
      </w:r>
    </w:p>
    <w:p>
      <w:pPr>
        <w:pStyle w:val="FirstParagraph"/>
      </w:pPr>
      <w:r>
        <w:t xml:space="preserve">Valeurs proposées, à confirmer avec le SAF, les RH et les Archives</w:t>
      </w:r>
      <w:r>
        <w:t xml:space="preserve"> </w:t>
      </w:r>
      <w:r>
        <w:t xml:space="preserve">nationales. « En ligne » désigne la disponibilité dans le système ;</w:t>
      </w:r>
      <w:r>
        <w:t xml:space="preserve"> </w:t>
      </w:r>
      <w:r>
        <w:t xml:space="preserve">au-delà, les données sont versées ou éliminées selon leur sort final.</w:t>
      </w:r>
    </w:p>
    <w:tbl>
      <w:tblPr>
        <w:tblStyle w:val="Table"/>
        <w:tblW w:type="dxa" w:w="9354"/>
        <w:tblLayout w:type="fixed"/>
        <w:tblLook w:firstRow="1" w:lastRow="0" w:firstColumn="0" w:lastColumn="0" w:noHBand="0" w:noVBand="0" w:val="0020"/>
        <w:jc w:val="start"/>
      </w:tblPr>
      <w:tblGrid>
        <w:gridCol w:w="3241"/>
        <w:gridCol w:w="3021"/>
        <w:gridCol w:w="3092"/>
      </w:tblGrid>
      <w:tr>
        <w:trPr>
          <w:tblHeader w:val="true"/>
        </w:trPr>
        <w:tc>
          <w:tcPr/>
          <w:p>
            <w:pPr>
              <w:pStyle w:val="Compact"/>
              <w:jc w:val="left"/>
            </w:pPr>
            <w:r>
              <w:t xml:space="preserve">Catégorie</w:t>
            </w:r>
          </w:p>
        </w:tc>
        <w:tc>
          <w:tcPr/>
          <w:p>
            <w:pPr>
              <w:pStyle w:val="Compact"/>
              <w:jc w:val="left"/>
            </w:pPr>
            <w:r>
              <w:t xml:space="preserve">Conservation en ligne</w:t>
            </w:r>
          </w:p>
        </w:tc>
        <w:tc>
          <w:tcPr/>
          <w:p>
            <w:pPr>
              <w:pStyle w:val="Compact"/>
              <w:jc w:val="left"/>
            </w:pPr>
            <w:r>
              <w:t xml:space="preserve">Sort final</w:t>
            </w:r>
          </w:p>
        </w:tc>
      </w:tr>
      <w:tr>
        <w:tc>
          <w:tcPr/>
          <w:p>
            <w:pPr>
              <w:pStyle w:val="Compact"/>
              <w:jc w:val="left"/>
            </w:pPr>
            <w:r>
              <w:t xml:space="preserve">Journaux techniques de connexion</w:t>
            </w:r>
          </w:p>
        </w:tc>
        <w:tc>
          <w:tcPr/>
          <w:p>
            <w:pPr>
              <w:pStyle w:val="Compact"/>
              <w:jc w:val="left"/>
            </w:pPr>
            <w:r>
              <w:t xml:space="preserve">12 mois glissants</w:t>
            </w:r>
          </w:p>
        </w:tc>
        <w:tc>
          <w:tcPr/>
          <w:p>
            <w:pPr>
              <w:pStyle w:val="Compact"/>
              <w:jc w:val="left"/>
            </w:pPr>
            <w:r>
              <w:t xml:space="preserve">Élimination</w:t>
            </w:r>
          </w:p>
        </w:tc>
      </w:tr>
      <w:tr>
        <w:tc>
          <w:tcPr/>
          <w:p>
            <w:pPr>
              <w:pStyle w:val="Compact"/>
              <w:jc w:val="left"/>
            </w:pPr>
            <w:r>
              <w:t xml:space="preserve">Journal d’audit métier</w:t>
            </w:r>
          </w:p>
        </w:tc>
        <w:tc>
          <w:tcPr/>
          <w:p>
            <w:pPr>
              <w:pStyle w:val="Compact"/>
              <w:jc w:val="left"/>
            </w:pPr>
            <w:r>
              <w:t xml:space="preserve">5 ans</w:t>
            </w:r>
          </w:p>
        </w:tc>
        <w:tc>
          <w:tcPr/>
          <w:p>
            <w:pPr>
              <w:pStyle w:val="Compact"/>
              <w:jc w:val="left"/>
            </w:pPr>
            <w:r>
              <w:t xml:space="preserve">Élimination après contrôle</w:t>
            </w:r>
          </w:p>
        </w:tc>
      </w:tr>
      <w:tr>
        <w:tc>
          <w:tcPr/>
          <w:p>
            <w:pPr>
              <w:pStyle w:val="Compact"/>
              <w:jc w:val="left"/>
            </w:pPr>
            <w:r>
              <w:t xml:space="preserve">Messages directs</w:t>
            </w:r>
          </w:p>
        </w:tc>
        <w:tc>
          <w:tcPr/>
          <w:p>
            <w:pPr>
              <w:pStyle w:val="Compact"/>
              <w:jc w:val="left"/>
            </w:pPr>
            <w:r>
              <w:t xml:space="preserve">24 mois</w:t>
            </w:r>
          </w:p>
        </w:tc>
        <w:tc>
          <w:tcPr/>
          <w:p>
            <w:pPr>
              <w:pStyle w:val="Compact"/>
              <w:jc w:val="left"/>
            </w:pPr>
            <w:r>
              <w:t xml:space="preserve">Élimination</w:t>
            </w:r>
          </w:p>
        </w:tc>
      </w:tr>
      <w:tr>
        <w:tc>
          <w:tcPr/>
          <w:p>
            <w:pPr>
              <w:pStyle w:val="Compact"/>
              <w:jc w:val="left"/>
            </w:pPr>
            <w:r>
              <w:t xml:space="preserve">Annonces et notes de service</w:t>
            </w:r>
          </w:p>
        </w:tc>
        <w:tc>
          <w:tcPr/>
          <w:p>
            <w:pPr>
              <w:pStyle w:val="Compact"/>
              <w:jc w:val="left"/>
            </w:pPr>
            <w:r>
              <w:t xml:space="preserve">5 ans</w:t>
            </w:r>
          </w:p>
        </w:tc>
        <w:tc>
          <w:tcPr/>
          <w:p>
            <w:pPr>
              <w:pStyle w:val="Compact"/>
              <w:jc w:val="left"/>
            </w:pPr>
            <w:r>
              <w:t xml:space="preserve">Versement</w:t>
            </w:r>
          </w:p>
        </w:tc>
      </w:tr>
      <w:tr>
        <w:tc>
          <w:tcPr/>
          <w:p>
            <w:pPr>
              <w:pStyle w:val="Compact"/>
              <w:jc w:val="left"/>
            </w:pPr>
            <w:r>
              <w:t xml:space="preserve">Tâches, activités et plans de travail</w:t>
            </w:r>
          </w:p>
        </w:tc>
        <w:tc>
          <w:tcPr/>
          <w:p>
            <w:pPr>
              <w:pStyle w:val="Compact"/>
              <w:jc w:val="left"/>
            </w:pPr>
            <w:r>
              <w:t xml:space="preserve">5 ans</w:t>
            </w:r>
          </w:p>
        </w:tc>
        <w:tc>
          <w:tcPr/>
          <w:p>
            <w:pPr>
              <w:pStyle w:val="Compact"/>
              <w:jc w:val="left"/>
            </w:pPr>
            <w:r>
              <w:t xml:space="preserve">Versement des rapports d’activité</w:t>
            </w:r>
          </w:p>
        </w:tc>
      </w:tr>
      <w:tr>
        <w:tc>
          <w:tcPr/>
          <w:p>
            <w:pPr>
              <w:pStyle w:val="Compact"/>
              <w:jc w:val="left"/>
            </w:pPr>
            <w:r>
              <w:t xml:space="preserve">Réunions et comptes rendus</w:t>
            </w:r>
          </w:p>
        </w:tc>
        <w:tc>
          <w:tcPr/>
          <w:p>
            <w:pPr>
              <w:pStyle w:val="Compact"/>
              <w:jc w:val="left"/>
            </w:pPr>
            <w:r>
              <w:t xml:space="preserve">10 ans</w:t>
            </w:r>
          </w:p>
        </w:tc>
        <w:tc>
          <w:tcPr/>
          <w:p>
            <w:pPr>
              <w:pStyle w:val="Compact"/>
              <w:jc w:val="left"/>
            </w:pPr>
            <w:r>
              <w:t xml:space="preserve">Versement</w:t>
            </w:r>
          </w:p>
        </w:tc>
      </w:tr>
      <w:tr>
        <w:tc>
          <w:tcPr/>
          <w:p>
            <w:pPr>
              <w:pStyle w:val="Compact"/>
              <w:jc w:val="left"/>
            </w:pPr>
            <w:r>
              <w:t xml:space="preserve">Demandes de congé et d’absence</w:t>
            </w:r>
          </w:p>
        </w:tc>
        <w:tc>
          <w:tcPr/>
          <w:p>
            <w:pPr>
              <w:pStyle w:val="Compact"/>
              <w:jc w:val="left"/>
            </w:pPr>
            <w:r>
              <w:t xml:space="preserve">5 ans après l’exercice</w:t>
            </w:r>
          </w:p>
        </w:tc>
        <w:tc>
          <w:tcPr/>
          <w:p>
            <w:pPr>
              <w:pStyle w:val="Compact"/>
              <w:jc w:val="left"/>
            </w:pPr>
            <w:r>
              <w:t xml:space="preserve">Élimination</w:t>
            </w:r>
          </w:p>
        </w:tc>
      </w:tr>
      <w:tr>
        <w:tc>
          <w:tcPr/>
          <w:p>
            <w:pPr>
              <w:pStyle w:val="Compact"/>
              <w:jc w:val="left"/>
            </w:pPr>
            <w:r>
              <w:t xml:space="preserve">Justificatifs médicaux</w:t>
            </w:r>
          </w:p>
        </w:tc>
        <w:tc>
          <w:tcPr/>
          <w:p>
            <w:pPr>
              <w:pStyle w:val="Compact"/>
              <w:jc w:val="left"/>
            </w:pPr>
            <w:r>
              <w:t xml:space="preserve">1 an après la fin de l’absence, accès DRH uniquement</w:t>
            </w:r>
          </w:p>
        </w:tc>
        <w:tc>
          <w:tcPr/>
          <w:p>
            <w:pPr>
              <w:pStyle w:val="Compact"/>
              <w:jc w:val="left"/>
            </w:pPr>
            <w:r>
              <w:t xml:space="preserve">Élimination</w:t>
            </w:r>
          </w:p>
        </w:tc>
      </w:tr>
      <w:tr>
        <w:tc>
          <w:tcPr/>
          <w:p>
            <w:pPr>
              <w:pStyle w:val="Compact"/>
              <w:jc w:val="left"/>
            </w:pPr>
            <w:r>
              <w:t xml:space="preserve">Dossier agent</w:t>
            </w:r>
          </w:p>
        </w:tc>
        <w:tc>
          <w:tcPr/>
          <w:p>
            <w:pPr>
              <w:pStyle w:val="Compact"/>
              <w:jc w:val="left"/>
            </w:pPr>
            <w:r>
              <w:t xml:space="preserve">Durée de présence, puis 5 ans</w:t>
            </w:r>
          </w:p>
        </w:tc>
        <w:tc>
          <w:tcPr/>
          <w:p>
            <w:pPr>
              <w:pStyle w:val="Compact"/>
              <w:jc w:val="left"/>
            </w:pPr>
            <w:r>
              <w:t xml:space="preserve">Versement</w:t>
            </w:r>
          </w:p>
        </w:tc>
      </w:tr>
      <w:tr>
        <w:tc>
          <w:tcPr/>
          <w:p>
            <w:pPr>
              <w:pStyle w:val="Compact"/>
              <w:jc w:val="left"/>
            </w:pPr>
            <w:r>
              <w:t xml:space="preserve">Bulletins de paie et pièces de rémunération</w:t>
            </w:r>
          </w:p>
        </w:tc>
        <w:tc>
          <w:tcPr/>
          <w:p>
            <w:pPr>
              <w:pStyle w:val="Compact"/>
              <w:jc w:val="left"/>
            </w:pPr>
            <w:r>
              <w:t xml:space="preserve">10 ans en ligne</w:t>
            </w:r>
          </w:p>
        </w:tc>
        <w:tc>
          <w:tcPr/>
          <w:p>
            <w:pPr>
              <w:pStyle w:val="Compact"/>
              <w:jc w:val="left"/>
            </w:pPr>
            <w:r>
              <w:t xml:space="preserve">Conservation longue, à déterminer au regard des droits à pension</w:t>
            </w:r>
          </w:p>
        </w:tc>
      </w:tr>
      <w:tr>
        <w:tc>
          <w:tcPr/>
          <w:p>
            <w:pPr>
              <w:pStyle w:val="Compact"/>
              <w:jc w:val="left"/>
            </w:pPr>
            <w:r>
              <w:t xml:space="preserve">Instructions de la Direction à effet financier</w:t>
            </w:r>
          </w:p>
        </w:tc>
        <w:tc>
          <w:tcPr/>
          <w:p>
            <w:pPr>
              <w:pStyle w:val="Compact"/>
              <w:jc w:val="left"/>
            </w:pPr>
            <w:r>
              <w:t xml:space="preserve">10 ans</w:t>
            </w:r>
          </w:p>
        </w:tc>
        <w:tc>
          <w:tcPr/>
          <w:p>
            <w:pPr>
              <w:pStyle w:val="Compact"/>
              <w:jc w:val="left"/>
            </w:pPr>
            <w:r>
              <w:t xml:space="preserve">Versement</w:t>
            </w:r>
          </w:p>
        </w:tc>
      </w:tr>
      <w:tr>
        <w:tc>
          <w:tcPr/>
          <w:p>
            <w:pPr>
              <w:pStyle w:val="Compact"/>
              <w:jc w:val="left"/>
            </w:pPr>
            <w:r>
              <w:t xml:space="preserve">Courrier entrant et sortant</w:t>
            </w:r>
          </w:p>
        </w:tc>
        <w:tc>
          <w:tcPr/>
          <w:p>
            <w:pPr>
              <w:pStyle w:val="Compact"/>
              <w:jc w:val="left"/>
            </w:pPr>
            <w:r>
              <w:t xml:space="preserve">5 ans</w:t>
            </w:r>
          </w:p>
        </w:tc>
        <w:tc>
          <w:tcPr/>
          <w:p>
            <w:pPr>
              <w:pStyle w:val="Compact"/>
              <w:jc w:val="left"/>
            </w:pPr>
            <w:r>
              <w:t xml:space="preserve">Versement selon le plan de classement</w:t>
            </w:r>
          </w:p>
        </w:tc>
      </w:tr>
      <w:tr>
        <w:tc>
          <w:tcPr/>
          <w:p>
            <w:pPr>
              <w:pStyle w:val="Compact"/>
              <w:jc w:val="left"/>
            </w:pPr>
            <w:r>
              <w:t xml:space="preserve">Rapports de stage</w:t>
            </w:r>
          </w:p>
        </w:tc>
        <w:tc>
          <w:tcPr/>
          <w:p>
            <w:pPr>
              <w:pStyle w:val="Compact"/>
              <w:jc w:val="left"/>
            </w:pPr>
            <w:r>
              <w:t xml:space="preserve">5 ans</w:t>
            </w:r>
          </w:p>
        </w:tc>
        <w:tc>
          <w:tcPr/>
          <w:p>
            <w:pPr>
              <w:pStyle w:val="Compact"/>
              <w:jc w:val="left"/>
            </w:pPr>
            <w:r>
              <w:t xml:space="preserve">Versement des rapports retenus</w:t>
            </w:r>
          </w:p>
        </w:tc>
      </w:tr>
      <w:tr>
        <w:tc>
          <w:tcPr/>
          <w:p>
            <w:pPr>
              <w:pStyle w:val="Compact"/>
              <w:jc w:val="left"/>
            </w:pPr>
            <w:r>
              <w:t xml:space="preserve">Fiches d’évaluation de rotation</w:t>
            </w:r>
          </w:p>
        </w:tc>
        <w:tc>
          <w:tcPr/>
          <w:p>
            <w:pPr>
              <w:pStyle w:val="Compact"/>
              <w:jc w:val="left"/>
            </w:pPr>
            <w:r>
              <w:t xml:space="preserve">5 ans</w:t>
            </w:r>
          </w:p>
        </w:tc>
        <w:tc>
          <w:tcPr/>
          <w:p>
            <w:pPr>
              <w:pStyle w:val="Compact"/>
              <w:jc w:val="left"/>
            </w:pPr>
            <w:r>
              <w:t xml:space="preserve">Élimination</w:t>
            </w:r>
          </w:p>
        </w:tc>
      </w:tr>
      <w:tr>
        <w:tc>
          <w:tcPr/>
          <w:p>
            <w:pPr>
              <w:pStyle w:val="Compact"/>
              <w:jc w:val="left"/>
            </w:pPr>
            <w:r>
              <w:t xml:space="preserve">Attestations de stage délivrées</w:t>
            </w:r>
          </w:p>
        </w:tc>
        <w:tc>
          <w:tcPr/>
          <w:p>
            <w:pPr>
              <w:pStyle w:val="Compact"/>
              <w:jc w:val="left"/>
            </w:pPr>
            <w:r>
              <w:t xml:space="preserve">10 ans</w:t>
            </w:r>
          </w:p>
        </w:tc>
        <w:tc>
          <w:tcPr/>
          <w:p>
            <w:pPr>
              <w:pStyle w:val="Compact"/>
              <w:jc w:val="left"/>
            </w:pPr>
            <w:r>
              <w:t xml:space="preserve">Versement</w:t>
            </w:r>
          </w:p>
        </w:tc>
      </w:tr>
      <w:tr>
        <w:tc>
          <w:tcPr/>
          <w:p>
            <w:pPr>
              <w:pStyle w:val="Compact"/>
              <w:jc w:val="left"/>
            </w:pPr>
            <w:r>
              <w:t xml:space="preserve">Documents publiés en GED</w:t>
            </w:r>
          </w:p>
        </w:tc>
        <w:tc>
          <w:tcPr/>
          <w:p>
            <w:pPr>
              <w:pStyle w:val="Compact"/>
              <w:jc w:val="left"/>
            </w:pPr>
            <w:r>
              <w:t xml:space="preserve">Selon la durée d’utilité administrative attachée au type</w:t>
            </w:r>
          </w:p>
        </w:tc>
        <w:tc>
          <w:tcPr/>
          <w:p>
            <w:pPr>
              <w:pStyle w:val="Compact"/>
              <w:jc w:val="left"/>
            </w:pPr>
            <w:r>
              <w:t xml:space="preserve">Versement ou élimination validée</w:t>
            </w:r>
          </w:p>
        </w:tc>
      </w:tr>
      <w:tr>
        <w:tc>
          <w:tcPr/>
          <w:p>
            <w:pPr>
              <w:pStyle w:val="Compact"/>
              <w:jc w:val="left"/>
            </w:pPr>
            <w:r>
              <w:t xml:space="preserve">Sauvegardes</w:t>
            </w:r>
          </w:p>
        </w:tc>
        <w:tc>
          <w:tcPr/>
          <w:p>
            <w:pPr>
              <w:pStyle w:val="Compact"/>
              <w:jc w:val="left"/>
            </w:pPr>
            <w:r>
              <w:t xml:space="preserve">30 quotidiennes et 12 mensuelles</w:t>
            </w:r>
          </w:p>
        </w:tc>
        <w:tc>
          <w:tcPr/>
          <w:p>
            <w:pPr>
              <w:pStyle w:val="Compact"/>
              <w:jc w:val="left"/>
            </w:pPr>
            <w:r>
              <w:t xml:space="preserve">Rotation automatique</w:t>
            </w:r>
          </w:p>
        </w:tc>
      </w:tr>
    </w:tbl>
    <w:bookmarkStart w:id="364" w:name="objets-ajoutés-en-version-2.1"/>
    <w:p>
      <w:pPr>
        <w:pStyle w:val="Heading3"/>
      </w:pPr>
      <w:r>
        <w:t xml:space="preserve">4.1 Objets ajoutés en version 2.1</w:t>
      </w:r>
    </w:p>
    <w:tbl>
      <w:tblPr>
        <w:tblStyle w:val="Table"/>
        <w:tblW w:type="dxa" w:w="9354"/>
        <w:tblLayout w:type="fixed"/>
        <w:tblLook w:firstRow="1" w:lastRow="0" w:firstColumn="0" w:lastColumn="0" w:noHBand="0" w:noVBand="0" w:val="0020"/>
        <w:jc w:val="start"/>
      </w:tblPr>
      <w:tblGrid>
        <w:gridCol w:w="2469"/>
        <w:gridCol w:w="2275"/>
        <w:gridCol w:w="2361"/>
        <w:gridCol w:w="2249"/>
      </w:tblGrid>
      <w:tr>
        <w:trPr>
          <w:tblHeader w:val="true"/>
        </w:trPr>
        <w:tc>
          <w:tcPr/>
          <w:p>
            <w:pPr>
              <w:pStyle w:val="Compact"/>
              <w:jc w:val="left"/>
            </w:pPr>
            <w:r>
              <w:t xml:space="preserve">Objet</w:t>
            </w:r>
          </w:p>
        </w:tc>
        <w:tc>
          <w:tcPr/>
          <w:p>
            <w:pPr>
              <w:pStyle w:val="Compact"/>
              <w:jc w:val="left"/>
            </w:pPr>
            <w:r>
              <w:t xml:space="preserve">Durée de conservation</w:t>
            </w:r>
          </w:p>
        </w:tc>
        <w:tc>
          <w:tcPr/>
          <w:p>
            <w:pPr>
              <w:pStyle w:val="Compact"/>
              <w:jc w:val="left"/>
            </w:pPr>
            <w:r>
              <w:t xml:space="preserve">Sort à l’échéance</w:t>
            </w:r>
          </w:p>
        </w:tc>
        <w:tc>
          <w:tcPr/>
          <w:p>
            <w:pPr>
              <w:pStyle w:val="Compact"/>
              <w:jc w:val="left"/>
            </w:pPr>
            <w:r>
              <w:t xml:space="preserve">Fondement</w:t>
            </w:r>
          </w:p>
        </w:tc>
      </w:tr>
      <w:tr>
        <w:tc>
          <w:tcPr/>
          <w:p>
            <w:pPr>
              <w:pStyle w:val="Compact"/>
              <w:jc w:val="left"/>
            </w:pPr>
            <w:r>
              <w:t xml:space="preserve">Message interne et accusé de lecture</w:t>
            </w:r>
          </w:p>
        </w:tc>
        <w:tc>
          <w:tcPr/>
          <w:p>
            <w:pPr>
              <w:pStyle w:val="Compact"/>
              <w:jc w:val="left"/>
            </w:pPr>
            <w:r>
              <w:t xml:space="preserve">3 ans</w:t>
            </w:r>
          </w:p>
        </w:tc>
        <w:tc>
          <w:tcPr/>
          <w:p>
            <w:pPr>
              <w:pStyle w:val="Compact"/>
              <w:jc w:val="left"/>
            </w:pPr>
            <w:r>
              <w:t xml:space="preserve">Suppression après export du fil si un acte s’y rattache</w:t>
            </w:r>
          </w:p>
        </w:tc>
        <w:tc>
          <w:tcPr/>
          <w:p>
            <w:pPr>
              <w:pStyle w:val="Compact"/>
              <w:jc w:val="left"/>
            </w:pPr>
            <w:r>
              <w:t xml:space="preserve">Utilité de gestion</w:t>
            </w:r>
          </w:p>
        </w:tc>
      </w:tr>
      <w:tr>
        <w:tc>
          <w:tcPr/>
          <w:p>
            <w:pPr>
              <w:pStyle w:val="Compact"/>
              <w:jc w:val="left"/>
            </w:pPr>
            <w:r>
              <w:t xml:space="preserve">Pièce jointe d’un message</w:t>
            </w:r>
          </w:p>
        </w:tc>
        <w:tc>
          <w:tcPr/>
          <w:p>
            <w:pPr>
              <w:pStyle w:val="Compact"/>
              <w:jc w:val="left"/>
            </w:pPr>
            <w:r>
              <w:t xml:space="preserve">Durée de l’objet référencé</w:t>
            </w:r>
          </w:p>
        </w:tc>
        <w:tc>
          <w:tcPr/>
          <w:p>
            <w:pPr>
              <w:pStyle w:val="Compact"/>
              <w:jc w:val="left"/>
            </w:pPr>
            <w:r>
              <w:t xml:space="preserve">Aucune copie autonome : la pièce n’est qu’un renvoi</w:t>
            </w:r>
          </w:p>
        </w:tc>
        <w:tc>
          <w:tcPr/>
          <w:p>
            <w:pPr>
              <w:pStyle w:val="Compact"/>
              <w:jc w:val="left"/>
            </w:pPr>
            <w:r>
              <w:t xml:space="preserve">Non-duplication</w:t>
            </w:r>
          </w:p>
        </w:tc>
      </w:tr>
      <w:tr>
        <w:tc>
          <w:tcPr/>
          <w:p>
            <w:pPr>
              <w:pStyle w:val="Compact"/>
              <w:jc w:val="left"/>
            </w:pPr>
            <w:r>
              <w:t xml:space="preserve">Ordre de paiement et pièce justificative</w:t>
            </w:r>
          </w:p>
        </w:tc>
        <w:tc>
          <w:tcPr/>
          <w:p>
            <w:pPr>
              <w:pStyle w:val="Compact"/>
              <w:jc w:val="left"/>
            </w:pPr>
            <w:r>
              <w:t xml:space="preserve">10 ans</w:t>
            </w:r>
          </w:p>
        </w:tc>
        <w:tc>
          <w:tcPr/>
          <w:p>
            <w:pPr>
              <w:pStyle w:val="Compact"/>
              <w:jc w:val="left"/>
            </w:pPr>
            <w:r>
              <w:t xml:space="preserve">Versement aux archives</w:t>
            </w:r>
          </w:p>
        </w:tc>
        <w:tc>
          <w:tcPr/>
          <w:p>
            <w:pPr>
              <w:pStyle w:val="Compact"/>
              <w:jc w:val="left"/>
            </w:pPr>
            <w:r>
              <w:t xml:space="preserve">Pièces comptables</w:t>
            </w:r>
          </w:p>
        </w:tc>
      </w:tr>
      <w:tr>
        <w:tc>
          <w:tcPr/>
          <w:p>
            <w:pPr>
              <w:pStyle w:val="Compact"/>
              <w:jc w:val="left"/>
            </w:pPr>
            <w:r>
              <w:t xml:space="preserve">Mission et liquidation d’indemnité</w:t>
            </w:r>
          </w:p>
        </w:tc>
        <w:tc>
          <w:tcPr/>
          <w:p>
            <w:pPr>
              <w:pStyle w:val="Compact"/>
              <w:jc w:val="left"/>
            </w:pPr>
            <w:r>
              <w:t xml:space="preserve">10 ans</w:t>
            </w:r>
          </w:p>
        </w:tc>
        <w:tc>
          <w:tcPr/>
          <w:p>
            <w:pPr>
              <w:pStyle w:val="Compact"/>
              <w:jc w:val="left"/>
            </w:pPr>
            <w:r>
              <w:t xml:space="preserve">Versement aux archives</w:t>
            </w:r>
          </w:p>
        </w:tc>
        <w:tc>
          <w:tcPr/>
          <w:p>
            <w:pPr>
              <w:pStyle w:val="Compact"/>
              <w:jc w:val="left"/>
            </w:pPr>
            <w:r>
              <w:t xml:space="preserve">Pièces comptables</w:t>
            </w:r>
          </w:p>
        </w:tc>
      </w:tr>
      <w:tr>
        <w:tc>
          <w:tcPr/>
          <w:p>
            <w:pPr>
              <w:pStyle w:val="Compact"/>
              <w:jc w:val="left"/>
            </w:pPr>
            <w:r>
              <w:t xml:space="preserve">Ligne budgétaire et état financier</w:t>
            </w:r>
          </w:p>
        </w:tc>
        <w:tc>
          <w:tcPr/>
          <w:p>
            <w:pPr>
              <w:pStyle w:val="Compact"/>
              <w:jc w:val="left"/>
            </w:pPr>
            <w:r>
              <w:t xml:space="preserve">10 ans</w:t>
            </w:r>
          </w:p>
        </w:tc>
        <w:tc>
          <w:tcPr/>
          <w:p>
            <w:pPr>
              <w:pStyle w:val="Compact"/>
              <w:jc w:val="left"/>
            </w:pPr>
            <w:r>
              <w:t xml:space="preserve">Versement aux archives</w:t>
            </w:r>
          </w:p>
        </w:tc>
        <w:tc>
          <w:tcPr/>
          <w:p>
            <w:pPr>
              <w:pStyle w:val="Compact"/>
              <w:jc w:val="left"/>
            </w:pPr>
            <w:r>
              <w:t xml:space="preserve">Pièces comptables</w:t>
            </w:r>
          </w:p>
        </w:tc>
      </w:tr>
      <w:tr>
        <w:tc>
          <w:tcPr/>
          <w:p>
            <w:pPr>
              <w:pStyle w:val="Compact"/>
              <w:jc w:val="left"/>
            </w:pPr>
            <w:r>
              <w:t xml:space="preserve">Mouvement de carrière et acte des ressources humaines</w:t>
            </w:r>
          </w:p>
        </w:tc>
        <w:tc>
          <w:tcPr/>
          <w:p>
            <w:pPr>
              <w:pStyle w:val="Compact"/>
              <w:jc w:val="left"/>
            </w:pPr>
            <w:r>
              <w:t xml:space="preserve">Durée de la carrière, puis 50 ans</w:t>
            </w:r>
          </w:p>
        </w:tc>
        <w:tc>
          <w:tcPr/>
          <w:p>
            <w:pPr>
              <w:pStyle w:val="Compact"/>
              <w:jc w:val="left"/>
            </w:pPr>
            <w:r>
              <w:t xml:space="preserve">Versement aux archives</w:t>
            </w:r>
          </w:p>
        </w:tc>
        <w:tc>
          <w:tcPr/>
          <w:p>
            <w:pPr>
              <w:pStyle w:val="Compact"/>
              <w:jc w:val="left"/>
            </w:pPr>
            <w:r>
              <w:t xml:space="preserve">Dossier individuel</w:t>
            </w:r>
          </w:p>
        </w:tc>
      </w:tr>
      <w:tr>
        <w:tc>
          <w:tcPr/>
          <w:p>
            <w:pPr>
              <w:pStyle w:val="Compact"/>
              <w:jc w:val="left"/>
            </w:pPr>
            <w:r>
              <w:t xml:space="preserve">Document généré — bulletin, attestation, acte</w:t>
            </w:r>
          </w:p>
        </w:tc>
        <w:tc>
          <w:tcPr/>
          <w:p>
            <w:pPr>
              <w:pStyle w:val="Compact"/>
              <w:jc w:val="left"/>
            </w:pPr>
            <w:r>
              <w:t xml:space="preserve">Identique à l’objet dont il procède</w:t>
            </w:r>
          </w:p>
        </w:tc>
        <w:tc>
          <w:tcPr/>
          <w:p>
            <w:pPr>
              <w:pStyle w:val="Compact"/>
              <w:jc w:val="left"/>
            </w:pPr>
            <w:r>
              <w:t xml:space="preserve">Suit le sort de cet objet</w:t>
            </w:r>
          </w:p>
        </w:tc>
        <w:tc>
          <w:tcPr/>
          <w:p>
            <w:pPr>
              <w:pStyle w:val="Compact"/>
              <w:jc w:val="left"/>
            </w:pPr>
            <w:r>
              <w:t xml:space="preserve">Cohérence documentaire</w:t>
            </w:r>
          </w:p>
        </w:tc>
      </w:tr>
      <w:tr>
        <w:tc>
          <w:tcPr/>
          <w:p>
            <w:pPr>
              <w:pStyle w:val="Compact"/>
              <w:jc w:val="left"/>
            </w:pPr>
            <w:r>
              <w:t xml:space="preserve">Suppléance</w:t>
            </w:r>
          </w:p>
        </w:tc>
        <w:tc>
          <w:tcPr/>
          <w:p>
            <w:pPr>
              <w:pStyle w:val="Compact"/>
              <w:jc w:val="left"/>
            </w:pPr>
            <w:r>
              <w:t xml:space="preserve">5 ans</w:t>
            </w:r>
          </w:p>
        </w:tc>
        <w:tc>
          <w:tcPr/>
          <w:p>
            <w:pPr>
              <w:pStyle w:val="Compact"/>
              <w:jc w:val="left"/>
            </w:pPr>
            <w:r>
              <w:t xml:space="preserve">Suppression</w:t>
            </w:r>
          </w:p>
        </w:tc>
        <w:tc>
          <w:tcPr/>
          <w:p>
            <w:pPr>
              <w:pStyle w:val="Compact"/>
              <w:jc w:val="left"/>
            </w:pPr>
            <w:r>
              <w:t xml:space="preserve">Traçabilité des décisions prises par intérim</w:t>
            </w:r>
          </w:p>
        </w:tc>
      </w:tr>
      <w:tr>
        <w:tc>
          <w:tcPr/>
          <w:p>
            <w:pPr>
              <w:pStyle w:val="Compact"/>
              <w:jc w:val="left"/>
            </w:pPr>
            <w:r>
              <w:t xml:space="preserve">Réglage et mouvement de compte</w:t>
            </w:r>
          </w:p>
        </w:tc>
        <w:tc>
          <w:tcPr/>
          <w:p>
            <w:pPr>
              <w:pStyle w:val="Compact"/>
              <w:jc w:val="left"/>
            </w:pPr>
            <w:r>
              <w:t xml:space="preserve">5 ans après la dernière modification</w:t>
            </w:r>
          </w:p>
        </w:tc>
        <w:tc>
          <w:tcPr/>
          <w:p>
            <w:pPr>
              <w:pStyle w:val="Compact"/>
              <w:jc w:val="left"/>
            </w:pPr>
            <w:r>
              <w:t xml:space="preserve">Suppression</w:t>
            </w:r>
          </w:p>
        </w:tc>
        <w:tc>
          <w:tcPr/>
          <w:p>
            <w:pPr>
              <w:pStyle w:val="Compact"/>
              <w:jc w:val="left"/>
            </w:pPr>
            <w:r>
              <w:t xml:space="preserve">Journal technique</w:t>
            </w:r>
          </w:p>
        </w:tc>
      </w:tr>
      <w:tr>
        <w:tc>
          <w:tcPr/>
          <w:p>
            <w:pPr>
              <w:pStyle w:val="Compact"/>
              <w:jc w:val="left"/>
            </w:pPr>
            <w:r>
              <w:t xml:space="preserve">Version de modèle et base de référence</w:t>
            </w:r>
          </w:p>
        </w:tc>
        <w:tc>
          <w:tcPr/>
          <w:p>
            <w:pPr>
              <w:pStyle w:val="Compact"/>
              <w:jc w:val="left"/>
            </w:pPr>
            <w:r>
              <w:t xml:space="preserve">Sans limite tant que le modèle est au référentiel</w:t>
            </w:r>
          </w:p>
        </w:tc>
        <w:tc>
          <w:tcPr/>
          <w:p>
            <w:pPr>
              <w:pStyle w:val="Compact"/>
              <w:jc w:val="left"/>
            </w:pPr>
            <w:r>
              <w:t xml:space="preserve">Archivage avec le modèle</w:t>
            </w:r>
          </w:p>
        </w:tc>
        <w:tc>
          <w:tcPr/>
          <w:p>
            <w:pPr>
              <w:pStyle w:val="Compact"/>
              <w:jc w:val="left"/>
            </w:pPr>
            <w:r>
              <w:t xml:space="preserve">Reproductibilité</w:t>
            </w:r>
          </w:p>
        </w:tc>
      </w:tr>
    </w:tbl>
    <w:p>
      <w:pPr>
        <w:pStyle w:val="BodyText"/>
      </w:pPr>
      <w:r>
        <w:t xml:space="preserve">Ces durées restent soumises à confirmation par les Archives nationales (décision D-23).</w:t>
      </w:r>
    </w:p>
    <w:bookmarkEnd w:id="364"/>
    <w:bookmarkEnd w:id="365"/>
    <w:bookmarkStart w:id="366" w:name="Xa51c70984eaf140a2623c6b9840489029bfc790"/>
    <w:p>
      <w:pPr>
        <w:pStyle w:val="Heading2"/>
      </w:pPr>
      <w:r>
        <w:t xml:space="preserve">Annexe 5 — Valeurs par défaut et hypothèses du domaine B</w:t>
      </w:r>
    </w:p>
    <w:p>
      <w:pPr>
        <w:pStyle w:val="FirstParagraph"/>
      </w:pPr>
      <w:r>
        <w:t xml:space="preserve">Aucune valeur de cette annexe ne repose sur une mesure : ce sont des</w:t>
      </w:r>
      <w:r>
        <w:t xml:space="preserve"> </w:t>
      </w:r>
      <w:r>
        <w:t xml:space="preserve">points de départ, choisis pour que le développement puisse commencer</w:t>
      </w:r>
      <w:r>
        <w:t xml:space="preserve"> </w:t>
      </w:r>
      <w:r>
        <w:t xml:space="preserve">sans attendre. Chacune est paramétrable et doit être confirmée ou</w:t>
      </w:r>
      <w:r>
        <w:t xml:space="preserve"> </w:t>
      </w:r>
      <w:r>
        <w:t xml:space="preserve">corrigée par la direction au plus tard à la fin de l’étape 3, sur la</w:t>
      </w:r>
      <w:r>
        <w:t xml:space="preserve"> </w:t>
      </w:r>
      <w:r>
        <w:t xml:space="preserve">base des mesures réelles. Le développeur les implémente telles quelles ;</w:t>
      </w:r>
      <w:r>
        <w:t xml:space="preserve"> </w:t>
      </w:r>
      <w:r>
        <w:t xml:space="preserve">il ne les invente pas et ne les code jamais en dur.</w:t>
      </w:r>
    </w:p>
    <w:p>
      <w:pPr>
        <w:pStyle w:val="BodyText"/>
      </w:pPr>
      <w:r>
        <w:rPr>
          <w:bCs/>
          <w:b/>
        </w:rPr>
        <w:t xml:space="preserve">Contrôles de cohérence (MOD-EF-34, MOD-EF-35)</w:t>
      </w:r>
    </w:p>
    <w:tbl>
      <w:tblPr>
        <w:tblStyle w:val="Table"/>
        <w:tblW w:type="dxa" w:w="9354"/>
        <w:tblLayout w:type="fixed"/>
        <w:tblLook w:firstRow="1" w:lastRow="0" w:firstColumn="0" w:lastColumn="0" w:noHBand="0" w:noVBand="0" w:val="0020"/>
        <w:jc w:val="start"/>
      </w:tblPr>
      <w:tblGrid>
        <w:gridCol w:w="3539"/>
        <w:gridCol w:w="3024"/>
        <w:gridCol w:w="2791"/>
      </w:tblGrid>
      <w:tr>
        <w:trPr>
          <w:tblHeader w:val="true"/>
        </w:trPr>
        <w:tc>
          <w:tcPr/>
          <w:p>
            <w:pPr>
              <w:pStyle w:val="Compact"/>
              <w:jc w:val="left"/>
            </w:pPr>
            <w:r>
              <w:t xml:space="preserve">Contrôle</w:t>
            </w:r>
          </w:p>
        </w:tc>
        <w:tc>
          <w:tcPr/>
          <w:p>
            <w:pPr>
              <w:pStyle w:val="Compact"/>
              <w:jc w:val="left"/>
            </w:pPr>
            <w:r>
              <w:t xml:space="preserve">Seuil par défaut</w:t>
            </w:r>
          </w:p>
        </w:tc>
        <w:tc>
          <w:tcPr/>
          <w:p>
            <w:pPr>
              <w:pStyle w:val="Compact"/>
              <w:jc w:val="left"/>
            </w:pPr>
            <w:r>
              <w:t xml:space="preserve">Caractère</w:t>
            </w:r>
          </w:p>
        </w:tc>
      </w:tr>
      <w:tr>
        <w:tc>
          <w:tcPr/>
          <w:p>
            <w:pPr>
              <w:pStyle w:val="Compact"/>
              <w:jc w:val="left"/>
            </w:pPr>
            <w:r>
              <w:t xml:space="preserve">Homogénéité : écart de proportionnalité des prix nominaux</w:t>
            </w:r>
          </w:p>
        </w:tc>
        <w:tc>
          <w:tcPr/>
          <w:p>
            <w:pPr>
              <w:pStyle w:val="Compact"/>
              <w:jc w:val="left"/>
            </w:pPr>
            <w:r>
              <w:t xml:space="preserve">0,1 %</w:t>
            </w:r>
          </w:p>
        </w:tc>
        <w:tc>
          <w:tcPr/>
          <w:p>
            <w:pPr>
              <w:pStyle w:val="Compact"/>
              <w:jc w:val="left"/>
            </w:pPr>
            <w:r>
              <w:t xml:space="preserve">Bloquant</w:t>
            </w:r>
          </w:p>
        </w:tc>
      </w:tr>
      <w:tr>
        <w:tc>
          <w:tcPr/>
          <w:p>
            <w:pPr>
              <w:pStyle w:val="Compact"/>
              <w:jc w:val="left"/>
            </w:pPr>
            <w:r>
              <w:t xml:space="preserve">Homogénéité : variation des quantités réelles</w:t>
            </w:r>
          </w:p>
        </w:tc>
        <w:tc>
          <w:tcPr/>
          <w:p>
            <w:pPr>
              <w:pStyle w:val="Compact"/>
              <w:jc w:val="left"/>
            </w:pPr>
            <w:r>
              <w:t xml:space="preserve">0,1 %</w:t>
            </w:r>
          </w:p>
        </w:tc>
        <w:tc>
          <w:tcPr/>
          <w:p>
            <w:pPr>
              <w:pStyle w:val="Compact"/>
              <w:jc w:val="left"/>
            </w:pPr>
            <w:r>
              <w:t xml:space="preserve">Bloquant</w:t>
            </w:r>
          </w:p>
        </w:tc>
      </w:tr>
      <w:tr>
        <w:tc>
          <w:tcPr/>
          <w:p>
            <w:pPr>
              <w:pStyle w:val="Compact"/>
              <w:jc w:val="left"/>
            </w:pPr>
            <w:r>
              <w:t xml:space="preserve">Équilibre de la matrice : écart ligne-colonne par compte</w:t>
            </w:r>
          </w:p>
        </w:tc>
        <w:tc>
          <w:tcPr/>
          <w:p>
            <w:pPr>
              <w:pStyle w:val="Compact"/>
              <w:jc w:val="left"/>
            </w:pPr>
            <w:r>
              <w:t xml:space="preserve">0,01 % du total du compte</w:t>
            </w:r>
          </w:p>
        </w:tc>
        <w:tc>
          <w:tcPr/>
          <w:p>
            <w:pPr>
              <w:pStyle w:val="Compact"/>
              <w:jc w:val="left"/>
            </w:pPr>
            <w:r>
              <w:t xml:space="preserve">Bloquant</w:t>
            </w:r>
          </w:p>
        </w:tc>
      </w:tr>
      <w:tr>
        <w:tc>
          <w:tcPr/>
          <w:p>
            <w:pPr>
              <w:pStyle w:val="Compact"/>
              <w:jc w:val="left"/>
            </w:pPr>
            <w:r>
              <w:t xml:space="preserve">Loi de Walras : résidu du marché redondant</w:t>
            </w:r>
          </w:p>
        </w:tc>
        <w:tc>
          <w:tcPr/>
          <w:p>
            <w:pPr>
              <w:pStyle w:val="Compact"/>
              <w:jc w:val="left"/>
            </w:pPr>
            <w:r>
              <w:t xml:space="preserve">0,1 % du PIB de référence</w:t>
            </w:r>
          </w:p>
        </w:tc>
        <w:tc>
          <w:tcPr/>
          <w:p>
            <w:pPr>
              <w:pStyle w:val="Compact"/>
              <w:jc w:val="left"/>
            </w:pPr>
            <w:r>
              <w:t xml:space="preserve">Bloquant</w:t>
            </w:r>
          </w:p>
        </w:tc>
      </w:tr>
      <w:tr>
        <w:tc>
          <w:tcPr/>
          <w:p>
            <w:pPr>
              <w:pStyle w:val="Compact"/>
              <w:jc w:val="left"/>
            </w:pPr>
            <w:r>
              <w:t xml:space="preserve">Réplication de l’année de base</w:t>
            </w:r>
          </w:p>
        </w:tc>
        <w:tc>
          <w:tcPr/>
          <w:p>
            <w:pPr>
              <w:pStyle w:val="Compact"/>
              <w:jc w:val="left"/>
            </w:pPr>
            <w:r>
              <w:t xml:space="preserve">0,5 % par agrégat du socle</w:t>
            </w:r>
          </w:p>
        </w:tc>
        <w:tc>
          <w:tcPr/>
          <w:p>
            <w:pPr>
              <w:pStyle w:val="Compact"/>
              <w:jc w:val="left"/>
            </w:pPr>
            <w:r>
              <w:t xml:space="preserve">Bloquant</w:t>
            </w:r>
          </w:p>
        </w:tc>
      </w:tr>
      <w:tr>
        <w:tc>
          <w:tcPr/>
          <w:p>
            <w:pPr>
              <w:pStyle w:val="Compact"/>
              <w:jc w:val="left"/>
            </w:pPr>
            <w:r>
              <w:t xml:space="preserve">Comptage équations et variables</w:t>
            </w:r>
          </w:p>
        </w:tc>
        <w:tc>
          <w:tcPr/>
          <w:p>
            <w:pPr>
              <w:pStyle w:val="Compact"/>
              <w:jc w:val="left"/>
            </w:pPr>
            <w:r>
              <w:t xml:space="preserve">Égalité stricte</w:t>
            </w:r>
          </w:p>
        </w:tc>
        <w:tc>
          <w:tcPr/>
          <w:p>
            <w:pPr>
              <w:pStyle w:val="Compact"/>
              <w:jc w:val="left"/>
            </w:pPr>
            <w:r>
              <w:t xml:space="preserve">Bloquant</w:t>
            </w:r>
          </w:p>
        </w:tc>
      </w:tr>
      <w:tr>
        <w:tc>
          <w:tcPr/>
          <w:p>
            <w:pPr>
              <w:pStyle w:val="Compact"/>
              <w:jc w:val="left"/>
            </w:pPr>
            <w:r>
              <w:t xml:space="preserve">Bornes de plausibilité : croissance du PIB réel</w:t>
            </w:r>
          </w:p>
        </w:tc>
        <w:tc>
          <w:tcPr/>
          <w:p>
            <w:pPr>
              <w:pStyle w:val="Compact"/>
              <w:jc w:val="left"/>
            </w:pPr>
            <w:r>
              <w:t xml:space="preserve">−15 % à +15 % par période</w:t>
            </w:r>
          </w:p>
        </w:tc>
        <w:tc>
          <w:tcPr/>
          <w:p>
            <w:pPr>
              <w:pStyle w:val="Compact"/>
              <w:jc w:val="left"/>
            </w:pPr>
            <w:r>
              <w:t xml:space="preserve">Alerte</w:t>
            </w:r>
          </w:p>
        </w:tc>
      </w:tr>
    </w:tbl>
    <w:p>
      <w:pPr>
        <w:pStyle w:val="BodyText"/>
      </w:pPr>
      <w:r>
        <w:rPr>
          <w:bCs/>
          <w:b/>
        </w:rPr>
        <w:t xml:space="preserve">Tolérances de comparaison</w:t>
      </w:r>
    </w:p>
    <w:tbl>
      <w:tblPr>
        <w:tblStyle w:val="Table"/>
        <w:tblW w:type="dxa" w:w="9354"/>
        <w:tblLayout w:type="fixed"/>
        <w:tblLook w:firstRow="1" w:lastRow="0" w:firstColumn="0" w:lastColumn="0" w:noHBand="0" w:noVBand="0" w:val="0020"/>
        <w:jc w:val="start"/>
      </w:tblPr>
      <w:tblGrid>
        <w:gridCol w:w="4684"/>
        <w:gridCol w:w="4670"/>
      </w:tblGrid>
      <w:tr>
        <w:trPr>
          <w:tblHeader w:val="true"/>
        </w:trPr>
        <w:tc>
          <w:tcPr/>
          <w:p>
            <w:pPr>
              <w:pStyle w:val="Compact"/>
              <w:jc w:val="left"/>
            </w:pPr>
            <w:r>
              <w:t xml:space="preserve">Usage</w:t>
            </w:r>
          </w:p>
        </w:tc>
        <w:tc>
          <w:tcPr/>
          <w:p>
            <w:pPr>
              <w:pStyle w:val="Compact"/>
              <w:jc w:val="left"/>
            </w:pPr>
            <w:r>
              <w:t xml:space="preserve">Valeur par défaut</w:t>
            </w:r>
          </w:p>
        </w:tc>
      </w:tr>
      <w:tr>
        <w:tc>
          <w:tcPr/>
          <w:p>
            <w:pPr>
              <w:pStyle w:val="Compact"/>
              <w:jc w:val="left"/>
            </w:pPr>
            <w:r>
              <w:t xml:space="preserve">Tolérance de rejeu (MOD-EF-70, CR-08)</w:t>
            </w:r>
          </w:p>
        </w:tc>
        <w:tc>
          <w:tcPr/>
          <w:p>
            <w:pPr>
              <w:pStyle w:val="Compact"/>
              <w:jc w:val="left"/>
            </w:pPr>
            <w:r>
              <w:t xml:space="preserve">Écart relatif de 10⁻⁶ sur chaque indicateur du socle</w:t>
            </w:r>
          </w:p>
        </w:tc>
      </w:tr>
      <w:tr>
        <w:tc>
          <w:tcPr/>
          <w:p>
            <w:pPr>
              <w:pStyle w:val="Compact"/>
              <w:jc w:val="left"/>
            </w:pPr>
            <w:r>
              <w:t xml:space="preserve">Tolérance de non-régression modèle (section 19.1, CR-12)</w:t>
            </w:r>
          </w:p>
        </w:tc>
        <w:tc>
          <w:tcPr/>
          <w:p>
            <w:pPr>
              <w:pStyle w:val="Compact"/>
              <w:jc w:val="left"/>
            </w:pPr>
            <w:r>
              <w:t xml:space="preserve">Écart relatif de 10⁻⁴ par rapport au jeu témoin</w:t>
            </w:r>
          </w:p>
        </w:tc>
      </w:tr>
      <w:tr>
        <w:tc>
          <w:tcPr/>
          <w:p>
            <w:pPr>
              <w:pStyle w:val="Compact"/>
              <w:jc w:val="left"/>
            </w:pPr>
            <w:r>
              <w:t xml:space="preserve">Tolérance de non-régression d’un classeur porté en Python (10.3)</w:t>
            </w:r>
          </w:p>
        </w:tc>
        <w:tc>
          <w:tcPr/>
          <w:p>
            <w:pPr>
              <w:pStyle w:val="Compact"/>
              <w:jc w:val="left"/>
            </w:pPr>
            <w:r>
              <w:t xml:space="preserve">Écart relatif de 10⁻⁴ sur un exercice témoin</w:t>
            </w:r>
          </w:p>
        </w:tc>
      </w:tr>
    </w:tbl>
    <w:p>
      <w:pPr>
        <w:pStyle w:val="BodyText"/>
      </w:pPr>
      <w:r>
        <w:rPr>
          <w:bCs/>
          <w:b/>
        </w:rPr>
        <w:t xml:space="preserve">Exécution et quotas</w:t>
      </w:r>
    </w:p>
    <w:tbl>
      <w:tblPr>
        <w:tblStyle w:val="Table"/>
        <w:tblW w:type="dxa" w:w="9354"/>
        <w:tblLayout w:type="fixed"/>
        <w:tblLook w:firstRow="1" w:lastRow="0" w:firstColumn="0" w:lastColumn="0" w:noHBand="0" w:noVBand="0" w:val="0020"/>
        <w:jc w:val="start"/>
      </w:tblPr>
      <w:tblGrid>
        <w:gridCol w:w="4824"/>
        <w:gridCol w:w="4530"/>
      </w:tblGrid>
      <w:tr>
        <w:trPr>
          <w:tblHeader w:val="true"/>
        </w:trPr>
        <w:tc>
          <w:tcPr/>
          <w:p>
            <w:pPr>
              <w:pStyle w:val="Compact"/>
              <w:jc w:val="left"/>
            </w:pPr>
            <w:r>
              <w:t xml:space="preserve">Paramètre</w:t>
            </w:r>
          </w:p>
        </w:tc>
        <w:tc>
          <w:tcPr/>
          <w:p>
            <w:pPr>
              <w:pStyle w:val="Compact"/>
              <w:jc w:val="left"/>
            </w:pPr>
            <w:r>
              <w:t xml:space="preserve">Valeur par défaut</w:t>
            </w:r>
          </w:p>
        </w:tc>
      </w:tr>
      <w:tr>
        <w:tc>
          <w:tcPr/>
          <w:p>
            <w:pPr>
              <w:pStyle w:val="Compact"/>
              <w:jc w:val="left"/>
            </w:pPr>
            <w:r>
              <w:t xml:space="preserve">Durée maximale d’une exécution</w:t>
            </w:r>
          </w:p>
        </w:tc>
        <w:tc>
          <w:tcPr/>
          <w:p>
            <w:pPr>
              <w:pStyle w:val="Compact"/>
              <w:jc w:val="left"/>
            </w:pPr>
            <w:r>
              <w:t xml:space="preserve">30 minutes, paramétrable par modèle</w:t>
            </w:r>
          </w:p>
        </w:tc>
      </w:tr>
      <w:tr>
        <w:tc>
          <w:tcPr/>
          <w:p>
            <w:pPr>
              <w:pStyle w:val="Compact"/>
              <w:jc w:val="left"/>
            </w:pPr>
            <w:r>
              <w:t xml:space="preserve">Plafond mémoire par exécution</w:t>
            </w:r>
          </w:p>
        </w:tc>
        <w:tc>
          <w:tcPr/>
          <w:p>
            <w:pPr>
              <w:pStyle w:val="Compact"/>
              <w:jc w:val="left"/>
            </w:pPr>
            <w:r>
              <w:t xml:space="preserve">8 Go</w:t>
            </w:r>
          </w:p>
        </w:tc>
      </w:tr>
      <w:tr>
        <w:tc>
          <w:tcPr/>
          <w:p>
            <w:pPr>
              <w:pStyle w:val="Compact"/>
              <w:jc w:val="left"/>
            </w:pPr>
            <w:r>
              <w:t xml:space="preserve">Plafond d’espace disque par exécution</w:t>
            </w:r>
          </w:p>
        </w:tc>
        <w:tc>
          <w:tcPr/>
          <w:p>
            <w:pPr>
              <w:pStyle w:val="Compact"/>
              <w:jc w:val="left"/>
            </w:pPr>
            <w:r>
              <w:t xml:space="preserve">5 Go</w:t>
            </w:r>
          </w:p>
        </w:tc>
      </w:tr>
      <w:tr>
        <w:tc>
          <w:tcPr/>
          <w:p>
            <w:pPr>
              <w:pStyle w:val="Compact"/>
              <w:jc w:val="left"/>
            </w:pPr>
            <w:r>
              <w:t xml:space="preserve">Exécutions concurrentes</w:t>
            </w:r>
          </w:p>
        </w:tc>
        <w:tc>
          <w:tcPr/>
          <w:p>
            <w:pPr>
              <w:pStyle w:val="Compact"/>
              <w:jc w:val="left"/>
            </w:pPr>
            <w:r>
              <w:t xml:space="preserve">5, dans la limite de la licence</w:t>
            </w:r>
          </w:p>
        </w:tc>
      </w:tr>
      <w:tr>
        <w:tc>
          <w:tcPr/>
          <w:p>
            <w:pPr>
              <w:pStyle w:val="Compact"/>
              <w:jc w:val="left"/>
            </w:pPr>
            <w:r>
              <w:t xml:space="preserve">Expiration d’une demande d’activation</w:t>
            </w:r>
          </w:p>
        </w:tc>
        <w:tc>
          <w:tcPr/>
          <w:p>
            <w:pPr>
              <w:pStyle w:val="Compact"/>
              <w:jc w:val="left"/>
            </w:pPr>
            <w:r>
              <w:t xml:space="preserve">15 jours</w:t>
            </w:r>
          </w:p>
        </w:tc>
      </w:tr>
      <w:tr>
        <w:tc>
          <w:tcPr/>
          <w:p>
            <w:pPr>
              <w:pStyle w:val="Compact"/>
              <w:jc w:val="left"/>
            </w:pPr>
            <w:r>
              <w:t xml:space="preserve">Quota d’appels d’IA</w:t>
            </w:r>
          </w:p>
        </w:tc>
        <w:tc>
          <w:tcPr/>
          <w:p>
            <w:pPr>
              <w:pStyle w:val="Compact"/>
              <w:jc w:val="left"/>
            </w:pPr>
            <w:r>
              <w:t xml:space="preserve">100 par utilisateur et par jour</w:t>
            </w:r>
          </w:p>
        </w:tc>
      </w:tr>
      <w:tr>
        <w:tc>
          <w:tcPr/>
          <w:p>
            <w:pPr>
              <w:pStyle w:val="Compact"/>
              <w:jc w:val="left"/>
            </w:pPr>
            <w:r>
              <w:t xml:space="preserve">Taux minimal de traduction correcte du jeu de questions (20.5)</w:t>
            </w:r>
          </w:p>
        </w:tc>
        <w:tc>
          <w:tcPr/>
          <w:p>
            <w:pPr>
              <w:pStyle w:val="Compact"/>
              <w:jc w:val="left"/>
            </w:pPr>
            <w:r>
              <w:t xml:space="preserve">80 %</w:t>
            </w:r>
          </w:p>
        </w:tc>
      </w:tr>
      <w:tr>
        <w:tc>
          <w:tcPr/>
          <w:p>
            <w:pPr>
              <w:pStyle w:val="Compact"/>
              <w:jc w:val="left"/>
            </w:pPr>
            <w:r>
              <w:t xml:space="preserve">Limitation de débit de l’API (ENF-38)</w:t>
            </w:r>
          </w:p>
        </w:tc>
        <w:tc>
          <w:tcPr/>
          <w:p>
            <w:pPr>
              <w:pStyle w:val="Compact"/>
              <w:jc w:val="left"/>
            </w:pPr>
            <w:r>
              <w:t xml:space="preserve">120 appels par minute et par utilisateur, 10 exécutions par heure</w:t>
            </w:r>
          </w:p>
        </w:tc>
      </w:tr>
      <w:tr>
        <w:tc>
          <w:tcPr/>
          <w:p>
            <w:pPr>
              <w:pStyle w:val="Compact"/>
              <w:jc w:val="left"/>
            </w:pPr>
            <w:r>
              <w:t xml:space="preserve">Taille maximale d’un fichier déposé (ENF-38)</w:t>
            </w:r>
          </w:p>
        </w:tc>
        <w:tc>
          <w:tcPr/>
          <w:p>
            <w:pPr>
              <w:pStyle w:val="Compact"/>
              <w:jc w:val="left"/>
            </w:pPr>
            <w:r>
              <w:t xml:space="preserve">200 Mo par fichier de modèle, 50 Mo par base de référence</w:t>
            </w:r>
          </w:p>
        </w:tc>
      </w:tr>
      <w:tr>
        <w:tc>
          <w:tcPr/>
          <w:p>
            <w:pPr>
              <w:pStyle w:val="Compact"/>
              <w:jc w:val="left"/>
            </w:pPr>
            <w:r>
              <w:t xml:space="preserve">Expiration de session (ENF-46)</w:t>
            </w:r>
          </w:p>
        </w:tc>
        <w:tc>
          <w:tcPr/>
          <w:p>
            <w:pPr>
              <w:pStyle w:val="Compact"/>
              <w:jc w:val="left"/>
            </w:pPr>
            <w:r>
              <w:t xml:space="preserve">30 minutes d’inactivité, 12 heures au maximum</w:t>
            </w:r>
          </w:p>
        </w:tc>
      </w:tr>
      <w:tr>
        <w:tc>
          <w:tcPr/>
          <w:p>
            <w:pPr>
              <w:pStyle w:val="Compact"/>
              <w:jc w:val="left"/>
            </w:pPr>
            <w:r>
              <w:t xml:space="preserve">Conservation des journaux d’accès et de sécurité (ENF-47)</w:t>
            </w:r>
          </w:p>
        </w:tc>
        <w:tc>
          <w:tcPr/>
          <w:p>
            <w:pPr>
              <w:pStyle w:val="Compact"/>
              <w:jc w:val="left"/>
            </w:pPr>
            <w:r>
              <w:t xml:space="preserve">12 mois</w:t>
            </w:r>
          </w:p>
        </w:tc>
      </w:tr>
    </w:tbl>
    <w:p>
      <w:pPr>
        <w:pStyle w:val="BodyText"/>
      </w:pPr>
      <w:r>
        <w:rPr>
          <w:bCs/>
          <w:b/>
        </w:rPr>
        <w:t xml:space="preserve">Hypothèses de dimensionnement (ENF-03, ENF-05, ENF-41)</w:t>
      </w:r>
    </w:p>
    <w:tbl>
      <w:tblPr>
        <w:tblStyle w:val="Table"/>
        <w:tblW w:type="dxa" w:w="9354"/>
        <w:tblLayout w:type="fixed"/>
        <w:tblLook w:firstRow="1" w:lastRow="0" w:firstColumn="0" w:lastColumn="0" w:noHBand="0" w:noVBand="0" w:val="0020"/>
        <w:jc w:val="start"/>
      </w:tblPr>
      <w:tblGrid>
        <w:gridCol w:w="3298"/>
        <w:gridCol w:w="2836"/>
        <w:gridCol w:w="3220"/>
      </w:tblGrid>
      <w:tr>
        <w:trPr>
          <w:tblHeader w:val="true"/>
        </w:trPr>
        <w:tc>
          <w:tcPr/>
          <w:p>
            <w:pPr>
              <w:pStyle w:val="Compact"/>
              <w:jc w:val="left"/>
            </w:pPr>
            <w:r>
              <w:t xml:space="preserve">Hypothèse</w:t>
            </w:r>
          </w:p>
        </w:tc>
        <w:tc>
          <w:tcPr/>
          <w:p>
            <w:pPr>
              <w:pStyle w:val="Compact"/>
              <w:jc w:val="left"/>
            </w:pPr>
            <w:r>
              <w:t xml:space="preserve">Valeur retenue</w:t>
            </w:r>
          </w:p>
        </w:tc>
        <w:tc>
          <w:tcPr/>
          <w:p>
            <w:pPr>
              <w:pStyle w:val="Compact"/>
              <w:jc w:val="left"/>
            </w:pPr>
            <w:r>
              <w:t xml:space="preserve">À confirmer par</w:t>
            </w:r>
          </w:p>
        </w:tc>
      </w:tr>
      <w:tr>
        <w:tc>
          <w:tcPr/>
          <w:p>
            <w:pPr>
              <w:pStyle w:val="Compact"/>
              <w:jc w:val="left"/>
            </w:pPr>
            <w:r>
              <w:t xml:space="preserve">Utilisateurs simultanés</w:t>
            </w:r>
          </w:p>
        </w:tc>
        <w:tc>
          <w:tcPr/>
          <w:p>
            <w:pPr>
              <w:pStyle w:val="Compact"/>
              <w:jc w:val="left"/>
            </w:pPr>
            <w:r>
              <w:t xml:space="preserve">20</w:t>
            </w:r>
          </w:p>
        </w:tc>
        <w:tc>
          <w:tcPr/>
          <w:p>
            <w:pPr>
              <w:pStyle w:val="Compact"/>
              <w:jc w:val="left"/>
            </w:pPr>
            <w:r>
              <w:t xml:space="preserve">Effectif réel de la division et des destinataires</w:t>
            </w:r>
          </w:p>
        </w:tc>
      </w:tr>
      <w:tr>
        <w:tc>
          <w:tcPr/>
          <w:p>
            <w:pPr>
              <w:pStyle w:val="Compact"/>
              <w:jc w:val="left"/>
            </w:pPr>
            <w:r>
              <w:t xml:space="preserve">Simulations par an</w:t>
            </w:r>
          </w:p>
        </w:tc>
        <w:tc>
          <w:tcPr/>
          <w:p>
            <w:pPr>
              <w:pStyle w:val="Compact"/>
              <w:jc w:val="left"/>
            </w:pPr>
            <w:r>
              <w:t xml:space="preserve">500</w:t>
            </w:r>
          </w:p>
        </w:tc>
        <w:tc>
          <w:tcPr/>
          <w:p>
            <w:pPr>
              <w:pStyle w:val="Compact"/>
              <w:jc w:val="left"/>
            </w:pPr>
            <w:r>
              <w:t xml:space="preserve">Usage observé à l’étape 3</w:t>
            </w:r>
          </w:p>
        </w:tc>
      </w:tr>
      <w:tr>
        <w:tc>
          <w:tcPr/>
          <w:p>
            <w:pPr>
              <w:pStyle w:val="Compact"/>
              <w:jc w:val="left"/>
            </w:pPr>
            <w:r>
              <w:t xml:space="preserve">Valeurs produites par simulation d’équilibre général</w:t>
            </w:r>
          </w:p>
        </w:tc>
        <w:tc>
          <w:tcPr/>
          <w:p>
            <w:pPr>
              <w:pStyle w:val="Compact"/>
              <w:jc w:val="left"/>
            </w:pPr>
            <w:r>
              <w:t xml:space="preserve">de l’ordre de 10⁵ à 10⁶ lignes</w:t>
            </w:r>
          </w:p>
        </w:tc>
        <w:tc>
          <w:tcPr/>
          <w:p>
            <w:pPr>
              <w:pStyle w:val="Compact"/>
              <w:jc w:val="left"/>
            </w:pPr>
            <w:r>
              <w:t xml:space="preserve">Essai de charge SOC-PRF-10</w:t>
            </w:r>
          </w:p>
        </w:tc>
      </w:tr>
      <w:tr>
        <w:tc>
          <w:tcPr/>
          <w:p>
            <w:pPr>
              <w:pStyle w:val="Compact"/>
              <w:jc w:val="left"/>
            </w:pPr>
            <w:r>
              <w:t xml:space="preserve">Durée de conservation des simulations</w:t>
            </w:r>
          </w:p>
        </w:tc>
        <w:tc>
          <w:tcPr/>
          <w:p>
            <w:pPr>
              <w:pStyle w:val="Compact"/>
              <w:jc w:val="left"/>
            </w:pPr>
            <w:r>
              <w:t xml:space="preserve">5 ans sans purge</w:t>
            </w:r>
          </w:p>
        </w:tc>
        <w:tc>
          <w:tcPr/>
          <w:p>
            <w:pPr>
              <w:pStyle w:val="Compact"/>
              <w:jc w:val="left"/>
            </w:pPr>
            <w:r>
              <w:t xml:space="preserve">Politique d’archivage du ministère</w:t>
            </w:r>
          </w:p>
        </w:tc>
      </w:tr>
      <w:tr>
        <w:tc>
          <w:tcPr/>
          <w:p>
            <w:pPr>
              <w:pStyle w:val="Compact"/>
              <w:jc w:val="left"/>
            </w:pPr>
            <w:r>
              <w:t xml:space="preserve">Jeu de questions types pour la couche IA</w:t>
            </w:r>
          </w:p>
        </w:tc>
        <w:tc>
          <w:tcPr/>
          <w:p>
            <w:pPr>
              <w:pStyle w:val="Compact"/>
              <w:jc w:val="left"/>
            </w:pPr>
            <w:r>
              <w:t xml:space="preserve">30 questions</w:t>
            </w:r>
          </w:p>
        </w:tc>
        <w:tc>
          <w:tcPr/>
          <w:p>
            <w:pPr>
              <w:pStyle w:val="Compact"/>
              <w:jc w:val="left"/>
            </w:pPr>
            <w:r>
              <w:t xml:space="preserve">Économistes de la division</w:t>
            </w:r>
          </w:p>
        </w:tc>
      </w:tr>
      <w:tr>
        <w:tc>
          <w:tcPr/>
          <w:p>
            <w:pPr>
              <w:pStyle w:val="Compact"/>
              <w:jc w:val="left"/>
            </w:pPr>
            <w:r>
              <w:t xml:space="preserve">Durée d’une séance de prise en main (ENF-26)</w:t>
            </w:r>
          </w:p>
        </w:tc>
        <w:tc>
          <w:tcPr/>
          <w:p>
            <w:pPr>
              <w:pStyle w:val="Compact"/>
              <w:jc w:val="left"/>
            </w:pPr>
            <w:r>
              <w:t xml:space="preserve">1 heure</w:t>
            </w:r>
          </w:p>
        </w:tc>
        <w:tc>
          <w:tcPr/>
          <w:p>
            <w:pPr>
              <w:pStyle w:val="Compact"/>
              <w:jc w:val="left"/>
            </w:pPr>
            <w:r>
              <w:t xml:space="preserve">Premier test utilisateur</w:t>
            </w:r>
          </w:p>
        </w:tc>
      </w:tr>
    </w:tbl>
    <w:p>
      <w:pPr>
        <w:pStyle w:val="BodyText"/>
      </w:pPr>
      <w:r>
        <w:t xml:space="preserve">Toute valeur confirmée ou corrigée est reportée au registre des</w:t>
      </w:r>
    </w:p>
    <w:bookmarkEnd w:id="366"/>
    <w:bookmarkEnd w:id="367"/>
    <w:sectPr>
      <w:footerReference r:id="rId9" w:type="default"/>
      <w:pgSz w:h="16838" w:w="11906"/>
      <w:pgMar w:bottom="1418" w:footer="709" w:gutter="0" w:header="709" w:left="1418" w:right="1134"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DNPEC.xml><?xml version="1.0" encoding="utf-8"?>
<w:ftr xmlns:w="http://schemas.openxmlformats.org/wordprocessingml/2006/main">
  <w:p>
    <w:pPr>
      <w:jc w:val="center"/>
    </w:pPr>
    <w:r>
      <w:rPr>
        <w:sz w:val="18"/>
        <w:color w:val="666666"/>
      </w:rPr>
      <w:t xml:space="preserve">NIMBA — Cahier des charges unifié — v2.2 — page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DNPEC.xml" Type="http://schemas.openxmlformats.org/officeDocument/2006/relationships/footer" /><Relationship Type="http://schemas.openxmlformats.org/officeDocument/2006/relationships/image" Id="rId43" Target="media/rId43.png" /><Relationship Type="http://schemas.openxmlformats.org/officeDocument/2006/relationships/image" Id="rId68" Target="media/rId68.png" /><Relationship Type="http://schemas.openxmlformats.org/officeDocument/2006/relationships/image" Id="rId163" Target="media/rId163.png" /><Relationship Type="http://schemas.openxmlformats.org/officeDocument/2006/relationships/image" Id="rId178" Target="media/rId178.png" /><Relationship Type="http://schemas.openxmlformats.org/officeDocument/2006/relationships/image" Id="rId181" Target="media/rId181.png" /><Relationship Type="http://schemas.openxmlformats.org/officeDocument/2006/relationships/image" Id="rId184" Target="media/rId184.png" /><Relationship Type="http://schemas.openxmlformats.org/officeDocument/2006/relationships/image" Id="rId187" Target="media/rId187.png" /><Relationship Type="http://schemas.openxmlformats.org/officeDocument/2006/relationships/image" Id="rId190" Target="media/rId190.png" /><Relationship Type="http://schemas.openxmlformats.org/officeDocument/2006/relationships/image" Id="rId260" Target="media/rId260.png" /><Relationship Type="http://schemas.openxmlformats.org/officeDocument/2006/relationships/image" Id="rId263" Target="media/rId263.png" /><Relationship Type="http://schemas.openxmlformats.org/officeDocument/2006/relationships/image" Id="rId266" Target="media/rId266.png" /><Relationship Type="http://schemas.openxmlformats.org/officeDocument/2006/relationships/image" Id="rId269" Target="media/rId269.png" /><Relationship Type="http://schemas.openxmlformats.org/officeDocument/2006/relationships/image" Id="rId272" Target="media/rId272.png" /><Relationship Type="http://schemas.openxmlformats.org/officeDocument/2006/relationships/image" Id="rId275" Target="media/rId275.png" /><Relationship Type="http://schemas.openxmlformats.org/officeDocument/2006/relationships/image" Id="rId278" Target="media/rId278.png" /><Relationship Type="http://schemas.openxmlformats.org/officeDocument/2006/relationships/image" Id="rId282" Target="media/rId282.png" /><Relationship Type="http://schemas.openxmlformats.org/officeDocument/2006/relationships/image" Id="rId285" Target="media/rId285.png" /><Relationship Type="http://schemas.openxmlformats.org/officeDocument/2006/relationships/image" Id="rId288" Target="media/rId288.png" /><Relationship Type="http://schemas.openxmlformats.org/officeDocument/2006/relationships/image" Id="rId291" Target="media/rId291.png" /><Relationship Type="http://schemas.openxmlformats.org/officeDocument/2006/relationships/image" Id="rId294" Target="media/rId29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unifié</dc:title>
  <dc:creator>Direction Nationale des Prévisions Économiques et de la Conjoncture — Ministère de l’Économie, des Finances et du Budget</dc:creator>
  <dc:language>fr</dc:language>
  <cp:keywords/>
  <dcterms:created xsi:type="dcterms:W3CDTF">2026-09-19T23:41:45Z</dcterms:created>
  <dcterms:modified xsi:type="dcterms:W3CDTF">2026-09-19T23:41:45Z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2.2 — 19 septembre 2026 — version de diffusion à la maîtrise d’œuvre</vt:lpwstr>
  </property>
  <property fmtid="{D5CDD505-2E9C-101B-9397-08002B2CF9AE}" pid="3" name="subtitle">
    <vt:lpwstr>NIMBA — Plateforme intégrée de la DNPEC — gestion interne de la Direction et modélisation macroéconomique</vt:lpwstr>
  </property>
  <property fmtid="{D5CDD505-2E9C-101B-9397-08002B2CF9AE}" pid="4" name="toc-title">
    <vt:lpwstr>Sommaire</vt:lpwstr>
  </property>
</Properties>
</file>