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E64CE" w14:textId="77777777" w:rsidR="00751E59" w:rsidRDefault="00000000">
      <w:pPr>
        <w:spacing w:line="310" w:lineRule="auto"/>
        <w:jc w:val="center"/>
        <w:rPr>
          <w:rFonts w:ascii="Calibri" w:eastAsia="Calibri" w:hAnsi="Calibri" w:cs="Calibri"/>
          <w:b/>
          <w:bCs/>
          <w:sz w:val="32"/>
          <w:szCs w:val="32"/>
        </w:rPr>
      </w:pPr>
      <w:r>
        <w:rPr>
          <w:rFonts w:ascii="Calibri" w:eastAsia="Calibri" w:hAnsi="Calibri" w:cs="Calibri"/>
          <w:b/>
          <w:bCs/>
          <w:sz w:val="32"/>
          <w:szCs w:val="32"/>
        </w:rPr>
        <w:t>Requirement Analysis</w:t>
      </w:r>
    </w:p>
    <w:p w14:paraId="225DEE2E" w14:textId="77777777" w:rsidR="00751E59" w:rsidRDefault="00000000">
      <w:pPr>
        <w:spacing w:line="259" w:lineRule="auto"/>
        <w:jc w:val="center"/>
        <w:rPr>
          <w:rFonts w:ascii="Calibri" w:eastAsia="Calibri" w:hAnsi="Calibri" w:cs="Calibri"/>
          <w:b/>
          <w:bCs/>
          <w:sz w:val="32"/>
          <w:szCs w:val="32"/>
        </w:rPr>
      </w:pPr>
      <w:r>
        <w:rPr>
          <w:rFonts w:ascii="Calibri" w:eastAsia="Calibri" w:hAnsi="Calibri" w:cs="Calibri"/>
          <w:b/>
          <w:bCs/>
          <w:sz w:val="32"/>
          <w:szCs w:val="32"/>
        </w:rPr>
        <w:t>Solution Requirements (Functional &amp; Non-functional)</w:t>
      </w:r>
    </w:p>
    <w:p w14:paraId="08872F29" w14:textId="77777777" w:rsidR="00751E59" w:rsidRDefault="00751E59">
      <w:pPr>
        <w:rPr>
          <w:rFonts w:ascii="Calibri" w:eastAsia="Calibri" w:hAnsi="Calibri" w:cs="Calibri"/>
        </w:rPr>
      </w:pP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80"/>
        <w:gridCol w:w="4680"/>
      </w:tblGrid>
      <w:tr w:rsidR="00751E59" w14:paraId="209FDBC2" w14:textId="77777777">
        <w:trPr>
          <w:trHeight w:val="555"/>
        </w:trPr>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28E035" w14:textId="77777777" w:rsidR="00751E59" w:rsidRDefault="00000000">
            <w:pPr>
              <w:spacing w:line="288" w:lineRule="auto"/>
              <w:rPr>
                <w:rFonts w:ascii="Calibri" w:eastAsia="Calibri" w:hAnsi="Calibri" w:cs="Calibri"/>
                <w:b/>
                <w:bCs/>
                <w:sz w:val="28"/>
                <w:szCs w:val="28"/>
              </w:rPr>
            </w:pPr>
            <w:r>
              <w:rPr>
                <w:rFonts w:ascii="Calibri" w:eastAsia="Calibri" w:hAnsi="Calibri" w:cs="Calibri"/>
                <w:b/>
                <w:bCs/>
                <w:sz w:val="28"/>
                <w:szCs w:val="28"/>
              </w:rPr>
              <w:t>Date</w:t>
            </w:r>
          </w:p>
        </w:tc>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2E2074" w14:textId="6EE4A033" w:rsidR="00751E59" w:rsidRDefault="00000000">
            <w:pPr>
              <w:spacing w:line="288" w:lineRule="auto"/>
              <w:rPr>
                <w:rFonts w:ascii="Calibri" w:eastAsia="Calibri" w:hAnsi="Calibri" w:cs="Calibri"/>
                <w:b/>
                <w:bCs/>
                <w:sz w:val="28"/>
                <w:szCs w:val="28"/>
              </w:rPr>
            </w:pPr>
            <w:r>
              <w:rPr>
                <w:rFonts w:ascii="Calibri" w:eastAsia="Calibri" w:hAnsi="Calibri" w:cs="Calibri"/>
                <w:b/>
                <w:bCs/>
                <w:sz w:val="28"/>
                <w:szCs w:val="28"/>
              </w:rPr>
              <w:t>2</w:t>
            </w:r>
            <w:r w:rsidR="00EE18D8">
              <w:rPr>
                <w:rFonts w:ascii="Calibri" w:eastAsia="Calibri" w:hAnsi="Calibri" w:cs="Calibri"/>
                <w:b/>
                <w:bCs/>
                <w:sz w:val="28"/>
                <w:szCs w:val="28"/>
              </w:rPr>
              <w:t>9</w:t>
            </w:r>
            <w:r>
              <w:rPr>
                <w:rFonts w:ascii="Calibri" w:eastAsia="Calibri" w:hAnsi="Calibri" w:cs="Calibri"/>
                <w:b/>
                <w:bCs/>
                <w:sz w:val="28"/>
                <w:szCs w:val="28"/>
              </w:rPr>
              <w:t>-06-2026</w:t>
            </w:r>
          </w:p>
        </w:tc>
      </w:tr>
      <w:tr w:rsidR="00751E59" w14:paraId="6724AEE4" w14:textId="77777777">
        <w:trPr>
          <w:trHeight w:val="555"/>
        </w:trPr>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BE5E3F" w14:textId="77777777" w:rsidR="00751E59" w:rsidRDefault="00000000">
            <w:pPr>
              <w:spacing w:line="288" w:lineRule="auto"/>
              <w:rPr>
                <w:rFonts w:ascii="Calibri" w:eastAsia="Calibri" w:hAnsi="Calibri" w:cs="Calibri"/>
                <w:b/>
                <w:bCs/>
                <w:sz w:val="28"/>
                <w:szCs w:val="28"/>
              </w:rPr>
            </w:pPr>
            <w:r>
              <w:rPr>
                <w:rFonts w:ascii="Calibri" w:eastAsia="Calibri" w:hAnsi="Calibri" w:cs="Calibri"/>
                <w:b/>
                <w:bCs/>
                <w:sz w:val="28"/>
                <w:szCs w:val="28"/>
              </w:rPr>
              <w:t>Project Name</w:t>
            </w:r>
          </w:p>
        </w:tc>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325647" w14:textId="77777777" w:rsidR="00751E59" w:rsidRDefault="00000000">
            <w:pPr>
              <w:spacing w:line="288" w:lineRule="auto"/>
              <w:rPr>
                <w:rFonts w:ascii="Calibri" w:eastAsia="Calibri" w:hAnsi="Calibri" w:cs="Calibri"/>
                <w:b/>
                <w:bCs/>
                <w:sz w:val="28"/>
                <w:szCs w:val="28"/>
              </w:rPr>
            </w:pPr>
            <w:r>
              <w:rPr>
                <w:rFonts w:ascii="Calibri" w:eastAsia="Calibri" w:hAnsi="Calibri" w:cs="Calibri"/>
                <w:b/>
                <w:bCs/>
                <w:sz w:val="28"/>
                <w:szCs w:val="28"/>
              </w:rPr>
              <w:t>Automated Network Request Management</w:t>
            </w:r>
          </w:p>
        </w:tc>
      </w:tr>
      <w:tr w:rsidR="00751E59" w14:paraId="1A54334C" w14:textId="77777777">
        <w:trPr>
          <w:trHeight w:val="555"/>
        </w:trPr>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565D83" w14:textId="77777777" w:rsidR="00751E59" w:rsidRDefault="00000000">
            <w:pPr>
              <w:spacing w:line="288" w:lineRule="auto"/>
              <w:rPr>
                <w:rFonts w:ascii="Calibri" w:eastAsia="Calibri" w:hAnsi="Calibri" w:cs="Calibri"/>
                <w:b/>
                <w:bCs/>
                <w:sz w:val="28"/>
                <w:szCs w:val="28"/>
              </w:rPr>
            </w:pPr>
            <w:r>
              <w:rPr>
                <w:rFonts w:ascii="Calibri" w:eastAsia="Calibri" w:hAnsi="Calibri" w:cs="Calibri"/>
                <w:b/>
                <w:bCs/>
                <w:sz w:val="28"/>
                <w:szCs w:val="28"/>
              </w:rPr>
              <w:t>Team ID</w:t>
            </w:r>
          </w:p>
        </w:tc>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4E27A8" w14:textId="77777777" w:rsidR="00751E59" w:rsidRDefault="00751E59">
            <w:pPr>
              <w:spacing w:line="288" w:lineRule="auto"/>
              <w:rPr>
                <w:rFonts w:ascii="Calibri" w:eastAsia="Calibri" w:hAnsi="Calibri" w:cs="Calibri"/>
                <w:b/>
                <w:bCs/>
                <w:sz w:val="28"/>
                <w:szCs w:val="28"/>
              </w:rPr>
            </w:pPr>
          </w:p>
        </w:tc>
      </w:tr>
      <w:tr w:rsidR="00751E59" w14:paraId="6E3F60CE" w14:textId="77777777">
        <w:trPr>
          <w:trHeight w:val="555"/>
        </w:trPr>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40A73A" w14:textId="77777777" w:rsidR="00751E59" w:rsidRDefault="00000000">
            <w:pPr>
              <w:spacing w:line="288" w:lineRule="auto"/>
              <w:rPr>
                <w:rFonts w:ascii="Calibri" w:eastAsia="Calibri" w:hAnsi="Calibri" w:cs="Calibri"/>
                <w:b/>
                <w:bCs/>
                <w:sz w:val="28"/>
                <w:szCs w:val="28"/>
              </w:rPr>
            </w:pPr>
            <w:r>
              <w:rPr>
                <w:rFonts w:ascii="Calibri" w:eastAsia="Calibri" w:hAnsi="Calibri" w:cs="Calibri"/>
                <w:b/>
                <w:bCs/>
                <w:sz w:val="28"/>
                <w:szCs w:val="28"/>
              </w:rPr>
              <w:t>Maximum Marks</w:t>
            </w:r>
          </w:p>
        </w:tc>
        <w:tc>
          <w:tcPr>
            <w:tcW w:w="468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5C33E2" w14:textId="77777777" w:rsidR="00751E59" w:rsidRDefault="00751E59">
            <w:pPr>
              <w:rPr>
                <w:rFonts w:ascii="Calibri" w:eastAsia="Calibri" w:hAnsi="Calibri" w:cs="Calibri"/>
              </w:rPr>
            </w:pPr>
          </w:p>
        </w:tc>
      </w:tr>
    </w:tbl>
    <w:p w14:paraId="1071BAC5" w14:textId="77777777" w:rsidR="00751E59" w:rsidRDefault="00751E59">
      <w:pPr>
        <w:pBdr>
          <w:top w:val="none" w:sz="0" w:space="0" w:color="000000"/>
          <w:left w:val="none" w:sz="0" w:space="0" w:color="000000"/>
          <w:bottom w:val="none" w:sz="0" w:space="0" w:color="000000"/>
          <w:right w:val="none" w:sz="0" w:space="0" w:color="000000"/>
          <w:between w:val="none" w:sz="0" w:space="0" w:color="000000"/>
        </w:pBdr>
        <w:rPr>
          <w:color w:val="1F1F1F"/>
        </w:rPr>
      </w:pPr>
    </w:p>
    <w:p w14:paraId="7616DBD3" w14:textId="77777777" w:rsidR="00751E59"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0" w:line="360" w:lineRule="auto"/>
        <w:rPr>
          <w:b/>
          <w:bCs/>
          <w:color w:val="1F1F1F"/>
          <w:sz w:val="26"/>
          <w:szCs w:val="26"/>
        </w:rPr>
      </w:pPr>
      <w:bookmarkStart w:id="0" w:name="_heading=h.qatdqxfgoa8n" w:colFirst="0" w:colLast="0"/>
      <w:bookmarkEnd w:id="0"/>
      <w:r>
        <w:rPr>
          <w:b/>
          <w:bCs/>
          <w:color w:val="1F1F1F"/>
          <w:sz w:val="26"/>
          <w:szCs w:val="26"/>
        </w:rPr>
        <w:t>Functional Requirements</w:t>
      </w:r>
    </w:p>
    <w:p w14:paraId="65FC19B2"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rPr>
          <w:color w:val="1F1F1F"/>
        </w:rPr>
      </w:pPr>
      <w:r>
        <w:rPr>
          <w:color w:val="1F1F1F"/>
        </w:rPr>
        <w:t>These are the specific behaviors, features, and functions your ServiceNow system must perform based on your workflow design.</w:t>
      </w:r>
    </w:p>
    <w:p w14:paraId="1372BF2C" w14:textId="77777777" w:rsidR="00751E59" w:rsidRDefault="00751E59">
      <w:pPr>
        <w:pBdr>
          <w:top w:val="none" w:sz="0" w:space="0" w:color="000000"/>
          <w:left w:val="none" w:sz="0" w:space="0" w:color="000000"/>
          <w:bottom w:val="none" w:sz="0" w:space="0" w:color="000000"/>
          <w:right w:val="none" w:sz="0" w:space="0" w:color="000000"/>
          <w:between w:val="none" w:sz="0" w:space="0" w:color="000000"/>
        </w:pBdr>
        <w:spacing w:line="360" w:lineRule="auto"/>
        <w:rPr>
          <w:color w:val="1F1F1F"/>
        </w:rPr>
      </w:pPr>
    </w:p>
    <w:tbl>
      <w:tblPr>
        <w:tblStyle w:val="a0"/>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3105"/>
        <w:gridCol w:w="5040"/>
      </w:tblGrid>
      <w:tr w:rsidR="00751E59" w14:paraId="39269DA8" w14:textId="77777777">
        <w:trPr>
          <w:trHeight w:val="1095"/>
        </w:trPr>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1CB7FA"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rPr>
                <w:color w:val="1F1F1F"/>
              </w:rPr>
            </w:pPr>
            <w:r>
              <w:rPr>
                <w:b/>
                <w:bCs/>
                <w:color w:val="1F1F1F"/>
              </w:rPr>
              <w:t>FR no.</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CAC61D"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rPr>
                <w:color w:val="1F1F1F"/>
              </w:rPr>
            </w:pPr>
            <w:r>
              <w:rPr>
                <w:b/>
                <w:bCs/>
                <w:color w:val="1F1F1F"/>
              </w:rPr>
              <w:t>Requirement Description</w:t>
            </w:r>
          </w:p>
        </w:tc>
        <w:tc>
          <w:tcPr>
            <w:tcW w:w="5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1F2DA4"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rPr>
                <w:color w:val="1F1F1F"/>
              </w:rPr>
            </w:pPr>
            <w:r>
              <w:rPr>
                <w:b/>
                <w:bCs/>
                <w:color w:val="1F1F1F"/>
              </w:rPr>
              <w:t>Success / Acceptance Criteria</w:t>
            </w:r>
          </w:p>
        </w:tc>
      </w:tr>
      <w:tr w:rsidR="00751E59" w14:paraId="57E7B052" w14:textId="77777777">
        <w:trPr>
          <w:trHeight w:val="1185"/>
        </w:trPr>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7B0EE6"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rPr>
                <w:color w:val="1F1F1F"/>
              </w:rPr>
            </w:pPr>
            <w:r>
              <w:rPr>
                <w:b/>
                <w:bCs/>
                <w:color w:val="1F1F1F"/>
              </w:rPr>
              <w:t>FR-1</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F7515E"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rPr>
                <w:color w:val="1F1F1F"/>
              </w:rPr>
            </w:pPr>
            <w:r>
              <w:rPr>
                <w:b/>
                <w:bCs/>
                <w:color w:val="1F1F1F"/>
              </w:rPr>
              <w:t>Automated Data Validation</w:t>
            </w:r>
          </w:p>
        </w:tc>
        <w:tc>
          <w:tcPr>
            <w:tcW w:w="5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F94562"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rPr>
                <w:color w:val="1F1F1F"/>
              </w:rPr>
            </w:pPr>
            <w:r>
              <w:rPr>
                <w:color w:val="1F1F1F"/>
              </w:rPr>
              <w:t>The ServiceNow Service Catalog form must validate that inputs like IP addresses match standard IPv4/IPv6 regex formatting before allowing a form submission.</w:t>
            </w:r>
          </w:p>
        </w:tc>
      </w:tr>
      <w:tr w:rsidR="00751E59" w14:paraId="41A56392" w14:textId="77777777">
        <w:trPr>
          <w:trHeight w:val="1170"/>
        </w:trPr>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640CF5"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rPr>
                <w:color w:val="1F1F1F"/>
              </w:rPr>
            </w:pPr>
            <w:r>
              <w:rPr>
                <w:b/>
                <w:bCs/>
                <w:color w:val="1F1F1F"/>
              </w:rPr>
              <w:t>FR-2</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5204AC"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rPr>
                <w:color w:val="1F1F1F"/>
              </w:rPr>
            </w:pPr>
            <w:r>
              <w:rPr>
                <w:b/>
                <w:bCs/>
                <w:color w:val="1F1F1F"/>
              </w:rPr>
              <w:t>Conditional Approval Routing</w:t>
            </w:r>
          </w:p>
        </w:tc>
        <w:tc>
          <w:tcPr>
            <w:tcW w:w="5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8A0317"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rPr>
                <w:color w:val="1F1F1F"/>
              </w:rPr>
            </w:pPr>
            <w:r>
              <w:rPr>
                <w:color w:val="1F1F1F"/>
              </w:rPr>
              <w:t>Flow Designer must automatically approve low-risk requests (e.g., standard ports) and route high-risk requests (e.g., SSH/RDP) to the appropriate manager or security team.</w:t>
            </w:r>
          </w:p>
        </w:tc>
      </w:tr>
      <w:tr w:rsidR="00751E59" w14:paraId="13A7A8DE" w14:textId="77777777">
        <w:trPr>
          <w:trHeight w:val="1245"/>
        </w:trPr>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E9A632"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rPr>
                <w:color w:val="1F1F1F"/>
              </w:rPr>
            </w:pPr>
            <w:r>
              <w:rPr>
                <w:b/>
                <w:bCs/>
                <w:color w:val="1F1F1F"/>
              </w:rPr>
              <w:lastRenderedPageBreak/>
              <w:t>FR-3</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996A96"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rPr>
                <w:color w:val="1F1F1F"/>
              </w:rPr>
            </w:pPr>
            <w:r>
              <w:rPr>
                <w:b/>
                <w:bCs/>
                <w:color w:val="1F1F1F"/>
              </w:rPr>
              <w:t>API Integration Pipeline</w:t>
            </w:r>
          </w:p>
        </w:tc>
        <w:tc>
          <w:tcPr>
            <w:tcW w:w="5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9ACC97"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rPr>
                <w:color w:val="1F1F1F"/>
              </w:rPr>
            </w:pPr>
            <w:r>
              <w:rPr>
                <w:color w:val="1F1F1F"/>
              </w:rPr>
              <w:t>Integration Hub must package approved request variables into a JSON payload and successfully push configuration changes to target network controllers via secure REST APIs.</w:t>
            </w:r>
          </w:p>
        </w:tc>
      </w:tr>
      <w:tr w:rsidR="00751E59" w14:paraId="020A1F1B" w14:textId="77777777">
        <w:trPr>
          <w:trHeight w:val="1301"/>
        </w:trPr>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060D04"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rPr>
                <w:color w:val="1F1F1F"/>
              </w:rPr>
            </w:pPr>
            <w:r>
              <w:rPr>
                <w:b/>
                <w:bCs/>
                <w:color w:val="1F1F1F"/>
              </w:rPr>
              <w:t>FR-4</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2E070D"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rPr>
                <w:color w:val="1F1F1F"/>
              </w:rPr>
            </w:pPr>
            <w:r>
              <w:rPr>
                <w:b/>
                <w:bCs/>
                <w:color w:val="1F1F1F"/>
              </w:rPr>
              <w:t>Closed-Loop Verification</w:t>
            </w:r>
          </w:p>
        </w:tc>
        <w:tc>
          <w:tcPr>
            <w:tcW w:w="5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D16B31"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rPr>
                <w:color w:val="1F1F1F"/>
              </w:rPr>
            </w:pPr>
            <w:r>
              <w:rPr>
                <w:color w:val="1F1F1F"/>
              </w:rPr>
              <w:t>The system must automatically execute a network connectivity check post-deployment to verify the change was successful before closing the ticket.</w:t>
            </w:r>
          </w:p>
        </w:tc>
      </w:tr>
      <w:tr w:rsidR="00751E59" w14:paraId="2072B71B" w14:textId="77777777">
        <w:trPr>
          <w:trHeight w:val="1148"/>
        </w:trPr>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57FC4A"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rPr>
                <w:color w:val="1F1F1F"/>
              </w:rPr>
            </w:pPr>
            <w:r>
              <w:rPr>
                <w:b/>
                <w:bCs/>
                <w:color w:val="1F1F1F"/>
              </w:rPr>
              <w:t>FR-5</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76868B"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rPr>
                <w:color w:val="1F1F1F"/>
              </w:rPr>
            </w:pPr>
            <w:r>
              <w:rPr>
                <w:b/>
                <w:bCs/>
                <w:color w:val="1F1F1F"/>
              </w:rPr>
              <w:t>CMDB Auto-Update &amp; Auditing</w:t>
            </w:r>
          </w:p>
        </w:tc>
        <w:tc>
          <w:tcPr>
            <w:tcW w:w="5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143CF1"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rPr>
                <w:color w:val="1F1F1F"/>
              </w:rPr>
            </w:pPr>
            <w:r>
              <w:rPr>
                <w:color w:val="1F1F1F"/>
              </w:rPr>
              <w:t>Upon successful fulfillment, the system must write updated configuration item (CI) relationships directly to the CMDB and log an immutable audit trail on the ticket record.</w:t>
            </w:r>
          </w:p>
        </w:tc>
      </w:tr>
      <w:tr w:rsidR="00751E59" w14:paraId="0A1BF6B3" w14:textId="77777777">
        <w:trPr>
          <w:trHeight w:val="1125"/>
        </w:trPr>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E73A35"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rPr>
                <w:color w:val="1F1F1F"/>
              </w:rPr>
            </w:pPr>
            <w:r>
              <w:rPr>
                <w:b/>
                <w:bCs/>
                <w:color w:val="1F1F1F"/>
              </w:rPr>
              <w:t>FR-6</w:t>
            </w:r>
          </w:p>
        </w:tc>
        <w:tc>
          <w:tcPr>
            <w:tcW w:w="31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B0F453"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rPr>
                <w:color w:val="1F1F1F"/>
              </w:rPr>
            </w:pPr>
            <w:r>
              <w:rPr>
                <w:b/>
                <w:bCs/>
                <w:color w:val="1F1F1F"/>
              </w:rPr>
              <w:t>Automated Notifications</w:t>
            </w:r>
          </w:p>
        </w:tc>
        <w:tc>
          <w:tcPr>
            <w:tcW w:w="5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99CB60"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rPr>
                <w:color w:val="1F1F1F"/>
              </w:rPr>
            </w:pPr>
            <w:r>
              <w:rPr>
                <w:color w:val="1F1F1F"/>
              </w:rPr>
              <w:t>The system must send automated notifications (via email or chat webhooks) to the requestor at major lifecycle stages: submission, approval, and completion.</w:t>
            </w:r>
          </w:p>
        </w:tc>
      </w:tr>
    </w:tbl>
    <w:p w14:paraId="6DD3D5D1" w14:textId="77777777" w:rsidR="00751E59" w:rsidRDefault="00751E59">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0" w:line="360" w:lineRule="auto"/>
        <w:rPr>
          <w:b/>
          <w:bCs/>
          <w:color w:val="1F1F1F"/>
          <w:sz w:val="26"/>
          <w:szCs w:val="26"/>
        </w:rPr>
      </w:pPr>
      <w:bookmarkStart w:id="1" w:name="_heading=h.f4xiyma572q1" w:colFirst="0" w:colLast="0"/>
      <w:bookmarkEnd w:id="1"/>
    </w:p>
    <w:p w14:paraId="72BE93E1" w14:textId="77777777" w:rsidR="00751E59" w:rsidRDefault="00000000">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0" w:after="0" w:line="360" w:lineRule="auto"/>
        <w:rPr>
          <w:b/>
          <w:bCs/>
          <w:color w:val="1F1F1F"/>
          <w:sz w:val="26"/>
          <w:szCs w:val="26"/>
        </w:rPr>
      </w:pPr>
      <w:bookmarkStart w:id="2" w:name="_heading=h.ueg4hdxh66hu" w:colFirst="0" w:colLast="0"/>
      <w:bookmarkEnd w:id="2"/>
      <w:r>
        <w:rPr>
          <w:b/>
          <w:bCs/>
          <w:color w:val="1F1F1F"/>
          <w:sz w:val="26"/>
          <w:szCs w:val="26"/>
        </w:rPr>
        <w:t>Non-functional Requirements</w:t>
      </w:r>
    </w:p>
    <w:p w14:paraId="143C20BE"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line="360" w:lineRule="auto"/>
        <w:rPr>
          <w:color w:val="1F1F1F"/>
        </w:rPr>
      </w:pPr>
      <w:r>
        <w:rPr>
          <w:color w:val="1F1F1F"/>
        </w:rPr>
        <w:t>These define the system's operational attributes—how well the system performs its functions. Since you are building on the ServiceNow platform, you inherit many of these automatically, but they must still be documented.</w:t>
      </w:r>
    </w:p>
    <w:p w14:paraId="61C0D231" w14:textId="77777777" w:rsidR="00751E59" w:rsidRDefault="00751E59">
      <w:pPr>
        <w:pBdr>
          <w:top w:val="none" w:sz="0" w:space="0" w:color="000000"/>
          <w:left w:val="none" w:sz="0" w:space="0" w:color="000000"/>
          <w:bottom w:val="none" w:sz="0" w:space="0" w:color="000000"/>
          <w:right w:val="none" w:sz="0" w:space="0" w:color="000000"/>
          <w:between w:val="none" w:sz="0" w:space="0" w:color="000000"/>
        </w:pBdr>
        <w:spacing w:line="360" w:lineRule="auto"/>
        <w:rPr>
          <w:color w:val="1F1F1F"/>
        </w:rPr>
      </w:pPr>
    </w:p>
    <w:p w14:paraId="3D4C9258" w14:textId="77777777" w:rsidR="00751E59" w:rsidRDefault="00751E59">
      <w:pPr>
        <w:pBdr>
          <w:top w:val="none" w:sz="0" w:space="0" w:color="000000"/>
          <w:left w:val="none" w:sz="0" w:space="0" w:color="000000"/>
          <w:bottom w:val="none" w:sz="0" w:space="0" w:color="000000"/>
          <w:right w:val="none" w:sz="0" w:space="0" w:color="000000"/>
          <w:between w:val="none" w:sz="0" w:space="0" w:color="000000"/>
        </w:pBdr>
        <w:spacing w:line="360" w:lineRule="auto"/>
        <w:rPr>
          <w:color w:val="1F1F1F"/>
        </w:rPr>
      </w:pPr>
    </w:p>
    <w:tbl>
      <w:tblPr>
        <w:tblStyle w:val="a1"/>
        <w:tblW w:w="9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2730"/>
        <w:gridCol w:w="5130"/>
      </w:tblGrid>
      <w:tr w:rsidR="00751E59" w14:paraId="70632464" w14:textId="77777777">
        <w:trPr>
          <w:trHeight w:val="1095"/>
        </w:trPr>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970D11"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line="360" w:lineRule="auto"/>
              <w:rPr>
                <w:b/>
                <w:bCs/>
                <w:color w:val="1F1F1F"/>
              </w:rPr>
            </w:pPr>
            <w:r>
              <w:rPr>
                <w:b/>
                <w:bCs/>
                <w:color w:val="1F1F1F"/>
              </w:rPr>
              <w:t>ID</w:t>
            </w: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DD0982"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line="360" w:lineRule="auto"/>
              <w:rPr>
                <w:b/>
                <w:bCs/>
                <w:color w:val="1F1F1F"/>
              </w:rPr>
            </w:pPr>
            <w:r>
              <w:rPr>
                <w:b/>
                <w:bCs/>
                <w:color w:val="1F1F1F"/>
              </w:rPr>
              <w:t>Requirement Description</w:t>
            </w:r>
          </w:p>
        </w:tc>
        <w:tc>
          <w:tcPr>
            <w:tcW w:w="51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C2B33E"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line="360" w:lineRule="auto"/>
              <w:rPr>
                <w:b/>
                <w:bCs/>
                <w:color w:val="1F1F1F"/>
              </w:rPr>
            </w:pPr>
            <w:r>
              <w:rPr>
                <w:b/>
                <w:bCs/>
                <w:color w:val="1F1F1F"/>
              </w:rPr>
              <w:t>Success / Acceptance Criteria</w:t>
            </w:r>
          </w:p>
        </w:tc>
      </w:tr>
      <w:tr w:rsidR="00751E59" w14:paraId="1FB54D33" w14:textId="77777777">
        <w:trPr>
          <w:trHeight w:val="2055"/>
        </w:trPr>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780C7C"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line="360" w:lineRule="auto"/>
              <w:rPr>
                <w:b/>
                <w:bCs/>
                <w:color w:val="1F1F1F"/>
              </w:rPr>
            </w:pPr>
            <w:r>
              <w:rPr>
                <w:b/>
                <w:bCs/>
                <w:color w:val="1F1F1F"/>
              </w:rPr>
              <w:lastRenderedPageBreak/>
              <w:t>NFR-1</w:t>
            </w: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83CA22"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line="360" w:lineRule="auto"/>
              <w:rPr>
                <w:b/>
                <w:bCs/>
                <w:color w:val="1F1F1F"/>
              </w:rPr>
            </w:pPr>
            <w:r>
              <w:rPr>
                <w:b/>
                <w:bCs/>
                <w:color w:val="1F1F1F"/>
              </w:rPr>
              <w:t>Performance / Speed</w:t>
            </w:r>
          </w:p>
        </w:tc>
        <w:tc>
          <w:tcPr>
            <w:tcW w:w="51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EE796E"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line="360" w:lineRule="auto"/>
              <w:rPr>
                <w:color w:val="1F1F1F"/>
              </w:rPr>
            </w:pPr>
            <w:r>
              <w:rPr>
                <w:color w:val="1F1F1F"/>
              </w:rPr>
              <w:t xml:space="preserve">Automated request fulfillment (from the moment of final approval to successful API execution) must complete in </w:t>
            </w:r>
            <w:r>
              <w:rPr>
                <w:b/>
                <w:bCs/>
                <w:color w:val="1F1F1F"/>
              </w:rPr>
              <w:t>less than 15 minutes</w:t>
            </w:r>
            <w:r>
              <w:rPr>
                <w:color w:val="1F1F1F"/>
              </w:rPr>
              <w:t xml:space="preserve"> for standard paths.</w:t>
            </w:r>
          </w:p>
        </w:tc>
      </w:tr>
      <w:tr w:rsidR="00751E59" w14:paraId="40A9C6DF" w14:textId="77777777">
        <w:trPr>
          <w:trHeight w:val="2115"/>
        </w:trPr>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5F6802"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line="360" w:lineRule="auto"/>
              <w:rPr>
                <w:b/>
                <w:bCs/>
                <w:color w:val="1F1F1F"/>
              </w:rPr>
            </w:pPr>
            <w:r>
              <w:rPr>
                <w:b/>
                <w:bCs/>
                <w:color w:val="1F1F1F"/>
              </w:rPr>
              <w:t>NFR-2</w:t>
            </w: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25DD55"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line="360" w:lineRule="auto"/>
              <w:rPr>
                <w:b/>
                <w:bCs/>
                <w:color w:val="1F1F1F"/>
              </w:rPr>
            </w:pPr>
            <w:r>
              <w:rPr>
                <w:b/>
                <w:bCs/>
                <w:color w:val="1F1F1F"/>
              </w:rPr>
              <w:t>Security &amp; Authentication</w:t>
            </w:r>
          </w:p>
        </w:tc>
        <w:tc>
          <w:tcPr>
            <w:tcW w:w="51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A8E018"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line="360" w:lineRule="auto"/>
              <w:rPr>
                <w:color w:val="1F1F1F"/>
              </w:rPr>
            </w:pPr>
            <w:r>
              <w:rPr>
                <w:color w:val="1F1F1F"/>
              </w:rPr>
              <w:t>All outbound API calls from ServiceNow Integration Hub to network infrastructure must use encrypted protocols (HTTPS/SSH) and credential aliases stored securely in the platform.</w:t>
            </w:r>
          </w:p>
        </w:tc>
      </w:tr>
      <w:tr w:rsidR="00751E59" w14:paraId="360D80E2" w14:textId="77777777">
        <w:trPr>
          <w:trHeight w:val="1875"/>
        </w:trPr>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3F1DCC"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line="360" w:lineRule="auto"/>
              <w:rPr>
                <w:b/>
                <w:bCs/>
                <w:color w:val="1F1F1F"/>
              </w:rPr>
            </w:pPr>
            <w:r>
              <w:rPr>
                <w:b/>
                <w:bCs/>
                <w:color w:val="1F1F1F"/>
              </w:rPr>
              <w:t>NFR-3</w:t>
            </w: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66EB36"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line="360" w:lineRule="auto"/>
              <w:rPr>
                <w:b/>
                <w:bCs/>
                <w:color w:val="1F1F1F"/>
              </w:rPr>
            </w:pPr>
            <w:r>
              <w:rPr>
                <w:b/>
                <w:bCs/>
                <w:color w:val="1F1F1F"/>
              </w:rPr>
              <w:t>Scalability</w:t>
            </w:r>
          </w:p>
        </w:tc>
        <w:tc>
          <w:tcPr>
            <w:tcW w:w="51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5A30C4"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line="360" w:lineRule="auto"/>
              <w:rPr>
                <w:color w:val="1F1F1F"/>
              </w:rPr>
            </w:pPr>
            <w:r>
              <w:rPr>
                <w:color w:val="1F1F1F"/>
              </w:rPr>
              <w:t>The workflow orchestration system must be capable of processing up to 500 concurrent automated network request transactions without causing API timeouts or platform lag.</w:t>
            </w:r>
          </w:p>
        </w:tc>
      </w:tr>
      <w:tr w:rsidR="00751E59" w14:paraId="0E9BCFE6" w14:textId="77777777">
        <w:trPr>
          <w:trHeight w:val="2040"/>
        </w:trPr>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1621FD"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line="360" w:lineRule="auto"/>
              <w:rPr>
                <w:b/>
                <w:bCs/>
                <w:color w:val="1F1F1F"/>
              </w:rPr>
            </w:pPr>
            <w:r>
              <w:rPr>
                <w:b/>
                <w:bCs/>
                <w:color w:val="1F1F1F"/>
              </w:rPr>
              <w:t>NFR-4</w:t>
            </w: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22B01D"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line="360" w:lineRule="auto"/>
              <w:rPr>
                <w:b/>
                <w:bCs/>
                <w:color w:val="1F1F1F"/>
              </w:rPr>
            </w:pPr>
            <w:r>
              <w:rPr>
                <w:b/>
                <w:bCs/>
                <w:color w:val="1F1F1F"/>
              </w:rPr>
              <w:t>Availability &amp; Reliability</w:t>
            </w:r>
          </w:p>
        </w:tc>
        <w:tc>
          <w:tcPr>
            <w:tcW w:w="51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CB3423"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line="360" w:lineRule="auto"/>
              <w:rPr>
                <w:color w:val="1F1F1F"/>
              </w:rPr>
            </w:pPr>
            <w:r>
              <w:rPr>
                <w:color w:val="1F1F1F"/>
              </w:rPr>
              <w:t xml:space="preserve">The automated request engine must achieve </w:t>
            </w:r>
            <w:r>
              <w:rPr>
                <w:b/>
                <w:bCs/>
                <w:color w:val="1F1F1F"/>
              </w:rPr>
              <w:t>99.9% uptime</w:t>
            </w:r>
            <w:r>
              <w:rPr>
                <w:color w:val="1F1F1F"/>
              </w:rPr>
              <w:t xml:space="preserve"> during operational hours, with graceful error-handling that routes failed API attempts to a manual NetOps queue.</w:t>
            </w:r>
          </w:p>
        </w:tc>
      </w:tr>
      <w:tr w:rsidR="00751E59" w14:paraId="29CDB6F6" w14:textId="77777777">
        <w:trPr>
          <w:trHeight w:val="1560"/>
        </w:trPr>
        <w:tc>
          <w:tcPr>
            <w:tcW w:w="13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837257"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line="360" w:lineRule="auto"/>
              <w:rPr>
                <w:b/>
                <w:bCs/>
                <w:color w:val="1F1F1F"/>
              </w:rPr>
            </w:pPr>
            <w:r>
              <w:rPr>
                <w:b/>
                <w:bCs/>
                <w:color w:val="1F1F1F"/>
              </w:rPr>
              <w:t>NFR-5</w:t>
            </w:r>
          </w:p>
        </w:tc>
        <w:tc>
          <w:tcPr>
            <w:tcW w:w="27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C63308"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line="360" w:lineRule="auto"/>
              <w:rPr>
                <w:b/>
                <w:bCs/>
                <w:color w:val="1F1F1F"/>
              </w:rPr>
            </w:pPr>
            <w:r>
              <w:rPr>
                <w:b/>
                <w:bCs/>
                <w:color w:val="1F1F1F"/>
              </w:rPr>
              <w:t>Usability (UX)</w:t>
            </w:r>
          </w:p>
        </w:tc>
        <w:tc>
          <w:tcPr>
            <w:tcW w:w="51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A09DAD" w14:textId="77777777" w:rsidR="00751E59" w:rsidRDefault="00000000">
            <w:pPr>
              <w:pBdr>
                <w:top w:val="none" w:sz="0" w:space="0" w:color="000000"/>
                <w:left w:val="none" w:sz="0" w:space="0" w:color="000000"/>
                <w:bottom w:val="none" w:sz="0" w:space="0" w:color="000000"/>
                <w:right w:val="none" w:sz="0" w:space="0" w:color="000000"/>
                <w:between w:val="none" w:sz="0" w:space="0" w:color="000000"/>
              </w:pBdr>
              <w:spacing w:after="480" w:line="360" w:lineRule="auto"/>
              <w:rPr>
                <w:color w:val="1F1F1F"/>
              </w:rPr>
            </w:pPr>
            <w:r>
              <w:rPr>
                <w:color w:val="1F1F1F"/>
              </w:rPr>
              <w:t>Intake forms must use dynamic UI policies to show/hide fields, ensuring a minimalist layout that minimizes user input confusion and reduces incomplete submissions.</w:t>
            </w:r>
          </w:p>
        </w:tc>
      </w:tr>
    </w:tbl>
    <w:p w14:paraId="53F0CF49" w14:textId="77777777" w:rsidR="00751E59" w:rsidRDefault="00751E59">
      <w:pPr>
        <w:pBdr>
          <w:top w:val="none" w:sz="0" w:space="0" w:color="000000"/>
          <w:left w:val="none" w:sz="0" w:space="0" w:color="000000"/>
          <w:bottom w:val="none" w:sz="0" w:space="0" w:color="000000"/>
          <w:right w:val="none" w:sz="0" w:space="0" w:color="000000"/>
          <w:between w:val="none" w:sz="0" w:space="0" w:color="000000"/>
        </w:pBdr>
        <w:spacing w:line="360" w:lineRule="auto"/>
      </w:pPr>
    </w:p>
    <w:sectPr w:rsidR="00751E5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65A184-4F4B-4801-B9A3-AD5165A8CFDE}"/>
    <w:embedBold r:id="rId2" w:fontKey="{05629FB1-BA1D-4040-8825-80F2E9C00169}"/>
  </w:font>
  <w:font w:name="Cambria">
    <w:panose1 w:val="02040503050406030204"/>
    <w:charset w:val="00"/>
    <w:family w:val="roman"/>
    <w:pitch w:val="variable"/>
    <w:sig w:usb0="E00006FF" w:usb1="420024FF" w:usb2="02000000" w:usb3="00000000" w:csb0="0000019F" w:csb1="00000000"/>
    <w:embedRegular r:id="rId3" w:fontKey="{33FD1611-ADEC-4865-B4D1-2ED3059C78B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E59"/>
    <w:rsid w:val="00751E59"/>
    <w:rsid w:val="00C60517"/>
    <w:rsid w:val="00EE1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83BD1"/>
  <w15:docId w15:val="{2E1E935A-5E98-4E6F-ADB6-4981C8E13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c2s4N77PTILj8hlpj77wMAvYAw==">CgMxLjAyDmgucWF0ZHF4ZmdvYThuMg5oLmY0eGl5bWE1NzJxMTIOaC51ZWc0aGR4aDY2aHU4AHIhMVB3T2xHanU2U1plbXhQejc1Y2ozTUtkZkIydFpNdHFh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421</Words>
  <Characters>2406</Characters>
  <Application>Microsoft Office Word</Application>
  <DocSecurity>0</DocSecurity>
  <Lines>20</Lines>
  <Paragraphs>5</Paragraphs>
  <ScaleCrop>false</ScaleCrop>
  <Company/>
  <LinksUpToDate>false</LinksUpToDate>
  <CharactersWithSpaces>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gunnashanmukharao27@outlook.com</cp:lastModifiedBy>
  <cp:revision>2</cp:revision>
  <dcterms:created xsi:type="dcterms:W3CDTF">2026-07-05T09:08:00Z</dcterms:created>
  <dcterms:modified xsi:type="dcterms:W3CDTF">2026-07-05T09:08:00Z</dcterms:modified>
</cp:coreProperties>
</file>