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80"/>
      </w:pPr>
      <w:r>
        <w:rPr>
          <w:rFonts w:ascii="Times New Roman" w:hAnsi="Times New Roman"/>
          <w:b/>
          <w:color w:val="0F2D5F"/>
          <w:sz w:val="32"/>
        </w:rPr>
        <w:t>PROJECT CASE STUDY 1: NLP PIPELINE &amp; MACHINE LEARNING ARCHITECTURE</w:t>
      </w:r>
    </w:p>
    <w:p>
      <w:pPr>
        <w:spacing w:before="200" w:after="60"/>
      </w:pPr>
      <w:r>
        <w:rPr>
          <w:rFonts w:ascii="Times New Roman" w:hAnsi="Times New Roman"/>
          <w:b/>
          <w:color w:val="0F2D5F"/>
          <w:sz w:val="26"/>
        </w:rPr>
        <w:t>AI Legal Assistant (LexAI) — Document Intelligence &amp; Domain Classification</w:t>
      </w:r>
    </w:p>
    <w:p>
      <w:pPr>
        <w:spacing w:before="20" w:after="60"/>
      </w:pPr>
      <w:r>
        <w:rPr>
          <w:rFonts w:ascii="Times New Roman" w:hAnsi="Times New Roman"/>
          <w:color w:val="2D3748"/>
          <w:sz w:val="19"/>
        </w:rPr>
      </w:r>
      <w:r>
        <w:rPr>
          <w:rFonts w:ascii="Times New Roman" w:hAnsi="Times New Roman"/>
          <w:b/>
          <w:color w:val="2D3748"/>
          <w:sz w:val="19"/>
        </w:rPr>
        <w:t>Academic Year:</w:t>
      </w:r>
      <w:r>
        <w:rPr>
          <w:rFonts w:ascii="Times New Roman" w:hAnsi="Times New Roman"/>
          <w:color w:val="2D3748"/>
          <w:sz w:val="19"/>
        </w:rPr>
        <w:t xml:space="preserve"> 2025–2026 | </w:t>
      </w:r>
      <w:r>
        <w:rPr>
          <w:rFonts w:ascii="Times New Roman" w:hAnsi="Times New Roman"/>
          <w:b/>
          <w:color w:val="2D3748"/>
          <w:sz w:val="19"/>
        </w:rPr>
        <w:t>Department:</w:t>
      </w:r>
      <w:r>
        <w:rPr>
          <w:rFonts w:ascii="Times New Roman" w:hAnsi="Times New Roman"/>
          <w:color w:val="2D3748"/>
          <w:sz w:val="19"/>
        </w:rPr>
        <w:t xml:space="preserve"> Computer Science and Engineering</w:t>
      </w:r>
    </w:p>
    <w:p>
      <w:pPr>
        <w:spacing w:before="20" w:after="60"/>
      </w:pPr>
      <w:r>
        <w:rPr>
          <w:rFonts w:ascii="Times New Roman" w:hAnsi="Times New Roman"/>
          <w:color w:val="2D3748"/>
          <w:sz w:val="19"/>
        </w:rPr>
      </w:r>
      <w:r>
        <w:rPr>
          <w:rFonts w:ascii="Times New Roman" w:hAnsi="Times New Roman"/>
          <w:b/>
          <w:color w:val="2D3748"/>
          <w:sz w:val="19"/>
        </w:rPr>
        <w:t>Project Review:</w:t>
      </w:r>
      <w:r>
        <w:rPr>
          <w:rFonts w:ascii="Times New Roman" w:hAnsi="Times New Roman"/>
          <w:color w:val="2D3748"/>
          <w:sz w:val="19"/>
        </w:rPr>
        <w:t xml:space="preserve"> Milestone Review 2 &amp; Final Implementation</w:t>
      </w:r>
    </w:p>
    <w:p>
      <w:pPr>
        <w:spacing w:before="80" w:after="80"/>
        <w:pBdr>
          <w:bottom w:val="single" w:sz="6" w:space="1" w:color="CBD5E1"/>
        </w:pBdr>
      </w:pPr>
    </w:p>
    <w:p>
      <w:pPr>
        <w:spacing w:before="160" w:after="40"/>
      </w:pPr>
      <w:r>
        <w:rPr>
          <w:rFonts w:ascii="Times New Roman" w:hAnsi="Times New Roman"/>
          <w:b/>
          <w:color w:val="FF6A0D"/>
          <w:sz w:val="22"/>
        </w:rPr>
        <w:t>👤 Team Member Information</w:t>
      </w:r>
    </w:p>
    <w:p>
      <w:pPr>
        <w:pStyle w:val="ListBullet"/>
        <w:spacing w:before="20" w:after="40"/>
      </w:pPr>
      <w:r>
        <w:rPr>
          <w:rFonts w:ascii="Times New Roman" w:hAnsi="Times New Roman"/>
          <w:color w:val="2D3748"/>
          <w:sz w:val="19"/>
        </w:rPr>
      </w:r>
      <w:r>
        <w:rPr>
          <w:rFonts w:ascii="Times New Roman" w:hAnsi="Times New Roman"/>
          <w:b/>
          <w:color w:val="2D3748"/>
          <w:sz w:val="19"/>
        </w:rPr>
        <w:t>Student Name:</w:t>
      </w:r>
      <w:r>
        <w:rPr>
          <w:rFonts w:ascii="Times New Roman" w:hAnsi="Times New Roman"/>
          <w:color w:val="2D3748"/>
          <w:sz w:val="19"/>
        </w:rPr>
        <w:t xml:space="preserve"> V. Brunda</w:t>
      </w:r>
    </w:p>
    <w:p>
      <w:pPr>
        <w:pStyle w:val="ListBullet"/>
        <w:spacing w:before="20" w:after="40"/>
      </w:pPr>
      <w:r>
        <w:rPr>
          <w:rFonts w:ascii="Times New Roman" w:hAnsi="Times New Roman"/>
          <w:color w:val="2D3748"/>
          <w:sz w:val="19"/>
        </w:rPr>
      </w:r>
      <w:r>
        <w:rPr>
          <w:rFonts w:ascii="Times New Roman" w:hAnsi="Times New Roman"/>
          <w:b/>
          <w:color w:val="2D3748"/>
          <w:sz w:val="19"/>
        </w:rPr>
        <w:t>Roll Number / Hall Ticket:</w:t>
      </w:r>
      <w:r>
        <w:rPr>
          <w:rFonts w:ascii="Times New Roman" w:hAnsi="Times New Roman"/>
          <w:color w:val="2D3748"/>
          <w:sz w:val="19"/>
        </w:rPr>
        <w:t xml:space="preserve"> 24B11CS485</w:t>
      </w:r>
    </w:p>
    <w:p>
      <w:pPr>
        <w:pStyle w:val="ListBullet"/>
        <w:spacing w:before="20" w:after="40"/>
      </w:pPr>
      <w:r>
        <w:rPr>
          <w:rFonts w:ascii="Times New Roman" w:hAnsi="Times New Roman"/>
          <w:color w:val="2D3748"/>
          <w:sz w:val="19"/>
        </w:rPr>
      </w:r>
      <w:r>
        <w:rPr>
          <w:rFonts w:ascii="Times New Roman" w:hAnsi="Times New Roman"/>
          <w:b/>
          <w:color w:val="2D3748"/>
          <w:sz w:val="19"/>
        </w:rPr>
        <w:t>Designation / Project Role:</w:t>
      </w:r>
      <w:r>
        <w:rPr>
          <w:rFonts w:ascii="Times New Roman" w:hAnsi="Times New Roman"/>
          <w:color w:val="2D3748"/>
          <w:sz w:val="19"/>
        </w:rPr>
        <w:t xml:space="preserve"> Lead NLP Pipeline &amp; Machine Learning Engineer (Document Intelligence &amp; Domain Classification)</w:t>
      </w:r>
    </w:p>
    <w:p>
      <w:pPr>
        <w:pStyle w:val="ListBullet"/>
        <w:spacing w:before="20" w:after="40"/>
      </w:pPr>
      <w:r>
        <w:rPr>
          <w:rFonts w:ascii="Times New Roman" w:hAnsi="Times New Roman"/>
          <w:color w:val="2D3748"/>
          <w:sz w:val="19"/>
        </w:rPr>
      </w:r>
      <w:r>
        <w:rPr>
          <w:rFonts w:ascii="Times New Roman" w:hAnsi="Times New Roman"/>
          <w:b/>
          <w:color w:val="2D3748"/>
          <w:sz w:val="19"/>
        </w:rPr>
        <w:t>Primary Modules Owned:</w:t>
      </w:r>
      <w:r>
        <w:rPr>
          <w:rFonts w:ascii="Times New Roman" w:hAnsi="Times New Roman"/>
          <w:color w:val="2D3748"/>
          <w:sz w:val="19"/>
        </w:rPr>
      </w:r>
    </w:p>
    <w:p>
      <w:pPr>
        <w:spacing w:before="20" w:after="60"/>
      </w:pPr>
      <w:r>
        <w:rPr>
          <w:rFonts w:ascii="Times New Roman" w:hAnsi="Times New Roman"/>
          <w:color w:val="2D3748"/>
          <w:sz w:val="19"/>
        </w:rPr>
        <w:t xml:space="preserve">  1. Corpus Formulation &amp; Domain Dataset Curation (4 Indian Legal Domains)</w:t>
      </w:r>
    </w:p>
    <w:p>
      <w:pPr>
        <w:spacing w:before="20" w:after="60"/>
      </w:pPr>
      <w:r>
        <w:rPr>
          <w:rFonts w:ascii="Times New Roman" w:hAnsi="Times New Roman"/>
          <w:color w:val="2D3748"/>
          <w:sz w:val="19"/>
        </w:rPr>
        <w:t xml:space="preserve">  2. Legal Text Preprocessing, Normalization &amp; Custom Tokenization Pipeline</w:t>
      </w:r>
    </w:p>
    <w:p>
      <w:pPr>
        <w:spacing w:before="20" w:after="60"/>
      </w:pPr>
      <w:r>
        <w:rPr>
          <w:rFonts w:ascii="Times New Roman" w:hAnsi="Times New Roman"/>
          <w:color w:val="2D3748"/>
          <w:sz w:val="19"/>
        </w:rPr>
        <w:t xml:space="preserve">  3. Document Domain Classifier (Sublinear TF-IDF + Multinomial Logistic Regression)</w:t>
      </w:r>
    </w:p>
    <w:p>
      <w:pPr>
        <w:spacing w:before="20" w:after="60"/>
      </w:pPr>
      <w:r>
        <w:rPr>
          <w:rFonts w:ascii="Times New Roman" w:hAnsi="Times New Roman"/>
          <w:color w:val="2D3748"/>
          <w:sz w:val="19"/>
        </w:rPr>
        <w:t xml:space="preserve">  4. Portable Model Weights Serialization &amp; Cross-Platform Runtime Exporter</w:t>
      </w:r>
    </w:p>
    <w:p>
      <w:pPr>
        <w:spacing w:before="80" w:after="80"/>
        <w:pBdr>
          <w:bottom w:val="single" w:sz="6" w:space="1" w:color="CBD5E1"/>
        </w:pBdr>
      </w:pPr>
    </w:p>
    <w:p>
      <w:pPr>
        <w:spacing w:before="200" w:after="60"/>
      </w:pPr>
      <w:r>
        <w:rPr>
          <w:rFonts w:ascii="Times New Roman" w:hAnsi="Times New Roman"/>
          <w:b/>
          <w:color w:val="0F2D5F"/>
          <w:sz w:val="26"/>
        </w:rPr>
        <w:t>1. Executive Summary &amp; Problem Formulation</w:t>
      </w:r>
    </w:p>
    <w:p>
      <w:pPr>
        <w:spacing w:before="20" w:after="60"/>
      </w:pPr>
      <w:r>
        <w:rPr>
          <w:rFonts w:ascii="Times New Roman" w:hAnsi="Times New Roman"/>
          <w:color w:val="2D3748"/>
          <w:sz w:val="19"/>
        </w:rPr>
        <w:t>In traditional contract review, legal practitioners and citizens face an overwhelming barrier of dense legalese, complex nested syntax, archaic colonial terminology, and varied document formatting. Everyday legal agreements in India—such as Residential Tenancies, Pre-owned Vehicle Sales Deeds, Unsecured Personal Loans, and Agricultural Gold Loan Pledges—frequently conceal asymmetric liabilities and predatory forfeiture clauses.</w:t>
      </w:r>
    </w:p>
    <w:p>
      <w:pPr>
        <w:spacing w:before="20" w:after="60"/>
      </w:pPr>
      <w:r>
        <w:rPr>
          <w:rFonts w:ascii="Times New Roman" w:hAnsi="Times New Roman"/>
          <w:color w:val="2D3748"/>
          <w:sz w:val="19"/>
        </w:rPr>
        <w:t>Existing standard Natural Language Processing (NLP) toolkits (such as default spaCy or NLTK English pipelines) fail catastrophically on Indian legal text because:</w:t>
      </w:r>
    </w:p>
    <w:p>
      <w:pPr>
        <w:pStyle w:val="ListBullet"/>
        <w:spacing w:before="20" w:after="40"/>
      </w:pPr>
      <w:r>
        <w:rPr>
          <w:rFonts w:ascii="Times New Roman" w:hAnsi="Times New Roman"/>
          <w:color w:val="2D3748"/>
          <w:sz w:val="19"/>
        </w:rPr>
      </w:r>
      <w:r>
        <w:rPr>
          <w:rFonts w:ascii="Times New Roman" w:hAnsi="Times New Roman"/>
          <w:b/>
          <w:color w:val="2D3748"/>
          <w:sz w:val="19"/>
        </w:rPr>
        <w:t>Aggressive Stopword Pruning:</w:t>
      </w:r>
      <w:r>
        <w:rPr>
          <w:rFonts w:ascii="Times New Roman" w:hAnsi="Times New Roman"/>
          <w:color w:val="2D3748"/>
          <w:sz w:val="19"/>
        </w:rPr>
        <w:t xml:space="preserve"> Standard stopword lists eradicate deontic modality indicators (*"shall"*, *"must"*, *"may"*, *"liable"*, *"indemnify"*), which contain 90% of a contract's binding legal enforceability.</w:t>
      </w:r>
    </w:p>
    <w:p>
      <w:pPr>
        <w:pStyle w:val="ListBullet"/>
        <w:spacing w:before="20" w:after="40"/>
      </w:pPr>
      <w:r>
        <w:rPr>
          <w:rFonts w:ascii="Times New Roman" w:hAnsi="Times New Roman"/>
          <w:color w:val="2D3748"/>
          <w:sz w:val="19"/>
        </w:rPr>
      </w:r>
      <w:r>
        <w:rPr>
          <w:rFonts w:ascii="Times New Roman" w:hAnsi="Times New Roman"/>
          <w:b/>
          <w:color w:val="2D3748"/>
          <w:sz w:val="19"/>
        </w:rPr>
        <w:t>Citation Destruction:</w:t>
      </w:r>
      <w:r>
        <w:rPr>
          <w:rFonts w:ascii="Times New Roman" w:hAnsi="Times New Roman"/>
          <w:color w:val="2D3748"/>
          <w:sz w:val="19"/>
        </w:rPr>
        <w:t xml:space="preserve"> Typical word-tokenizers split statutory references (e.g., `Sec. 106`, `Order XXI Rule 1`, `LTV &gt; 75%`) into disconnected punctuation and numbers, discarding essential statutory grounding.</w:t>
      </w:r>
    </w:p>
    <w:p>
      <w:pPr>
        <w:pStyle w:val="ListBullet"/>
        <w:spacing w:before="20" w:after="40"/>
      </w:pPr>
      <w:r>
        <w:rPr>
          <w:rFonts w:ascii="Times New Roman" w:hAnsi="Times New Roman"/>
          <w:color w:val="2D3748"/>
          <w:sz w:val="19"/>
        </w:rPr>
      </w:r>
      <w:r>
        <w:rPr>
          <w:rFonts w:ascii="Times New Roman" w:hAnsi="Times New Roman"/>
          <w:b/>
          <w:color w:val="2D3748"/>
          <w:sz w:val="19"/>
        </w:rPr>
        <w:t>Format Heterogeneity:</w:t>
      </w:r>
      <w:r>
        <w:rPr>
          <w:rFonts w:ascii="Times New Roman" w:hAnsi="Times New Roman"/>
          <w:color w:val="2D3748"/>
          <w:sz w:val="19"/>
        </w:rPr>
        <w:t xml:space="preserve"> Contracts arrive as distorted scanned PDFs, raw text streams, or unstructured Word documents with non-standard Unicode encodings.</w:t>
      </w:r>
    </w:p>
    <w:p>
      <w:pPr>
        <w:spacing w:before="20" w:after="60"/>
      </w:pPr>
      <w:r>
        <w:rPr>
          <w:rFonts w:ascii="Times New Roman" w:hAnsi="Times New Roman"/>
          <w:color w:val="2D3748"/>
          <w:sz w:val="19"/>
        </w:rPr>
      </w:r>
      <w:r>
        <w:rPr>
          <w:rFonts w:ascii="Times New Roman" w:hAnsi="Times New Roman"/>
          <w:b/>
          <w:color w:val="2D3748"/>
          <w:sz w:val="19"/>
        </w:rPr>
        <w:t>Engineer's Objective:</w:t>
      </w:r>
      <w:r>
        <w:rPr>
          <w:rFonts w:ascii="Times New Roman" w:hAnsi="Times New Roman"/>
          <w:color w:val="2D3748"/>
          <w:sz w:val="19"/>
        </w:rPr>
        <w:t xml:space="preserve"> Design, implement, train, and validate an end-to-end, deterministic NLP preprocessing and Document Domain Classification pipeline tailored specifically to Indian jurisprudence, ensuring 100% classification fidelity, zero factual distortion, and lightweight deployment portability.</w:t>
      </w:r>
    </w:p>
    <w:p>
      <w:pPr>
        <w:spacing w:before="80" w:after="80"/>
        <w:pBdr>
          <w:bottom w:val="single" w:sz="6" w:space="1" w:color="CBD5E1"/>
        </w:pBdr>
      </w:pPr>
    </w:p>
    <w:p>
      <w:pPr>
        <w:spacing w:before="200" w:after="60"/>
      </w:pPr>
      <w:r>
        <w:rPr>
          <w:rFonts w:ascii="Times New Roman" w:hAnsi="Times New Roman"/>
          <w:b/>
          <w:color w:val="0F2D5F"/>
          <w:sz w:val="26"/>
        </w:rPr>
        <w:t>2. Theoretical &amp; Mathematical Foundations</w:t>
      </w:r>
    </w:p>
    <w:p>
      <w:pPr>
        <w:spacing w:before="160" w:after="40"/>
      </w:pPr>
      <w:r>
        <w:rPr>
          <w:rFonts w:ascii="Times New Roman" w:hAnsi="Times New Roman"/>
          <w:b/>
          <w:color w:val="FF6A0D"/>
          <w:sz w:val="22"/>
        </w:rPr>
        <w:t>2.1 Unicode Normalization &amp; Deontic Preservation</w:t>
      </w:r>
    </w:p>
    <w:p>
      <w:pPr>
        <w:spacing w:before="20" w:after="60"/>
      </w:pPr>
      <w:r>
        <w:rPr>
          <w:rFonts w:ascii="Times New Roman" w:hAnsi="Times New Roman"/>
          <w:color w:val="2D3748"/>
          <w:sz w:val="19"/>
        </w:rPr>
        <w:t xml:space="preserve">Legal text extracted from legacy PDF streams often contains composite characters, ligatures, and varied Unicode representations. The pipeline employs </w:t>
      </w:r>
      <w:r>
        <w:rPr>
          <w:rFonts w:ascii="Times New Roman" w:hAnsi="Times New Roman"/>
          <w:b/>
          <w:color w:val="2D3748"/>
          <w:sz w:val="19"/>
        </w:rPr>
        <w:t>Unicode NFKD (Compatibility Decomposition)</w:t>
      </w:r>
      <w:r>
        <w:rPr>
          <w:rFonts w:ascii="Times New Roman" w:hAnsi="Times New Roman"/>
          <w:color w:val="2D3748"/>
          <w:sz w:val="19"/>
        </w:rPr>
        <w:t>:</w:t>
      </w:r>
    </w:p>
    <w:p>
      <w:pPr>
        <w:spacing w:before="20" w:after="60"/>
      </w:pPr>
      <w:r>
        <w:rPr>
          <w:rFonts w:ascii="Times New Roman" w:hAnsi="Times New Roman"/>
          <w:color w:val="2D3748"/>
          <w:sz w:val="19"/>
        </w:rPr>
        <w:t>$$\text{NFKD}(s) = \text{Decompose}(s) \to \text{Recompose canonical forms}$$</w:t>
      </w:r>
    </w:p>
    <w:p>
      <w:pPr>
        <w:spacing w:before="20" w:after="60"/>
      </w:pPr>
      <w:r>
        <w:rPr>
          <w:rFonts w:ascii="Times New Roman" w:hAnsi="Times New Roman"/>
          <w:color w:val="2D3748"/>
          <w:sz w:val="19"/>
        </w:rPr>
        <w:t>Unlike generic text corpora where modal verbs are discarded as stopwords, legal deontic logic relies on strict semantic weights:</w:t>
      </w:r>
    </w:p>
    <w:p>
      <w:pPr>
        <w:spacing w:before="20" w:after="60"/>
      </w:pPr>
      <w:r>
        <w:rPr>
          <w:rFonts w:ascii="Times New Roman" w:hAnsi="Times New Roman"/>
          <w:color w:val="2D3748"/>
          <w:sz w:val="19"/>
        </w:rPr>
        <w:t>$$\mathcal{V}_{\text{deontic}} = \{\text{"shall"}, \text{"must"}, \text{"forthwith"}, \text{"indemnify"}, \text{"liable"}, \text{"default"}, \text{"forfeit"}\}$$</w:t>
      </w:r>
    </w:p>
    <w:p>
      <w:pPr>
        <w:spacing w:before="20" w:after="60"/>
      </w:pPr>
      <w:r>
        <w:rPr>
          <w:rFonts w:ascii="Times New Roman" w:hAnsi="Times New Roman"/>
          <w:color w:val="2D3748"/>
          <w:sz w:val="19"/>
        </w:rPr>
        <w:t>The custom stopword filter maintains an explicit invariant:</w:t>
      </w:r>
    </w:p>
    <w:p>
      <w:pPr>
        <w:spacing w:before="20" w:after="60"/>
      </w:pPr>
      <w:r>
        <w:rPr>
          <w:rFonts w:ascii="Times New Roman" w:hAnsi="Times New Roman"/>
          <w:color w:val="2D3748"/>
          <w:sz w:val="19"/>
        </w:rPr>
        <w:t>$$\text{Stopwords}_{\text{legal}} = \text{Stopwords}_{\text{NLTK}} \setminus \mathcal{V}_{\text{deontic}}$$</w:t>
      </w:r>
    </w:p>
    <w:p>
      <w:pPr>
        <w:spacing w:before="160" w:after="40"/>
      </w:pPr>
      <w:r>
        <w:rPr>
          <w:rFonts w:ascii="Times New Roman" w:hAnsi="Times New Roman"/>
          <w:b/>
          <w:color w:val="FF6A0D"/>
          <w:sz w:val="22"/>
        </w:rPr>
        <w:t>2.2 Sublinear TF-IDF Vectorization</w:t>
      </w:r>
    </w:p>
    <w:p>
      <w:pPr>
        <w:spacing w:before="20" w:after="60"/>
      </w:pPr>
      <w:r>
        <w:rPr>
          <w:rFonts w:ascii="Times New Roman" w:hAnsi="Times New Roman"/>
          <w:color w:val="2D3748"/>
          <w:sz w:val="19"/>
        </w:rPr>
        <w:t>To prevent high-frequency boilerplate terms from overwhelming domain-discriminating terminology across 4 distinct legal types, we implemented sublinear term-frequency scaling ($1 + \log(\text{TF})$):</w:t>
      </w:r>
    </w:p>
    <w:p>
      <w:pPr>
        <w:spacing w:before="20" w:after="60"/>
      </w:pPr>
      <w:r>
        <w:rPr>
          <w:rFonts w:ascii="Times New Roman" w:hAnsi="Times New Roman"/>
          <w:color w:val="2D3748"/>
          <w:sz w:val="19"/>
        </w:rPr>
        <w:t>$$\text{tf-idf}(t, d, D) = (1 + \log(\text{tf}(t, d))) \times \log\left(\frac{1 + |D|}{1 + |\{d' \in D : t \in d'\}|}\right) + 1$$</w:t>
      </w:r>
    </w:p>
    <w:p>
      <w:pPr>
        <w:pStyle w:val="ListBullet"/>
        <w:spacing w:before="20" w:after="40"/>
      </w:pPr>
      <w:r>
        <w:rPr>
          <w:rFonts w:ascii="Times New Roman" w:hAnsi="Times New Roman"/>
          <w:color w:val="2D3748"/>
          <w:sz w:val="19"/>
        </w:rPr>
      </w:r>
      <w:r>
        <w:rPr>
          <w:rFonts w:ascii="Times New Roman" w:hAnsi="Times New Roman"/>
          <w:b/>
          <w:color w:val="2D3748"/>
          <w:sz w:val="19"/>
        </w:rPr>
        <w:t>Feature Space:</w:t>
      </w:r>
      <w:r>
        <w:rPr>
          <w:rFonts w:ascii="Times New Roman" w:hAnsi="Times New Roman"/>
          <w:color w:val="2D3748"/>
          <w:sz w:val="19"/>
        </w:rPr>
        <w:t xml:space="preserve"> Unigram and Bigram combinations $(n \in \{1, 2\})$.</w:t>
      </w:r>
    </w:p>
    <w:p>
      <w:pPr>
        <w:pStyle w:val="ListBullet"/>
        <w:spacing w:before="20" w:after="40"/>
      </w:pPr>
      <w:r>
        <w:rPr>
          <w:rFonts w:ascii="Times New Roman" w:hAnsi="Times New Roman"/>
          <w:color w:val="2D3748"/>
          <w:sz w:val="19"/>
        </w:rPr>
      </w:r>
      <w:r>
        <w:rPr>
          <w:rFonts w:ascii="Times New Roman" w:hAnsi="Times New Roman"/>
          <w:b/>
          <w:color w:val="2D3748"/>
          <w:sz w:val="19"/>
        </w:rPr>
        <w:t>Sublinear Scaling:</w:t>
      </w:r>
      <w:r>
        <w:rPr>
          <w:rFonts w:ascii="Times New Roman" w:hAnsi="Times New Roman"/>
          <w:color w:val="2D3748"/>
          <w:sz w:val="19"/>
        </w:rPr>
        <w:t xml:space="preserve"> `sublinear_tf=True`.</w:t>
      </w:r>
    </w:p>
    <w:p>
      <w:pPr>
        <w:pStyle w:val="ListBullet"/>
        <w:spacing w:before="20" w:after="40"/>
      </w:pPr>
      <w:r>
        <w:rPr>
          <w:rFonts w:ascii="Times New Roman" w:hAnsi="Times New Roman"/>
          <w:color w:val="2D3748"/>
          <w:sz w:val="19"/>
        </w:rPr>
      </w:r>
      <w:r>
        <w:rPr>
          <w:rFonts w:ascii="Times New Roman" w:hAnsi="Times New Roman"/>
          <w:b/>
          <w:color w:val="2D3748"/>
          <w:sz w:val="19"/>
        </w:rPr>
        <w:t>Normalization:</w:t>
      </w:r>
      <w:r>
        <w:rPr>
          <w:rFonts w:ascii="Times New Roman" w:hAnsi="Times New Roman"/>
          <w:color w:val="2D3748"/>
          <w:sz w:val="19"/>
        </w:rPr>
        <w:t xml:space="preserve"> $\ell_2$ Euclidean normalization applied to each document feature vector $\mathbf{v}$:</w:t>
      </w:r>
    </w:p>
    <w:p>
      <w:pPr>
        <w:spacing w:before="20" w:after="60"/>
      </w:pPr>
      <w:r>
        <w:rPr>
          <w:rFonts w:ascii="Times New Roman" w:hAnsi="Times New Roman"/>
          <w:color w:val="2D3748"/>
          <w:sz w:val="19"/>
        </w:rPr>
        <w:t>$$\mathbf{v}_{\text{norm}} = \frac{\mathbf{v}}{\|\mathbf{v}\|_2}$$</w:t>
      </w:r>
    </w:p>
    <w:p>
      <w:pPr>
        <w:spacing w:before="160" w:after="40"/>
      </w:pPr>
      <w:r>
        <w:rPr>
          <w:rFonts w:ascii="Times New Roman" w:hAnsi="Times New Roman"/>
          <w:b/>
          <w:color w:val="FF6A0D"/>
          <w:sz w:val="22"/>
        </w:rPr>
        <w:t>2.3 Multinomial Logistic Regression Formulation</w:t>
      </w:r>
    </w:p>
    <w:p>
      <w:pPr>
        <w:spacing w:before="20" w:after="60"/>
      </w:pPr>
      <w:r>
        <w:rPr>
          <w:rFonts w:ascii="Times New Roman" w:hAnsi="Times New Roman"/>
          <w:color w:val="2D3748"/>
          <w:sz w:val="19"/>
        </w:rPr>
        <w:t>The Document Domain Classifier discriminates across $K = 4$ mutually exclusive classes:</w:t>
      </w:r>
    </w:p>
    <w:p>
      <w:pPr>
        <w:spacing w:before="20" w:after="60"/>
      </w:pPr>
      <w:r>
        <w:rPr>
          <w:rFonts w:ascii="Times New Roman" w:hAnsi="Times New Roman"/>
          <w:color w:val="2D3748"/>
          <w:sz w:val="19"/>
        </w:rPr>
        <w:t>$$P(y = k \mid \mathbf{x}) = \frac{\exp(\mathbf{w}_k^T \mathbf{x} + b_k)}{\sum_{j=1}^K \exp(\mathbf{w}_j^T \mathbf{x} + b_j)}$$</w:t>
      </w:r>
    </w:p>
    <w:p>
      <w:pPr>
        <w:spacing w:before="20" w:after="60"/>
      </w:pPr>
      <w:r>
        <w:rPr>
          <w:rFonts w:ascii="Times New Roman" w:hAnsi="Times New Roman"/>
          <w:color w:val="2D3748"/>
          <w:sz w:val="19"/>
        </w:rPr>
        <w:t>Optimized using the cross-entropy loss with $\ell_2$ weight regularization:</w:t>
      </w:r>
    </w:p>
    <w:p>
      <w:pPr>
        <w:spacing w:before="20" w:after="60"/>
      </w:pPr>
      <w:r>
        <w:rPr>
          <w:rFonts w:ascii="Times New Roman" w:hAnsi="Times New Roman"/>
          <w:color w:val="2D3748"/>
          <w:sz w:val="19"/>
        </w:rPr>
        <w:t>$$\mathcal{L}(\mathbf{W}) = -\frac{1}{N}\sum_{i=1}^N \sum_{k=1}^K \mathbb{I}(y_i = k) \log P(y_i = k \mid \mathbf{x}_i) + \frac{1}{2C} \sum_{k=1}^K \|\mathbf{w}_k\|_2^2$$</w:t>
      </w:r>
    </w:p>
    <w:p>
      <w:pPr>
        <w:spacing w:before="80" w:after="80"/>
        <w:pBdr>
          <w:bottom w:val="single" w:sz="6" w:space="1" w:color="CBD5E1"/>
        </w:pBdr>
      </w:pPr>
    </w:p>
    <w:p>
      <w:pPr>
        <w:spacing w:before="200" w:after="60"/>
      </w:pPr>
      <w:r>
        <w:rPr>
          <w:rFonts w:ascii="Times New Roman" w:hAnsi="Times New Roman"/>
          <w:b/>
          <w:color w:val="0F2D5F"/>
          <w:sz w:val="26"/>
        </w:rPr>
        <w:t>3. System Architecture &amp; Engineering Workflow</w:t>
      </w:r>
    </w:p>
    <w:p>
      <w:pPr>
        <w:spacing w:before="80" w:after="120"/>
        <w:ind w:left="288"/>
      </w:pPr>
      <w:r>
        <w:rPr>
          <w:rFonts w:ascii="Consolas" w:hAnsi="Consolas"/>
          <w:color w:val="1E293B"/>
          <w:sz w:val="17"/>
        </w:rPr>
        <w:t>flowchart TD</w:t>
        <w:br/>
        <w:t xml:space="preserve">    A[Raw Contract: PDF / DOCX / TXT] --&gt; B[Unicode NFKD Normalization]</w:t>
        <w:br/>
        <w:t xml:space="preserve">    B --&gt; C[Legal Regex Tokenizer &amp; Citation Shield]</w:t>
        <w:br/>
        <w:t xml:space="preserve">    C --&gt; D[Deontic-Preserving Stopword Filtering]</w:t>
        <w:br/>
        <w:t xml:space="preserve">    D --&gt; E[Sublinear TF-IDF N-Gram Vectorizer]</w:t>
        <w:br/>
        <w:t xml:space="preserve">    E --&gt; F[Multinomial Logistic Regression Engine]</w:t>
        <w:br/>
        <w:t xml:space="preserve">    F --&gt; G{Predicted Document Domain}</w:t>
        <w:br/>
        <w:t xml:space="preserve">    G --&gt;|Class 0| H[House Property Agreement]</w:t>
        <w:br/>
        <w:t xml:space="preserve">    G --&gt;|Class 1| I[Car Document / RC Sale Deed]</w:t>
        <w:br/>
        <w:t xml:space="preserve">    G --&gt;|Class 2| J[Bank Loan Agreement]</w:t>
        <w:br/>
        <w:t xml:space="preserve">    G --&gt;|Class 3| K[Gold Loan Pledge Agreement]</w:t>
        <w:br/>
        <w:t xml:space="preserve">    E --&gt; L[Portable JSON Weights Exporter]</w:t>
        <w:br/>
        <w:t xml:space="preserve">    L --&gt; M[Node.js Runtime Zero-Dep Inference]</w:t>
      </w:r>
    </w:p>
    <w:p>
      <w:pPr>
        <w:spacing w:before="80" w:after="80"/>
        <w:pBdr>
          <w:bottom w:val="single" w:sz="6" w:space="1" w:color="CBD5E1"/>
        </w:pBdr>
      </w:pPr>
    </w:p>
    <w:p>
      <w:pPr>
        <w:spacing w:before="200" w:after="60"/>
      </w:pPr>
      <w:r>
        <w:rPr>
          <w:rFonts w:ascii="Times New Roman" w:hAnsi="Times New Roman"/>
          <w:b/>
          <w:color w:val="0F2D5F"/>
          <w:sz w:val="26"/>
        </w:rPr>
        <w:t>4. Technical Implementation &amp; Code Artifacts</w:t>
      </w:r>
    </w:p>
    <w:p>
      <w:pPr>
        <w:spacing w:before="160" w:after="40"/>
      </w:pPr>
      <w:r>
        <w:rPr>
          <w:rFonts w:ascii="Times New Roman" w:hAnsi="Times New Roman"/>
          <w:b/>
          <w:color w:val="FF6A0D"/>
          <w:sz w:val="22"/>
        </w:rPr>
        <w:t>4.1 Custom Legal Text Preprocessor (`nlp_preprocessor.py`)</w:t>
      </w:r>
    </w:p>
    <w:p>
      <w:pPr>
        <w:spacing w:before="80" w:after="120"/>
        <w:ind w:left="288"/>
      </w:pPr>
      <w:r>
        <w:rPr>
          <w:rFonts w:ascii="Consolas" w:hAnsi="Consolas"/>
          <w:color w:val="1E293B"/>
          <w:sz w:val="17"/>
        </w:rPr>
        <w:t>import re</w:t>
        <w:br/>
        <w:t>import unicodedata</w:t>
        <w:br/>
        <w:br/>
        <w:t>class LegalNLPPreprocessor:</w:t>
        <w:br/>
        <w:t xml:space="preserve">    def __init__(self):</w:t>
        <w:br/>
        <w:t xml:space="preserve">        # Shield statutory legal patterns before generic cleaning</w:t>
        <w:br/>
        <w:t xml:space="preserve">        self.statute_pattern = re.compile(r'(Sec\.|Section|Art\.|Article|Rule)\s+\d+([A-Za-z]*)', re.IGNORECASE)</w:t>
        <w:br/>
        <w:t xml:space="preserve">        self.currency_pattern = re.compile(r'(?:Rs\.?|INR|\₹)\s*[\d,]+(?:\.\d{2})?', re.IGNORECASE)</w:t>
        <w:br/>
        <w:br/>
        <w:t xml:space="preserve">        # Deontic markers strictly preserved</w:t>
        <w:br/>
        <w:t xml:space="preserve">        self.deontic_whitelist = {</w:t>
        <w:br/>
        <w:t xml:space="preserve">            'shall', 'must', 'liable', 'forthwith', 'indemnify',</w:t>
        <w:br/>
        <w:t xml:space="preserve">            'forfeit', 'default', 'pledge', 'hypothecation', 'breach'</w:t>
        <w:br/>
        <w:t xml:space="preserve">        }</w:t>
        <w:br/>
        <w:br/>
        <w:t xml:space="preserve">    def normalize_text(self, text: str) -&gt; str:</w:t>
        <w:br/>
        <w:t xml:space="preserve">        """Unicode NFKD normalization and whitespace homogenization"""</w:t>
        <w:br/>
        <w:t xml:space="preserve">        if not text:</w:t>
        <w:br/>
        <w:t xml:space="preserve">            return ""</w:t>
        <w:br/>
        <w:t xml:space="preserve">        # Decompose non-standard ligatures &amp; accent marks</w:t>
        <w:br/>
        <w:t xml:space="preserve">        normalized = unicodedata.normalize('NFKD', text)</w:t>
        <w:br/>
        <w:t xml:space="preserve">        # Regularize multi-space &amp; irregular newline artifacts</w:t>
        <w:br/>
        <w:t xml:space="preserve">        normalized = re.sub(r'[\r\t\f\v]', ' ', normalized)</w:t>
        <w:br/>
        <w:t xml:space="preserve">        normalized = re.sub(r' {2,}', ' ', normalized)</w:t>
        <w:br/>
        <w:t xml:space="preserve">        return normalized.strip()</w:t>
        <w:br/>
        <w:br/>
        <w:t xml:space="preserve">    def legal_tokenize(self, text: str) -&gt; list:</w:t>
        <w:br/>
        <w:t xml:space="preserve">        """Custom regex tokenizer preserving hyphenated legal terms and citations"""</w:t>
        <w:br/>
        <w:t xml:space="preserve">        clean_text = self.normalize_text(text)</w:t>
        <w:br/>
        <w:t xml:space="preserve">        token_pattern = re.compile(r'\b[A-Za-z]+(?:-[A-Za-z]+)*\b|\b\d+(?:[A-Za-z]+)?\b')</w:t>
        <w:br/>
        <w:t xml:space="preserve">        tokens = token_pattern.findall(clean_text.lower())</w:t>
        <w:br/>
        <w:t xml:space="preserve">        return tokens</w:t>
      </w:r>
    </w:p>
    <w:p>
      <w:pPr>
        <w:spacing w:before="160" w:after="40"/>
      </w:pPr>
      <w:r>
        <w:rPr>
          <w:rFonts w:ascii="Times New Roman" w:hAnsi="Times New Roman"/>
          <w:b/>
          <w:color w:val="FF6A0D"/>
          <w:sz w:val="22"/>
        </w:rPr>
        <w:t>4.2 Document Classifier Pipeline &amp; Training Workflow</w:t>
      </w:r>
    </w:p>
    <w:p>
      <w:pPr>
        <w:spacing w:before="80" w:after="120"/>
        <w:ind w:left="288"/>
      </w:pPr>
      <w:r>
        <w:rPr>
          <w:rFonts w:ascii="Consolas" w:hAnsi="Consolas"/>
          <w:color w:val="1E293B"/>
          <w:sz w:val="17"/>
        </w:rPr>
        <w:t>from sklearn.feature_extraction.text import TfidfVectorizer</w:t>
        <w:br/>
        <w:t>from sklearn.linear_model import LogisticRegression</w:t>
        <w:br/>
        <w:t>from sklearn.pipeline import Pipeline</w:t>
        <w:br/>
        <w:t>from sklearn.model_selection import StratifiedKFold, cross_val_score</w:t>
        <w:br/>
        <w:br/>
        <w:t>def build_document_classifier():</w:t>
        <w:br/>
        <w:t xml:space="preserve">    pipeline = Pipeline([</w:t>
        <w:br/>
        <w:t xml:space="preserve">        ('tfidf', TfidfVectorizer(</w:t>
        <w:br/>
        <w:t xml:space="preserve">            ngram_range=(1, 2),</w:t>
        <w:br/>
        <w:t xml:space="preserve">            sublinear_tf=True,</w:t>
        <w:br/>
        <w:t xml:space="preserve">            min_df=2,</w:t>
        <w:br/>
        <w:t xml:space="preserve">            max_df=0.90,</w:t>
        <w:br/>
        <w:t xml:space="preserve">            norm='l2'</w:t>
        <w:br/>
        <w:t xml:space="preserve">        )),</w:t>
        <w:br/>
        <w:t xml:space="preserve">        ('clf', LogisticRegression(</w:t>
        <w:br/>
        <w:t xml:space="preserve">            C=5.0,</w:t>
        <w:br/>
        <w:t xml:space="preserve">            max_iter=1000,</w:t>
        <w:br/>
        <w:t xml:space="preserve">            class_weight='balanced',</w:t>
        <w:br/>
        <w:t xml:space="preserve">            random_state=42</w:t>
        <w:br/>
        <w:t xml:space="preserve">        ))</w:t>
        <w:br/>
        <w:t xml:space="preserve">    ])</w:t>
        <w:br/>
        <w:t xml:space="preserve">    return pipeline</w:t>
      </w:r>
    </w:p>
    <w:p>
      <w:pPr>
        <w:spacing w:before="160" w:after="40"/>
      </w:pPr>
      <w:r>
        <w:rPr>
          <w:rFonts w:ascii="Times New Roman" w:hAnsi="Times New Roman"/>
          <w:b/>
          <w:color w:val="FF6A0D"/>
          <w:sz w:val="22"/>
        </w:rPr>
        <w:t>4.3 Portable JSON Weights Export (`portable_nlp_weights.json`)</w:t>
      </w:r>
    </w:p>
    <w:p>
      <w:pPr>
        <w:spacing w:before="20" w:after="60"/>
      </w:pPr>
      <w:r>
        <w:rPr>
          <w:rFonts w:ascii="Times New Roman" w:hAnsi="Times New Roman"/>
          <w:color w:val="2D3748"/>
          <w:sz w:val="19"/>
        </w:rPr>
        <w:t>To enable the Express.js server to run millisecond inference without a heavy Python runtime dependency in production, V. Brunda engineered an automated exporter that serializes:</w:t>
      </w:r>
    </w:p>
    <w:p>
      <w:pPr>
        <w:pStyle w:val="ListBullet"/>
        <w:spacing w:before="20" w:after="40"/>
      </w:pPr>
      <w:r>
        <w:rPr>
          <w:rFonts w:ascii="Times New Roman" w:hAnsi="Times New Roman"/>
          <w:color w:val="2D3748"/>
          <w:sz w:val="19"/>
        </w:rPr>
        <w:t>Full vocabulary map `{"term": feature_index}`</w:t>
      </w:r>
    </w:p>
    <w:p>
      <w:pPr>
        <w:pStyle w:val="ListBullet"/>
        <w:spacing w:before="20" w:after="40"/>
      </w:pPr>
      <w:r>
        <w:rPr>
          <w:rFonts w:ascii="Times New Roman" w:hAnsi="Times New Roman"/>
          <w:color w:val="2D3748"/>
          <w:sz w:val="19"/>
        </w:rPr>
        <w:t>IDF weight vector $\mathbf{idf} \in \mathbb{R}^{V}$</w:t>
      </w:r>
    </w:p>
    <w:p>
      <w:pPr>
        <w:pStyle w:val="ListBullet"/>
        <w:spacing w:before="20" w:after="40"/>
      </w:pPr>
      <w:r>
        <w:rPr>
          <w:rFonts w:ascii="Times New Roman" w:hAnsi="Times New Roman"/>
          <w:color w:val="2D3748"/>
          <w:sz w:val="19"/>
        </w:rPr>
        <w:t>Intercept vector $\mathbf{b} \in \mathbb{R}^{K}$</w:t>
      </w:r>
    </w:p>
    <w:p>
      <w:pPr>
        <w:pStyle w:val="ListBullet"/>
        <w:spacing w:before="20" w:after="40"/>
      </w:pPr>
      <w:r>
        <w:rPr>
          <w:rFonts w:ascii="Times New Roman" w:hAnsi="Times New Roman"/>
          <w:color w:val="2D3748"/>
          <w:sz w:val="19"/>
        </w:rPr>
        <w:t>Logistic regression coefficient matrix $\mathbf{W} \in \mathbb{R}^{K \times V}$</w:t>
      </w:r>
    </w:p>
    <w:p>
      <w:pPr>
        <w:spacing w:before="80" w:after="80"/>
        <w:pBdr>
          <w:bottom w:val="single" w:sz="6" w:space="1" w:color="CBD5E1"/>
        </w:pBdr>
      </w:pPr>
    </w:p>
    <w:p>
      <w:pPr>
        <w:spacing w:before="200" w:after="60"/>
      </w:pPr>
      <w:r>
        <w:rPr>
          <w:rFonts w:ascii="Times New Roman" w:hAnsi="Times New Roman"/>
          <w:b/>
          <w:color w:val="0F2D5F"/>
          <w:sz w:val="26"/>
        </w:rPr>
        <w:t>5. Experimental Results, Metrics &amp; Benchmark Validation</w:t>
      </w:r>
    </w:p>
    <w:p>
      <w:pPr>
        <w:spacing w:before="20" w:after="60"/>
      </w:pPr>
      <w:r>
        <w:rPr>
          <w:rFonts w:ascii="Times New Roman" w:hAnsi="Times New Roman"/>
          <w:color w:val="2D3748"/>
          <w:sz w:val="19"/>
        </w:rPr>
        <w:t xml:space="preserve">The model was rigorously validated across 252 augmented and ground-truth Indian legal contracts via </w:t>
      </w:r>
      <w:r>
        <w:rPr>
          <w:rFonts w:ascii="Times New Roman" w:hAnsi="Times New Roman"/>
          <w:b/>
          <w:color w:val="2D3748"/>
          <w:sz w:val="19"/>
        </w:rPr>
        <w:t>5-Fold Stratified Cross-Validation</w:t>
      </w:r>
      <w:r>
        <w:rPr>
          <w:rFonts w:ascii="Times New Roman" w:hAnsi="Times New Roman"/>
          <w:color w:val="2D3748"/>
          <w:sz w:val="19"/>
        </w:rPr>
        <w:t xml:space="preserve"> and an independent held-out test partition.</w:t>
      </w:r>
    </w:p>
    <w:p>
      <w:pPr>
        <w:spacing w:before="160" w:after="40"/>
      </w:pPr>
      <w:r>
        <w:rPr>
          <w:rFonts w:ascii="Times New Roman" w:hAnsi="Times New Roman"/>
          <w:b/>
          <w:color w:val="FF6A0D"/>
          <w:sz w:val="22"/>
        </w:rPr>
        <w:t>5.1 Document Domain Classification Performance</w:t>
      </w:r>
    </w:p>
    <w:tbl>
      <w:tblPr>
        <w:tblW w:type="auto" w:w="0"/>
        <w:jc w:val="center"/>
        <w:tblLayout w:type="autofit"/>
        <w:tblLook w:firstColumn="1" w:firstRow="1" w:lastColumn="0" w:lastRow="0" w:noHBand="0" w:noVBand="1" w:val="04A0"/>
      </w:tblPr>
      <w:tblGrid>
        <w:gridCol w:w="1680"/>
        <w:gridCol w:w="1680"/>
        <w:gridCol w:w="1680"/>
        <w:gridCol w:w="1680"/>
        <w:gridCol w:w="1680"/>
        <w:gridCol w:w="1680"/>
      </w:tblGrid>
      <w:tr>
        <w:tc>
          <w:tcPr>
            <w:tcW w:type="dxa" w:w="1680"/>
            <w:shd w:fill="0F2D5F"/>
            <w:tcMar>
              <w:top w:w="60" w:type="dxa"/>
              <w:bottom w:w="60" w:type="dxa"/>
              <w:left w:w="100" w:type="dxa"/>
              <w:right w:w="100" w:type="dxa"/>
            </w:tcMar>
          </w:tcPr>
          <w:p>
            <w:pPr>
              <w:spacing w:before="40" w:after="40"/>
            </w:pPr>
            <w:r/>
            <w:r>
              <w:rPr>
                <w:rFonts w:ascii="Times New Roman" w:hAnsi="Times New Roman"/>
                <w:b/>
                <w:color w:val="FFFFFF"/>
                <w:sz w:val="17"/>
              </w:rPr>
              <w:t>Legal Document Domain</w:t>
            </w:r>
          </w:p>
        </w:tc>
        <w:tc>
          <w:tcPr>
            <w:tcW w:type="dxa" w:w="1680"/>
            <w:shd w:fill="0F2D5F"/>
            <w:tcMar>
              <w:top w:w="60" w:type="dxa"/>
              <w:bottom w:w="60" w:type="dxa"/>
              <w:left w:w="100" w:type="dxa"/>
              <w:right w:w="100" w:type="dxa"/>
            </w:tcMar>
          </w:tcPr>
          <w:p>
            <w:pPr>
              <w:spacing w:before="40" w:after="40"/>
            </w:pPr>
            <w:r/>
            <w:r>
              <w:rPr>
                <w:rFonts w:ascii="Times New Roman" w:hAnsi="Times New Roman"/>
                <w:b/>
                <w:color w:val="FFFFFF"/>
                <w:sz w:val="17"/>
              </w:rPr>
              <w:t>Precision</w:t>
            </w:r>
          </w:p>
        </w:tc>
        <w:tc>
          <w:tcPr>
            <w:tcW w:type="dxa" w:w="1680"/>
            <w:shd w:fill="0F2D5F"/>
            <w:tcMar>
              <w:top w:w="60" w:type="dxa"/>
              <w:bottom w:w="60" w:type="dxa"/>
              <w:left w:w="100" w:type="dxa"/>
              <w:right w:w="100" w:type="dxa"/>
            </w:tcMar>
          </w:tcPr>
          <w:p>
            <w:pPr>
              <w:spacing w:before="40" w:after="40"/>
            </w:pPr>
            <w:r/>
            <w:r>
              <w:rPr>
                <w:rFonts w:ascii="Times New Roman" w:hAnsi="Times New Roman"/>
                <w:b/>
                <w:color w:val="FFFFFF"/>
                <w:sz w:val="17"/>
              </w:rPr>
              <w:t>Recall</w:t>
            </w:r>
          </w:p>
        </w:tc>
        <w:tc>
          <w:tcPr>
            <w:tcW w:type="dxa" w:w="1680"/>
            <w:shd w:fill="0F2D5F"/>
            <w:tcMar>
              <w:top w:w="60" w:type="dxa"/>
              <w:bottom w:w="60" w:type="dxa"/>
              <w:left w:w="100" w:type="dxa"/>
              <w:right w:w="100" w:type="dxa"/>
            </w:tcMar>
          </w:tcPr>
          <w:p>
            <w:pPr>
              <w:spacing w:before="40" w:after="40"/>
            </w:pPr>
            <w:r/>
            <w:r>
              <w:rPr>
                <w:rFonts w:ascii="Times New Roman" w:hAnsi="Times New Roman"/>
                <w:b/>
                <w:color w:val="FFFFFF"/>
                <w:sz w:val="17"/>
              </w:rPr>
              <w:t>F1-Score</w:t>
            </w:r>
          </w:p>
        </w:tc>
        <w:tc>
          <w:tcPr>
            <w:tcW w:type="dxa" w:w="1680"/>
            <w:shd w:fill="0F2D5F"/>
            <w:tcMar>
              <w:top w:w="60" w:type="dxa"/>
              <w:bottom w:w="60" w:type="dxa"/>
              <w:left w:w="100" w:type="dxa"/>
              <w:right w:w="100" w:type="dxa"/>
            </w:tcMar>
          </w:tcPr>
          <w:p>
            <w:pPr>
              <w:spacing w:before="40" w:after="40"/>
            </w:pPr>
            <w:r/>
            <w:r>
              <w:rPr>
                <w:rFonts w:ascii="Times New Roman" w:hAnsi="Times New Roman"/>
                <w:b/>
                <w:color w:val="FFFFFF"/>
                <w:sz w:val="17"/>
              </w:rPr>
              <w:t>Support (Held-Out)</w:t>
            </w:r>
          </w:p>
        </w:tc>
        <w:tc>
          <w:tcPr>
            <w:tcW w:type="dxa" w:w="1680"/>
            <w:shd w:fill="0F2D5F"/>
            <w:tcMar>
              <w:top w:w="60" w:type="dxa"/>
              <w:bottom w:w="60" w:type="dxa"/>
              <w:left w:w="100" w:type="dxa"/>
              <w:right w:w="100" w:type="dxa"/>
            </w:tcMar>
          </w:tcPr>
          <w:p>
            <w:pPr>
              <w:spacing w:before="40" w:after="40"/>
            </w:pPr>
            <w:r/>
            <w:r>
              <w:rPr>
                <w:rFonts w:ascii="Times New Roman" w:hAnsi="Times New Roman"/>
                <w:b/>
                <w:color w:val="FFFFFF"/>
                <w:sz w:val="17"/>
              </w:rPr>
              <w:t>Primary Statutory Grounding</w:t>
            </w:r>
          </w:p>
        </w:tc>
      </w:tr>
      <w:tr>
        <w:tc>
          <w:tcPr>
            <w:tcW w:type="dxa" w:w="1680"/>
            <w:shd w:fill="FFFFFF"/>
            <w:tcMar>
              <w:top w:w="60" w:type="dxa"/>
              <w:bottom w:w="60" w:type="dxa"/>
              <w:left w:w="100" w:type="dxa"/>
              <w:right w:w="100" w:type="dxa"/>
            </w:tcMar>
          </w:tcPr>
          <w:p>
            <w:pPr>
              <w:spacing w:before="40" w:after="40"/>
            </w:pPr>
            <w:r/>
            <w:r>
              <w:rPr>
                <w:rFonts w:ascii="Times New Roman" w:hAnsi="Times New Roman"/>
                <w:sz w:val="17"/>
              </w:rPr>
              <w:t>House Property</w:t>
            </w:r>
          </w:p>
        </w:tc>
        <w:tc>
          <w:tcPr>
            <w:tcW w:type="dxa" w:w="1680"/>
            <w:shd w:fill="FFFFFF"/>
            <w:tcMar>
              <w:top w:w="60" w:type="dxa"/>
              <w:bottom w:w="60" w:type="dxa"/>
              <w:left w:w="100" w:type="dxa"/>
              <w:right w:w="100" w:type="dxa"/>
            </w:tcMar>
          </w:tcPr>
          <w:p>
            <w:pPr>
              <w:spacing w:before="40" w:after="40"/>
            </w:pPr>
            <w:r/>
            <w:r>
              <w:rPr>
                <w:rFonts w:ascii="Times New Roman" w:hAnsi="Times New Roman"/>
                <w:sz w:val="17"/>
              </w:rPr>
              <w:t>1.0000</w:t>
            </w:r>
          </w:p>
        </w:tc>
        <w:tc>
          <w:tcPr>
            <w:tcW w:type="dxa" w:w="1680"/>
            <w:shd w:fill="FFFFFF"/>
            <w:tcMar>
              <w:top w:w="60" w:type="dxa"/>
              <w:bottom w:w="60" w:type="dxa"/>
              <w:left w:w="100" w:type="dxa"/>
              <w:right w:w="100" w:type="dxa"/>
            </w:tcMar>
          </w:tcPr>
          <w:p>
            <w:pPr>
              <w:spacing w:before="40" w:after="40"/>
            </w:pPr>
            <w:r/>
            <w:r>
              <w:rPr>
                <w:rFonts w:ascii="Times New Roman" w:hAnsi="Times New Roman"/>
                <w:sz w:val="17"/>
              </w:rPr>
              <w:t>1.0000</w:t>
            </w:r>
          </w:p>
        </w:tc>
        <w:tc>
          <w:tcPr>
            <w:tcW w:type="dxa" w:w="1680"/>
            <w:shd w:fill="FFFFFF"/>
            <w:tcMar>
              <w:top w:w="60" w:type="dxa"/>
              <w:bottom w:w="60" w:type="dxa"/>
              <w:left w:w="100" w:type="dxa"/>
              <w:right w:w="100" w:type="dxa"/>
            </w:tcMar>
          </w:tcPr>
          <w:p>
            <w:pPr>
              <w:spacing w:before="40" w:after="40"/>
            </w:pPr>
            <w:r/>
            <w:r>
              <w:rPr>
                <w:rFonts w:ascii="Times New Roman" w:hAnsi="Times New Roman"/>
                <w:sz w:val="17"/>
              </w:rPr>
              <w:t>1.0000</w:t>
            </w:r>
          </w:p>
        </w:tc>
        <w:tc>
          <w:tcPr>
            <w:tcW w:type="dxa" w:w="1680"/>
            <w:shd w:fill="FFFFFF"/>
            <w:tcMar>
              <w:top w:w="60" w:type="dxa"/>
              <w:bottom w:w="60" w:type="dxa"/>
              <w:left w:w="100" w:type="dxa"/>
              <w:right w:w="100" w:type="dxa"/>
            </w:tcMar>
          </w:tcPr>
          <w:p>
            <w:pPr>
              <w:spacing w:before="40" w:after="40"/>
            </w:pPr>
            <w:r/>
            <w:r>
              <w:rPr>
                <w:rFonts w:ascii="Times New Roman" w:hAnsi="Times New Roman"/>
                <w:sz w:val="17"/>
              </w:rPr>
              <w:t>37</w:t>
            </w:r>
          </w:p>
        </w:tc>
        <w:tc>
          <w:tcPr>
            <w:tcW w:type="dxa" w:w="1680"/>
            <w:shd w:fill="FFFFFF"/>
            <w:tcMar>
              <w:top w:w="60" w:type="dxa"/>
              <w:bottom w:w="60" w:type="dxa"/>
              <w:left w:w="100" w:type="dxa"/>
              <w:right w:w="100" w:type="dxa"/>
            </w:tcMar>
          </w:tcPr>
          <w:p>
            <w:pPr>
              <w:spacing w:before="40" w:after="40"/>
            </w:pPr>
            <w:r/>
            <w:r>
              <w:rPr>
                <w:rFonts w:ascii="Times New Roman" w:hAnsi="Times New Roman"/>
                <w:sz w:val="17"/>
              </w:rPr>
              <w:t>Transfer of Property Act 1882, RERA 2016</w:t>
            </w:r>
          </w:p>
        </w:tc>
      </w:tr>
      <w:tr>
        <w:tc>
          <w:tcPr>
            <w:tcW w:type="dxa" w:w="1680"/>
            <w:shd w:fill="F8FAFC"/>
            <w:tcMar>
              <w:top w:w="60" w:type="dxa"/>
              <w:bottom w:w="60" w:type="dxa"/>
              <w:left w:w="100" w:type="dxa"/>
              <w:right w:w="100" w:type="dxa"/>
            </w:tcMar>
          </w:tcPr>
          <w:p>
            <w:pPr>
              <w:spacing w:before="40" w:after="40"/>
            </w:pPr>
            <w:r/>
            <w:r>
              <w:rPr>
                <w:rFonts w:ascii="Times New Roman" w:hAnsi="Times New Roman"/>
                <w:sz w:val="17"/>
              </w:rPr>
              <w:t>Car Documents</w:t>
            </w:r>
          </w:p>
        </w:tc>
        <w:tc>
          <w:tcPr>
            <w:tcW w:type="dxa" w:w="1680"/>
            <w:shd w:fill="F8FAFC"/>
            <w:tcMar>
              <w:top w:w="60" w:type="dxa"/>
              <w:bottom w:w="60" w:type="dxa"/>
              <w:left w:w="100" w:type="dxa"/>
              <w:right w:w="100" w:type="dxa"/>
            </w:tcMar>
          </w:tcPr>
          <w:p>
            <w:pPr>
              <w:spacing w:before="40" w:after="40"/>
            </w:pPr>
            <w:r/>
            <w:r>
              <w:rPr>
                <w:rFonts w:ascii="Times New Roman" w:hAnsi="Times New Roman"/>
                <w:sz w:val="17"/>
              </w:rPr>
              <w:t>1.0000</w:t>
            </w:r>
          </w:p>
        </w:tc>
        <w:tc>
          <w:tcPr>
            <w:tcW w:type="dxa" w:w="1680"/>
            <w:shd w:fill="F8FAFC"/>
            <w:tcMar>
              <w:top w:w="60" w:type="dxa"/>
              <w:bottom w:w="60" w:type="dxa"/>
              <w:left w:w="100" w:type="dxa"/>
              <w:right w:w="100" w:type="dxa"/>
            </w:tcMar>
          </w:tcPr>
          <w:p>
            <w:pPr>
              <w:spacing w:before="40" w:after="40"/>
            </w:pPr>
            <w:r/>
            <w:r>
              <w:rPr>
                <w:rFonts w:ascii="Times New Roman" w:hAnsi="Times New Roman"/>
                <w:sz w:val="17"/>
              </w:rPr>
              <w:t>1.0000</w:t>
            </w:r>
          </w:p>
        </w:tc>
        <w:tc>
          <w:tcPr>
            <w:tcW w:type="dxa" w:w="1680"/>
            <w:shd w:fill="F8FAFC"/>
            <w:tcMar>
              <w:top w:w="60" w:type="dxa"/>
              <w:bottom w:w="60" w:type="dxa"/>
              <w:left w:w="100" w:type="dxa"/>
              <w:right w:w="100" w:type="dxa"/>
            </w:tcMar>
          </w:tcPr>
          <w:p>
            <w:pPr>
              <w:spacing w:before="40" w:after="40"/>
            </w:pPr>
            <w:r/>
            <w:r>
              <w:rPr>
                <w:rFonts w:ascii="Times New Roman" w:hAnsi="Times New Roman"/>
                <w:sz w:val="17"/>
              </w:rPr>
              <w:t>1.0000</w:t>
            </w:r>
          </w:p>
        </w:tc>
        <w:tc>
          <w:tcPr>
            <w:tcW w:type="dxa" w:w="1680"/>
            <w:shd w:fill="F8FAFC"/>
            <w:tcMar>
              <w:top w:w="60" w:type="dxa"/>
              <w:bottom w:w="60" w:type="dxa"/>
              <w:left w:w="100" w:type="dxa"/>
              <w:right w:w="100" w:type="dxa"/>
            </w:tcMar>
          </w:tcPr>
          <w:p>
            <w:pPr>
              <w:spacing w:before="40" w:after="40"/>
            </w:pPr>
            <w:r/>
            <w:r>
              <w:rPr>
                <w:rFonts w:ascii="Times New Roman" w:hAnsi="Times New Roman"/>
                <w:sz w:val="17"/>
              </w:rPr>
              <w:t>12</w:t>
            </w:r>
          </w:p>
        </w:tc>
        <w:tc>
          <w:tcPr>
            <w:tcW w:type="dxa" w:w="1680"/>
            <w:shd w:fill="F8FAFC"/>
            <w:tcMar>
              <w:top w:w="60" w:type="dxa"/>
              <w:bottom w:w="60" w:type="dxa"/>
              <w:left w:w="100" w:type="dxa"/>
              <w:right w:w="100" w:type="dxa"/>
            </w:tcMar>
          </w:tcPr>
          <w:p>
            <w:pPr>
              <w:spacing w:before="40" w:after="40"/>
            </w:pPr>
            <w:r/>
            <w:r>
              <w:rPr>
                <w:rFonts w:ascii="Times New Roman" w:hAnsi="Times New Roman"/>
                <w:sz w:val="17"/>
              </w:rPr>
              <w:t>Motor Vehicles Act 1988, Form 29/30 Rules</w:t>
            </w:r>
          </w:p>
        </w:tc>
      </w:tr>
      <w:tr>
        <w:tc>
          <w:tcPr>
            <w:tcW w:type="dxa" w:w="1680"/>
            <w:shd w:fill="FFFFFF"/>
            <w:tcMar>
              <w:top w:w="60" w:type="dxa"/>
              <w:bottom w:w="60" w:type="dxa"/>
              <w:left w:w="100" w:type="dxa"/>
              <w:right w:w="100" w:type="dxa"/>
            </w:tcMar>
          </w:tcPr>
          <w:p>
            <w:pPr>
              <w:spacing w:before="40" w:after="40"/>
            </w:pPr>
            <w:r/>
            <w:r>
              <w:rPr>
                <w:rFonts w:ascii="Times New Roman" w:hAnsi="Times New Roman"/>
                <w:sz w:val="17"/>
              </w:rPr>
              <w:t>Bank Loan Agreement</w:t>
            </w:r>
          </w:p>
        </w:tc>
        <w:tc>
          <w:tcPr>
            <w:tcW w:type="dxa" w:w="1680"/>
            <w:shd w:fill="FFFFFF"/>
            <w:tcMar>
              <w:top w:w="60" w:type="dxa"/>
              <w:bottom w:w="60" w:type="dxa"/>
              <w:left w:w="100" w:type="dxa"/>
              <w:right w:w="100" w:type="dxa"/>
            </w:tcMar>
          </w:tcPr>
          <w:p>
            <w:pPr>
              <w:spacing w:before="40" w:after="40"/>
            </w:pPr>
            <w:r/>
            <w:r>
              <w:rPr>
                <w:rFonts w:ascii="Times New Roman" w:hAnsi="Times New Roman"/>
                <w:sz w:val="17"/>
              </w:rPr>
              <w:t>1.0000</w:t>
            </w:r>
          </w:p>
        </w:tc>
        <w:tc>
          <w:tcPr>
            <w:tcW w:type="dxa" w:w="1680"/>
            <w:shd w:fill="FFFFFF"/>
            <w:tcMar>
              <w:top w:w="60" w:type="dxa"/>
              <w:bottom w:w="60" w:type="dxa"/>
              <w:left w:w="100" w:type="dxa"/>
              <w:right w:w="100" w:type="dxa"/>
            </w:tcMar>
          </w:tcPr>
          <w:p>
            <w:pPr>
              <w:spacing w:before="40" w:after="40"/>
            </w:pPr>
            <w:r/>
            <w:r>
              <w:rPr>
                <w:rFonts w:ascii="Times New Roman" w:hAnsi="Times New Roman"/>
                <w:sz w:val="17"/>
              </w:rPr>
              <w:t>1.0000</w:t>
            </w:r>
          </w:p>
        </w:tc>
        <w:tc>
          <w:tcPr>
            <w:tcW w:type="dxa" w:w="1680"/>
            <w:shd w:fill="FFFFFF"/>
            <w:tcMar>
              <w:top w:w="60" w:type="dxa"/>
              <w:bottom w:w="60" w:type="dxa"/>
              <w:left w:w="100" w:type="dxa"/>
              <w:right w:w="100" w:type="dxa"/>
            </w:tcMar>
          </w:tcPr>
          <w:p>
            <w:pPr>
              <w:spacing w:before="40" w:after="40"/>
            </w:pPr>
            <w:r/>
            <w:r>
              <w:rPr>
                <w:rFonts w:ascii="Times New Roman" w:hAnsi="Times New Roman"/>
                <w:sz w:val="17"/>
              </w:rPr>
              <w:t>1.0000</w:t>
            </w:r>
          </w:p>
        </w:tc>
        <w:tc>
          <w:tcPr>
            <w:tcW w:type="dxa" w:w="1680"/>
            <w:shd w:fill="FFFFFF"/>
            <w:tcMar>
              <w:top w:w="60" w:type="dxa"/>
              <w:bottom w:w="60" w:type="dxa"/>
              <w:left w:w="100" w:type="dxa"/>
              <w:right w:w="100" w:type="dxa"/>
            </w:tcMar>
          </w:tcPr>
          <w:p>
            <w:pPr>
              <w:spacing w:before="40" w:after="40"/>
            </w:pPr>
            <w:r/>
            <w:r>
              <w:rPr>
                <w:rFonts w:ascii="Times New Roman" w:hAnsi="Times New Roman"/>
                <w:sz w:val="17"/>
              </w:rPr>
              <w:t>7</w:t>
            </w:r>
          </w:p>
        </w:tc>
        <w:tc>
          <w:tcPr>
            <w:tcW w:type="dxa" w:w="1680"/>
            <w:shd w:fill="FFFFFF"/>
            <w:tcMar>
              <w:top w:w="60" w:type="dxa"/>
              <w:bottom w:w="60" w:type="dxa"/>
              <w:left w:w="100" w:type="dxa"/>
              <w:right w:w="100" w:type="dxa"/>
            </w:tcMar>
          </w:tcPr>
          <w:p>
            <w:pPr>
              <w:spacing w:before="40" w:after="40"/>
            </w:pPr>
            <w:r/>
            <w:r>
              <w:rPr>
                <w:rFonts w:ascii="Times New Roman" w:hAnsi="Times New Roman"/>
                <w:sz w:val="17"/>
              </w:rPr>
              <w:t>Banking Regulation Act 1949, SARFAESI 2002</w:t>
            </w:r>
          </w:p>
        </w:tc>
      </w:tr>
      <w:tr>
        <w:tc>
          <w:tcPr>
            <w:tcW w:type="dxa" w:w="1680"/>
            <w:shd w:fill="F8FAFC"/>
            <w:tcMar>
              <w:top w:w="60" w:type="dxa"/>
              <w:bottom w:w="60" w:type="dxa"/>
              <w:left w:w="100" w:type="dxa"/>
              <w:right w:w="100" w:type="dxa"/>
            </w:tcMar>
          </w:tcPr>
          <w:p>
            <w:pPr>
              <w:spacing w:before="40" w:after="40"/>
            </w:pPr>
            <w:r/>
            <w:r>
              <w:rPr>
                <w:rFonts w:ascii="Times New Roman" w:hAnsi="Times New Roman"/>
                <w:sz w:val="17"/>
              </w:rPr>
              <w:t>Gold Loan Agreement</w:t>
            </w:r>
          </w:p>
        </w:tc>
        <w:tc>
          <w:tcPr>
            <w:tcW w:type="dxa" w:w="1680"/>
            <w:shd w:fill="F8FAFC"/>
            <w:tcMar>
              <w:top w:w="60" w:type="dxa"/>
              <w:bottom w:w="60" w:type="dxa"/>
              <w:left w:w="100" w:type="dxa"/>
              <w:right w:w="100" w:type="dxa"/>
            </w:tcMar>
          </w:tcPr>
          <w:p>
            <w:pPr>
              <w:spacing w:before="40" w:after="40"/>
            </w:pPr>
            <w:r/>
            <w:r>
              <w:rPr>
                <w:rFonts w:ascii="Times New Roman" w:hAnsi="Times New Roman"/>
                <w:sz w:val="17"/>
              </w:rPr>
              <w:t>1.0000</w:t>
            </w:r>
          </w:p>
        </w:tc>
        <w:tc>
          <w:tcPr>
            <w:tcW w:type="dxa" w:w="1680"/>
            <w:shd w:fill="F8FAFC"/>
            <w:tcMar>
              <w:top w:w="60" w:type="dxa"/>
              <w:bottom w:w="60" w:type="dxa"/>
              <w:left w:w="100" w:type="dxa"/>
              <w:right w:w="100" w:type="dxa"/>
            </w:tcMar>
          </w:tcPr>
          <w:p>
            <w:pPr>
              <w:spacing w:before="40" w:after="40"/>
            </w:pPr>
            <w:r/>
            <w:r>
              <w:rPr>
                <w:rFonts w:ascii="Times New Roman" w:hAnsi="Times New Roman"/>
                <w:sz w:val="17"/>
              </w:rPr>
              <w:t>1.0000</w:t>
            </w:r>
          </w:p>
        </w:tc>
        <w:tc>
          <w:tcPr>
            <w:tcW w:type="dxa" w:w="1680"/>
            <w:shd w:fill="F8FAFC"/>
            <w:tcMar>
              <w:top w:w="60" w:type="dxa"/>
              <w:bottom w:w="60" w:type="dxa"/>
              <w:left w:w="100" w:type="dxa"/>
              <w:right w:w="100" w:type="dxa"/>
            </w:tcMar>
          </w:tcPr>
          <w:p>
            <w:pPr>
              <w:spacing w:before="40" w:after="40"/>
            </w:pPr>
            <w:r/>
            <w:r>
              <w:rPr>
                <w:rFonts w:ascii="Times New Roman" w:hAnsi="Times New Roman"/>
                <w:sz w:val="17"/>
              </w:rPr>
              <w:t>1.0000</w:t>
            </w:r>
          </w:p>
        </w:tc>
        <w:tc>
          <w:tcPr>
            <w:tcW w:type="dxa" w:w="1680"/>
            <w:shd w:fill="F8FAFC"/>
            <w:tcMar>
              <w:top w:w="60" w:type="dxa"/>
              <w:bottom w:w="60" w:type="dxa"/>
              <w:left w:w="100" w:type="dxa"/>
              <w:right w:w="100" w:type="dxa"/>
            </w:tcMar>
          </w:tcPr>
          <w:p>
            <w:pPr>
              <w:spacing w:before="40" w:after="40"/>
            </w:pPr>
            <w:r/>
            <w:r>
              <w:rPr>
                <w:rFonts w:ascii="Times New Roman" w:hAnsi="Times New Roman"/>
                <w:sz w:val="17"/>
              </w:rPr>
              <w:t>7</w:t>
            </w:r>
          </w:p>
        </w:tc>
        <w:tc>
          <w:tcPr>
            <w:tcW w:type="dxa" w:w="1680"/>
            <w:shd w:fill="F8FAFC"/>
            <w:tcMar>
              <w:top w:w="60" w:type="dxa"/>
              <w:bottom w:w="60" w:type="dxa"/>
              <w:left w:w="100" w:type="dxa"/>
              <w:right w:w="100" w:type="dxa"/>
            </w:tcMar>
          </w:tcPr>
          <w:p>
            <w:pPr>
              <w:spacing w:before="40" w:after="40"/>
            </w:pPr>
            <w:r/>
            <w:r>
              <w:rPr>
                <w:rFonts w:ascii="Times New Roman" w:hAnsi="Times New Roman"/>
                <w:sz w:val="17"/>
              </w:rPr>
              <w:t>RBI Master Directions on LTV &amp; Gold Pledges</w:t>
            </w:r>
          </w:p>
        </w:tc>
      </w:tr>
      <w:tr>
        <w:tc>
          <w:tcPr>
            <w:tcW w:type="dxa" w:w="1680"/>
            <w:shd w:fill="FFFFFF"/>
            <w:tcMar>
              <w:top w:w="60" w:type="dxa"/>
              <w:bottom w:w="60" w:type="dxa"/>
              <w:left w:w="100" w:type="dxa"/>
              <w:right w:w="100" w:type="dxa"/>
            </w:tcMar>
          </w:tcPr>
          <w:p>
            <w:pPr>
              <w:spacing w:before="40" w:after="40"/>
            </w:pPr>
            <w:r/>
            <w:r>
              <w:rPr>
                <w:rFonts w:ascii="Times New Roman" w:hAnsi="Times New Roman"/>
                <w:sz w:val="17"/>
              </w:rPr>
              <w:t>Overall Macro Average</w:t>
            </w:r>
          </w:p>
        </w:tc>
        <w:tc>
          <w:tcPr>
            <w:tcW w:type="dxa" w:w="1680"/>
            <w:shd w:fill="FFFFFF"/>
            <w:tcMar>
              <w:top w:w="60" w:type="dxa"/>
              <w:bottom w:w="60" w:type="dxa"/>
              <w:left w:w="100" w:type="dxa"/>
              <w:right w:w="100" w:type="dxa"/>
            </w:tcMar>
          </w:tcPr>
          <w:p>
            <w:pPr>
              <w:spacing w:before="40" w:after="40"/>
            </w:pPr>
            <w:r/>
            <w:r>
              <w:rPr>
                <w:rFonts w:ascii="Times New Roman" w:hAnsi="Times New Roman"/>
                <w:sz w:val="17"/>
              </w:rPr>
              <w:t>1.0000</w:t>
            </w:r>
          </w:p>
        </w:tc>
        <w:tc>
          <w:tcPr>
            <w:tcW w:type="dxa" w:w="1680"/>
            <w:shd w:fill="FFFFFF"/>
            <w:tcMar>
              <w:top w:w="60" w:type="dxa"/>
              <w:bottom w:w="60" w:type="dxa"/>
              <w:left w:w="100" w:type="dxa"/>
              <w:right w:w="100" w:type="dxa"/>
            </w:tcMar>
          </w:tcPr>
          <w:p>
            <w:pPr>
              <w:spacing w:before="40" w:after="40"/>
            </w:pPr>
            <w:r/>
            <w:r>
              <w:rPr>
                <w:rFonts w:ascii="Times New Roman" w:hAnsi="Times New Roman"/>
                <w:sz w:val="17"/>
              </w:rPr>
              <w:t>1.0000</w:t>
            </w:r>
          </w:p>
        </w:tc>
        <w:tc>
          <w:tcPr>
            <w:tcW w:type="dxa" w:w="1680"/>
            <w:shd w:fill="FFFFFF"/>
            <w:tcMar>
              <w:top w:w="60" w:type="dxa"/>
              <w:bottom w:w="60" w:type="dxa"/>
              <w:left w:w="100" w:type="dxa"/>
              <w:right w:w="100" w:type="dxa"/>
            </w:tcMar>
          </w:tcPr>
          <w:p>
            <w:pPr>
              <w:spacing w:before="40" w:after="40"/>
            </w:pPr>
            <w:r/>
            <w:r>
              <w:rPr>
                <w:rFonts w:ascii="Times New Roman" w:hAnsi="Times New Roman"/>
                <w:sz w:val="17"/>
              </w:rPr>
              <w:t>1.0000</w:t>
            </w:r>
          </w:p>
        </w:tc>
        <w:tc>
          <w:tcPr>
            <w:tcW w:type="dxa" w:w="1680"/>
            <w:shd w:fill="FFFFFF"/>
            <w:tcMar>
              <w:top w:w="60" w:type="dxa"/>
              <w:bottom w:w="60" w:type="dxa"/>
              <w:left w:w="100" w:type="dxa"/>
              <w:right w:w="100" w:type="dxa"/>
            </w:tcMar>
          </w:tcPr>
          <w:p>
            <w:pPr>
              <w:spacing w:before="40" w:after="40"/>
            </w:pPr>
            <w:r/>
            <w:r>
              <w:rPr>
                <w:rFonts w:ascii="Times New Roman" w:hAnsi="Times New Roman"/>
                <w:sz w:val="17"/>
              </w:rPr>
              <w:t>63</w:t>
            </w:r>
          </w:p>
        </w:tc>
        <w:tc>
          <w:tcPr>
            <w:tcW w:type="dxa" w:w="1680"/>
            <w:shd w:fill="FFFFFF"/>
            <w:tcMar>
              <w:top w:w="60" w:type="dxa"/>
              <w:bottom w:w="60" w:type="dxa"/>
              <w:left w:w="100" w:type="dxa"/>
              <w:right w:w="100" w:type="dxa"/>
            </w:tcMar>
          </w:tcPr>
          <w:p>
            <w:pPr>
              <w:spacing w:before="40" w:after="40"/>
            </w:pPr>
            <w:r/>
            <w:r>
              <w:rPr>
                <w:rFonts w:ascii="Times New Roman" w:hAnsi="Times New Roman"/>
                <w:sz w:val="17"/>
              </w:rPr>
              <w:t>Balanced 5-Fold Stratified Partition</w:t>
            </w:r>
          </w:p>
        </w:tc>
      </w:tr>
      <w:tr>
        <w:tc>
          <w:tcPr>
            <w:tcW w:type="dxa" w:w="1680"/>
            <w:shd w:fill="F8FAFC"/>
            <w:tcMar>
              <w:top w:w="60" w:type="dxa"/>
              <w:bottom w:w="60" w:type="dxa"/>
              <w:left w:w="100" w:type="dxa"/>
              <w:right w:w="100" w:type="dxa"/>
            </w:tcMar>
          </w:tcPr>
          <w:p>
            <w:pPr>
              <w:spacing w:before="40" w:after="40"/>
            </w:pPr>
            <w:r/>
            <w:r>
              <w:rPr>
                <w:rFonts w:ascii="Times New Roman" w:hAnsi="Times New Roman"/>
                <w:sz w:val="17"/>
              </w:rPr>
              <w:t>Cross-Validation Mean F1</w:t>
            </w:r>
          </w:p>
        </w:tc>
        <w:tc>
          <w:tcPr>
            <w:tcW w:type="dxa" w:w="1680"/>
            <w:shd w:fill="F8FAFC"/>
            <w:tcMar>
              <w:top w:w="60" w:type="dxa"/>
              <w:bottom w:w="60" w:type="dxa"/>
              <w:left w:w="100" w:type="dxa"/>
              <w:right w:w="100" w:type="dxa"/>
            </w:tcMar>
          </w:tcPr>
          <w:p>
            <w:pPr>
              <w:spacing w:before="40" w:after="40"/>
            </w:pPr>
            <w:r/>
            <w:r>
              <w:rPr>
                <w:rFonts w:ascii="Times New Roman" w:hAnsi="Times New Roman"/>
                <w:sz w:val="17"/>
              </w:rPr>
              <w:t>—</w:t>
            </w:r>
          </w:p>
        </w:tc>
        <w:tc>
          <w:tcPr>
            <w:tcW w:type="dxa" w:w="1680"/>
            <w:shd w:fill="F8FAFC"/>
            <w:tcMar>
              <w:top w:w="60" w:type="dxa"/>
              <w:bottom w:w="60" w:type="dxa"/>
              <w:left w:w="100" w:type="dxa"/>
              <w:right w:w="100" w:type="dxa"/>
            </w:tcMar>
          </w:tcPr>
          <w:p>
            <w:pPr>
              <w:spacing w:before="40" w:after="40"/>
            </w:pPr>
            <w:r/>
            <w:r>
              <w:rPr>
                <w:rFonts w:ascii="Times New Roman" w:hAnsi="Times New Roman"/>
                <w:sz w:val="17"/>
              </w:rPr>
              <w:t>—</w:t>
            </w:r>
          </w:p>
        </w:tc>
        <w:tc>
          <w:tcPr>
            <w:tcW w:type="dxa" w:w="1680"/>
            <w:shd w:fill="F8FAFC"/>
            <w:tcMar>
              <w:top w:w="60" w:type="dxa"/>
              <w:bottom w:w="60" w:type="dxa"/>
              <w:left w:w="100" w:type="dxa"/>
              <w:right w:w="100" w:type="dxa"/>
            </w:tcMar>
          </w:tcPr>
          <w:p>
            <w:pPr>
              <w:spacing w:before="40" w:after="40"/>
            </w:pPr>
            <w:r/>
            <w:r>
              <w:rPr>
                <w:rFonts w:ascii="Times New Roman" w:hAnsi="Times New Roman"/>
                <w:sz w:val="17"/>
              </w:rPr>
              <w:t>1.0000</w:t>
            </w:r>
          </w:p>
        </w:tc>
        <w:tc>
          <w:tcPr>
            <w:tcW w:type="dxa" w:w="1680"/>
            <w:shd w:fill="F8FAFC"/>
            <w:tcMar>
              <w:top w:w="60" w:type="dxa"/>
              <w:bottom w:w="60" w:type="dxa"/>
              <w:left w:w="100" w:type="dxa"/>
              <w:right w:w="100" w:type="dxa"/>
            </w:tcMar>
          </w:tcPr>
          <w:p>
            <w:pPr>
              <w:spacing w:before="40" w:after="40"/>
            </w:pPr>
            <w:r/>
            <w:r>
              <w:rPr>
                <w:rFonts w:ascii="Times New Roman" w:hAnsi="Times New Roman"/>
                <w:sz w:val="17"/>
              </w:rPr>
              <w:t>252 Total</w:t>
            </w:r>
          </w:p>
        </w:tc>
        <w:tc>
          <w:tcPr>
            <w:tcW w:type="dxa" w:w="1680"/>
            <w:shd w:fill="F8FAFC"/>
            <w:tcMar>
              <w:top w:w="60" w:type="dxa"/>
              <w:bottom w:w="60" w:type="dxa"/>
              <w:left w:w="100" w:type="dxa"/>
              <w:right w:w="100" w:type="dxa"/>
            </w:tcMar>
          </w:tcPr>
          <w:p>
            <w:pPr>
              <w:spacing w:before="40" w:after="40"/>
            </w:pPr>
            <w:r/>
            <w:r>
              <w:rPr>
                <w:rFonts w:ascii="Times New Roman" w:hAnsi="Times New Roman"/>
                <w:sz w:val="17"/>
              </w:rPr>
              <w:t>Std Dev: $\pm 0.0000$</w:t>
            </w:r>
          </w:p>
        </w:tc>
      </w:tr>
    </w:tbl>
    <w:p>
      <w:pPr>
        <w:spacing w:after="80"/>
      </w:pPr>
    </w:p>
    <w:p>
      <w:pPr>
        <w:spacing w:before="160" w:after="40"/>
      </w:pPr>
      <w:r>
        <w:rPr>
          <w:rFonts w:ascii="Times New Roman" w:hAnsi="Times New Roman"/>
          <w:b/>
          <w:color w:val="FF6A0D"/>
          <w:sz w:val="22"/>
        </w:rPr>
        <w:t>5.2 Confusion Matrix (Held-out Test Partition)</w:t>
      </w:r>
    </w:p>
    <w:p>
      <w:pPr>
        <w:spacing w:before="20" w:after="60"/>
      </w:pPr>
      <w:r>
        <w:rPr>
          <w:rFonts w:ascii="Times New Roman" w:hAnsi="Times New Roman"/>
          <w:color w:val="2D3748"/>
          <w:sz w:val="19"/>
        </w:rPr>
        <w:t>$$\begin{pmatrix}</w:t>
      </w:r>
    </w:p>
    <w:p>
      <w:pPr>
        <w:spacing w:before="20" w:after="60"/>
      </w:pPr>
      <w:r>
        <w:rPr>
          <w:rFonts w:ascii="Times New Roman" w:hAnsi="Times New Roman"/>
          <w:color w:val="2D3748"/>
          <w:sz w:val="19"/>
        </w:rPr>
        <w:t>\text{Bank Loan (7)} &amp; 7 &amp; 0 &amp; 0 &amp; 0 \\</w:t>
      </w:r>
    </w:p>
    <w:p>
      <w:pPr>
        <w:spacing w:before="20" w:after="60"/>
      </w:pPr>
      <w:r>
        <w:rPr>
          <w:rFonts w:ascii="Times New Roman" w:hAnsi="Times New Roman"/>
          <w:color w:val="2D3748"/>
          <w:sz w:val="19"/>
        </w:rPr>
        <w:t>\text{Car Docs (12)} &amp; 0 &amp; 12 &amp; 0 &amp; 0 \\</w:t>
      </w:r>
    </w:p>
    <w:p>
      <w:pPr>
        <w:spacing w:before="20" w:after="60"/>
      </w:pPr>
      <w:r>
        <w:rPr>
          <w:rFonts w:ascii="Times New Roman" w:hAnsi="Times New Roman"/>
          <w:color w:val="2D3748"/>
          <w:sz w:val="19"/>
        </w:rPr>
        <w:t>\text{Gold Loan (7)} &amp; 0 &amp; 0 &amp; 7 &amp; 0 \\</w:t>
      </w:r>
    </w:p>
    <w:p>
      <w:pPr>
        <w:spacing w:before="20" w:after="60"/>
      </w:pPr>
      <w:r>
        <w:rPr>
          <w:rFonts w:ascii="Times New Roman" w:hAnsi="Times New Roman"/>
          <w:color w:val="2D3748"/>
          <w:sz w:val="19"/>
        </w:rPr>
        <w:t>\text{House Property (37)} &amp; 0 &amp; 0 &amp; 0 &amp; 37</w:t>
      </w:r>
    </w:p>
    <w:p>
      <w:pPr>
        <w:spacing w:before="20" w:after="60"/>
      </w:pPr>
      <w:r>
        <w:rPr>
          <w:rFonts w:ascii="Times New Roman" w:hAnsi="Times New Roman"/>
          <w:color w:val="2D3748"/>
          <w:sz w:val="19"/>
        </w:rPr>
        <w:t>\end{pmatrix}$$</w:t>
      </w:r>
    </w:p>
    <w:p>
      <w:pPr>
        <w:spacing w:before="20" w:after="60"/>
      </w:pPr>
      <w:r>
        <w:rPr>
          <w:rFonts w:ascii="Times New Roman" w:hAnsi="Times New Roman"/>
          <w:color w:val="2D3748"/>
          <w:sz w:val="19"/>
        </w:rPr>
        <w:t>*Result: Zero off-diagonal errors, demonstrating complete separability of the feature spaces.*</w:t>
      </w:r>
    </w:p>
    <w:p>
      <w:pPr>
        <w:spacing w:before="80" w:after="80"/>
        <w:pBdr>
          <w:bottom w:val="single" w:sz="6" w:space="1" w:color="CBD5E1"/>
        </w:pBdr>
      </w:pPr>
    </w:p>
    <w:p>
      <w:pPr>
        <w:spacing w:before="200" w:after="60"/>
      </w:pPr>
      <w:r>
        <w:rPr>
          <w:rFonts w:ascii="Times New Roman" w:hAnsi="Times New Roman"/>
          <w:b/>
          <w:color w:val="0F2D5F"/>
          <w:sz w:val="26"/>
        </w:rPr>
        <w:t>6. Key Challenges Encountered &amp; Engineering Solutions</w:t>
      </w:r>
    </w:p>
    <w:p>
      <w:pPr>
        <w:pStyle w:val="ListBullet"/>
        <w:spacing w:before="20" w:after="40"/>
      </w:pPr>
      <w:r>
        <w:rPr>
          <w:rFonts w:ascii="Times New Roman" w:hAnsi="Times New Roman"/>
          <w:color w:val="2D3748"/>
          <w:sz w:val="19"/>
        </w:rPr>
      </w:r>
      <w:r>
        <w:rPr>
          <w:rFonts w:ascii="Times New Roman" w:hAnsi="Times New Roman"/>
          <w:b/>
          <w:color w:val="2D3748"/>
          <w:sz w:val="19"/>
        </w:rPr>
        <w:t>Challenge: Non-Standard OCR Artifacts in Scanned Contracts</w:t>
      </w:r>
      <w:r>
        <w:rPr>
          <w:rFonts w:ascii="Times New Roman" w:hAnsi="Times New Roman"/>
          <w:color w:val="2D3748"/>
          <w:sz w:val="19"/>
        </w:rPr>
      </w:r>
    </w:p>
    <w:p>
      <w:pPr>
        <w:spacing w:before="20" w:after="60"/>
      </w:pPr>
      <w:r>
        <w:rPr>
          <w:rFonts w:ascii="Times New Roman" w:hAnsi="Times New Roman"/>
          <w:color w:val="2D3748"/>
          <w:sz w:val="19"/>
        </w:rPr>
        <w:t xml:space="preserve">   - *Problem:* Uploaded scanned PDFs often introduced hyphen breaks across lines (e.g., `"in- demnify"` or `"mort- gage"`).</w:t>
      </w:r>
    </w:p>
    <w:p>
      <w:pPr>
        <w:spacing w:before="20" w:after="60"/>
      </w:pPr>
      <w:r>
        <w:rPr>
          <w:rFonts w:ascii="Times New Roman" w:hAnsi="Times New Roman"/>
          <w:color w:val="2D3748"/>
          <w:sz w:val="19"/>
        </w:rPr>
        <w:t xml:space="preserve">   - *Solution:* Implemented a regex de-hyphenation pass that inspects dictionary validity before reconstructing fractured compound legal tokens.</w:t>
      </w:r>
    </w:p>
    <w:p>
      <w:pPr>
        <w:pStyle w:val="ListBullet"/>
        <w:spacing w:before="20" w:after="40"/>
      </w:pPr>
      <w:r>
        <w:rPr>
          <w:rFonts w:ascii="Times New Roman" w:hAnsi="Times New Roman"/>
          <w:color w:val="2D3748"/>
          <w:sz w:val="19"/>
        </w:rPr>
      </w:r>
      <w:r>
        <w:rPr>
          <w:rFonts w:ascii="Times New Roman" w:hAnsi="Times New Roman"/>
          <w:b/>
          <w:color w:val="2D3748"/>
          <w:sz w:val="19"/>
        </w:rPr>
        <w:t>Challenge: Domain Boundary Overlap (Mortgage Deeds vs. Home Loan Agreements)</w:t>
      </w:r>
      <w:r>
        <w:rPr>
          <w:rFonts w:ascii="Times New Roman" w:hAnsi="Times New Roman"/>
          <w:color w:val="2D3748"/>
          <w:sz w:val="19"/>
        </w:rPr>
      </w:r>
    </w:p>
    <w:p>
      <w:pPr>
        <w:spacing w:before="20" w:after="60"/>
      </w:pPr>
      <w:r>
        <w:rPr>
          <w:rFonts w:ascii="Times New Roman" w:hAnsi="Times New Roman"/>
          <w:color w:val="2D3748"/>
          <w:sz w:val="19"/>
        </w:rPr>
        <w:t xml:space="preserve">   - *Problem:* Both house leases and bank loans mention `"property"`, `"possession"`, and monetary figures, causing initial boundary confusion.</w:t>
      </w:r>
    </w:p>
    <w:p>
      <w:pPr>
        <w:spacing w:before="20" w:after="60"/>
      </w:pPr>
      <w:r>
        <w:rPr>
          <w:rFonts w:ascii="Times New Roman" w:hAnsi="Times New Roman"/>
          <w:color w:val="2D3748"/>
          <w:sz w:val="19"/>
        </w:rPr>
        <w:t xml:space="preserve">   - *Solution:* Shifted vectorization to include bigrams (`"equitable mortgage"`, `"sanction letter"`, `"hypothecation clause"`, `"lessor hereby covenants"`) with sublinear term-frequency scaling, eliminating cross-domain misclassifications.</w:t>
      </w:r>
    </w:p>
    <w:p>
      <w:pPr>
        <w:pStyle w:val="ListBullet"/>
        <w:spacing w:before="20" w:after="40"/>
      </w:pPr>
      <w:r>
        <w:rPr>
          <w:rFonts w:ascii="Times New Roman" w:hAnsi="Times New Roman"/>
          <w:color w:val="2D3748"/>
          <w:sz w:val="19"/>
        </w:rPr>
      </w:r>
      <w:r>
        <w:rPr>
          <w:rFonts w:ascii="Times New Roman" w:hAnsi="Times New Roman"/>
          <w:b/>
          <w:color w:val="2D3748"/>
          <w:sz w:val="19"/>
        </w:rPr>
        <w:t>Challenge: Runtime Latency in Node.js Ingestion</w:t>
      </w:r>
      <w:r>
        <w:rPr>
          <w:rFonts w:ascii="Times New Roman" w:hAnsi="Times New Roman"/>
          <w:color w:val="2D3748"/>
          <w:sz w:val="19"/>
        </w:rPr>
      </w:r>
    </w:p>
    <w:p>
      <w:pPr>
        <w:spacing w:before="20" w:after="60"/>
      </w:pPr>
      <w:r>
        <w:rPr>
          <w:rFonts w:ascii="Times New Roman" w:hAnsi="Times New Roman"/>
          <w:color w:val="2D3748"/>
          <w:sz w:val="19"/>
        </w:rPr>
        <w:t xml:space="preserve">   - *Problem:* Spawning child Python processes for every document upload added ~800ms of process overhead.</w:t>
      </w:r>
    </w:p>
    <w:p>
      <w:pPr>
        <w:spacing w:before="20" w:after="60"/>
      </w:pPr>
      <w:r>
        <w:rPr>
          <w:rFonts w:ascii="Times New Roman" w:hAnsi="Times New Roman"/>
          <w:color w:val="2D3748"/>
          <w:sz w:val="19"/>
        </w:rPr>
        <w:t xml:space="preserve">   - *Solution:* Engineered the `portable_nlp_weights.json` exporter, enabling pure JavaScript native dot-product inference in under 12ms.</w:t>
      </w:r>
    </w:p>
    <w:p>
      <w:pPr>
        <w:spacing w:before="80" w:after="80"/>
        <w:pBdr>
          <w:bottom w:val="single" w:sz="6" w:space="1" w:color="CBD5E1"/>
        </w:pBdr>
      </w:pPr>
    </w:p>
    <w:p>
      <w:pPr>
        <w:spacing w:before="200" w:after="60"/>
      </w:pPr>
      <w:r>
        <w:rPr>
          <w:rFonts w:ascii="Times New Roman" w:hAnsi="Times New Roman"/>
          <w:b/>
          <w:color w:val="0F2D5F"/>
          <w:sz w:val="26"/>
        </w:rPr>
        <w:t>7. Cross-Functional Collaboration &amp; Interface Contracts</w:t>
      </w:r>
    </w:p>
    <w:p>
      <w:pPr>
        <w:pStyle w:val="ListBullet"/>
        <w:spacing w:before="20" w:after="40"/>
      </w:pPr>
      <w:r>
        <w:rPr>
          <w:rFonts w:ascii="Times New Roman" w:hAnsi="Times New Roman"/>
          <w:color w:val="2D3748"/>
          <w:sz w:val="19"/>
        </w:rPr>
      </w:r>
      <w:r>
        <w:rPr>
          <w:rFonts w:ascii="Times New Roman" w:hAnsi="Times New Roman"/>
          <w:b/>
          <w:color w:val="2D3748"/>
          <w:sz w:val="19"/>
        </w:rPr>
        <w:t>Handoff to Member 2 (G. Krishna - Risk Specialist):</w:t>
      </w:r>
      <w:r>
        <w:rPr>
          <w:rFonts w:ascii="Times New Roman" w:hAnsi="Times New Roman"/>
          <w:color w:val="2D3748"/>
          <w:sz w:val="19"/>
        </w:rPr>
        <w:t xml:space="preserve"> Once the document domain is established, the segmented clauses are passed to Krishna's clause risk and category classification pipeline with domain-specific priors.</w:t>
      </w:r>
    </w:p>
    <w:p>
      <w:pPr>
        <w:pStyle w:val="ListBullet"/>
        <w:spacing w:before="20" w:after="40"/>
      </w:pPr>
      <w:r>
        <w:rPr>
          <w:rFonts w:ascii="Times New Roman" w:hAnsi="Times New Roman"/>
          <w:color w:val="2D3748"/>
          <w:sz w:val="19"/>
        </w:rPr>
      </w:r>
      <w:r>
        <w:rPr>
          <w:rFonts w:ascii="Times New Roman" w:hAnsi="Times New Roman"/>
          <w:b/>
          <w:color w:val="2D3748"/>
          <w:sz w:val="19"/>
        </w:rPr>
        <w:t>Handoff to Member 3 (G. Jahnavi - Backend &amp; RAG):</w:t>
      </w:r>
      <w:r>
        <w:rPr>
          <w:rFonts w:ascii="Times New Roman" w:hAnsi="Times New Roman"/>
          <w:color w:val="2D3748"/>
          <w:sz w:val="19"/>
        </w:rPr>
        <w:t xml:space="preserve"> Provided sanitized text extractors and exported JSON model weights directly into `server/services/documents/portable_nlp_weights.json`.</w:t>
      </w:r>
    </w:p>
    <w:p>
      <w:pPr>
        <w:pStyle w:val="ListBullet"/>
        <w:spacing w:before="20" w:after="40"/>
      </w:pPr>
      <w:r>
        <w:rPr>
          <w:rFonts w:ascii="Times New Roman" w:hAnsi="Times New Roman"/>
          <w:color w:val="2D3748"/>
          <w:sz w:val="19"/>
        </w:rPr>
      </w:r>
      <w:r>
        <w:rPr>
          <w:rFonts w:ascii="Times New Roman" w:hAnsi="Times New Roman"/>
          <w:b/>
          <w:color w:val="2D3748"/>
          <w:sz w:val="19"/>
        </w:rPr>
        <w:t>Handoff to Member 4 (K. Mamatha - UI/UX):</w:t>
      </w:r>
      <w:r>
        <w:rPr>
          <w:rFonts w:ascii="Times New Roman" w:hAnsi="Times New Roman"/>
          <w:color w:val="2D3748"/>
          <w:sz w:val="19"/>
        </w:rPr>
        <w:t xml:space="preserve"> Provided domain label outputs and confidence scores that trigger tailored domain-specific color themes and metadata headers on the React dashboard.</w:t>
      </w:r>
    </w:p>
    <w:p>
      <w:pPr>
        <w:spacing w:before="80" w:after="80"/>
        <w:pBdr>
          <w:bottom w:val="single" w:sz="6" w:space="1" w:color="CBD5E1"/>
        </w:pBdr>
      </w:pPr>
    </w:p>
    <w:p>
      <w:pPr>
        <w:spacing w:before="200" w:after="60"/>
      </w:pPr>
      <w:r>
        <w:rPr>
          <w:rFonts w:ascii="Times New Roman" w:hAnsi="Times New Roman"/>
          <w:b/>
          <w:color w:val="0F2D5F"/>
          <w:sz w:val="26"/>
        </w:rPr>
        <w:t>8. Future Roadmap &amp; Review-3 Milestones</w:t>
      </w:r>
    </w:p>
    <w:p>
      <w:pPr>
        <w:pStyle w:val="ListBullet"/>
        <w:spacing w:before="20" w:after="40"/>
      </w:pPr>
      <w:r>
        <w:rPr>
          <w:rFonts w:ascii="Times New Roman" w:hAnsi="Times New Roman"/>
          <w:color w:val="2D3748"/>
          <w:sz w:val="19"/>
        </w:rPr>
        <w:t xml:space="preserve">[ ] </w:t>
      </w:r>
      <w:r>
        <w:rPr>
          <w:rFonts w:ascii="Times New Roman" w:hAnsi="Times New Roman"/>
          <w:b/>
          <w:color w:val="2D3748"/>
          <w:sz w:val="19"/>
        </w:rPr>
        <w:t>Indic NLP Integration:</w:t>
      </w:r>
      <w:r>
        <w:rPr>
          <w:rFonts w:ascii="Times New Roman" w:hAnsi="Times New Roman"/>
          <w:color w:val="2D3748"/>
          <w:sz w:val="19"/>
        </w:rPr>
        <w:t xml:space="preserve"> Support regional language pre-processing (Telugu and Hindi deed formats) using Unicode Indic transliteration.</w:t>
      </w:r>
    </w:p>
    <w:p>
      <w:pPr>
        <w:pStyle w:val="ListBullet"/>
        <w:spacing w:before="20" w:after="40"/>
      </w:pPr>
      <w:r>
        <w:rPr>
          <w:rFonts w:ascii="Times New Roman" w:hAnsi="Times New Roman"/>
          <w:color w:val="2D3748"/>
          <w:sz w:val="19"/>
        </w:rPr>
        <w:t xml:space="preserve">[ ] </w:t>
      </w:r>
      <w:r>
        <w:rPr>
          <w:rFonts w:ascii="Times New Roman" w:hAnsi="Times New Roman"/>
          <w:b/>
          <w:color w:val="2D3748"/>
          <w:sz w:val="19"/>
        </w:rPr>
        <w:t>Transformer Fine-Tuning:</w:t>
      </w:r>
      <w:r>
        <w:rPr>
          <w:rFonts w:ascii="Times New Roman" w:hAnsi="Times New Roman"/>
          <w:color w:val="2D3748"/>
          <w:sz w:val="19"/>
        </w:rPr>
        <w:t xml:space="preserve"> Evaluate InLegalBERT embeddings as a hybrid ensemble alongside sublinear TF-IDF for fringe clauses.</w:t>
      </w:r>
    </w:p>
    <w:p>
      <w:pPr>
        <w:pStyle w:val="ListBullet"/>
        <w:spacing w:before="20" w:after="40"/>
      </w:pPr>
      <w:r>
        <w:rPr>
          <w:rFonts w:ascii="Times New Roman" w:hAnsi="Times New Roman"/>
          <w:color w:val="2D3748"/>
          <w:sz w:val="19"/>
        </w:rPr>
        <w:t xml:space="preserve">[ ] </w:t>
      </w:r>
      <w:r>
        <w:rPr>
          <w:rFonts w:ascii="Times New Roman" w:hAnsi="Times New Roman"/>
          <w:b/>
          <w:color w:val="2D3748"/>
          <w:sz w:val="19"/>
        </w:rPr>
        <w:t>OCR Pre-Processing:</w:t>
      </w:r>
      <w:r>
        <w:rPr>
          <w:rFonts w:ascii="Times New Roman" w:hAnsi="Times New Roman"/>
          <w:color w:val="2D3748"/>
          <w:sz w:val="19"/>
        </w:rPr>
        <w:t xml:space="preserve"> Integrate Tesseract.js / OpenCV thresholding for handling poor quality mobile camera scans of physical stamp papers.</w:t>
      </w:r>
    </w:p>
    <w:p>
      <w:pPr>
        <w:spacing w:before="80" w:after="80"/>
        <w:pBdr>
          <w:bottom w:val="single" w:sz="6" w:space="1" w:color="CBD5E1"/>
        </w:pBdr>
      </w:pPr>
    </w:p>
    <w:p>
      <w:pPr>
        <w:spacing w:before="20" w:after="60"/>
      </w:pPr>
      <w:r>
        <w:rPr>
          <w:rFonts w:ascii="Times New Roman" w:hAnsi="Times New Roman"/>
          <w:color w:val="2D3748"/>
          <w:sz w:val="19"/>
        </w:rPr>
      </w:r>
      <w:r>
        <w:rPr>
          <w:rFonts w:ascii="Times New Roman" w:hAnsi="Times New Roman"/>
          <w:b/>
          <w:color w:val="2D3748"/>
          <w:sz w:val="19"/>
        </w:rPr>
        <w:t>Candidate Signature:</w:t>
      </w:r>
      <w:r>
        <w:rPr>
          <w:rFonts w:ascii="Times New Roman" w:hAnsi="Times New Roman"/>
          <w:color w:val="2D3748"/>
          <w:sz w:val="19"/>
        </w:rPr>
        <w:t xml:space="preserve"> ___________________________</w:t>
      </w:r>
    </w:p>
    <w:p>
      <w:pPr>
        <w:spacing w:before="20" w:after="60"/>
      </w:pPr>
      <w:r>
        <w:rPr>
          <w:rFonts w:ascii="Times New Roman" w:hAnsi="Times New Roman"/>
          <w:color w:val="2D3748"/>
          <w:sz w:val="19"/>
        </w:rPr>
      </w:r>
      <w:r>
        <w:rPr>
          <w:rFonts w:ascii="Times New Roman" w:hAnsi="Times New Roman"/>
          <w:b/>
          <w:color w:val="2D3748"/>
          <w:sz w:val="19"/>
        </w:rPr>
        <w:t>Faculty / Guide Approval:</w:t>
      </w:r>
      <w:r>
        <w:rPr>
          <w:rFonts w:ascii="Times New Roman" w:hAnsi="Times New Roman"/>
          <w:color w:val="2D3748"/>
          <w:sz w:val="19"/>
        </w:rPr>
        <w:t xml:space="preserve"> ___________________________</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