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Times New Roman" w:hAnsi="Times New Roman"/>
          <w:b/>
          <w:color w:val="0F2D5F"/>
          <w:sz w:val="32"/>
        </w:rPr>
        <w:t>PROJECT CASE STUDY 3: BACKEND ARCHITECTURE &amp; RAG INTEGRATION</w:t>
      </w:r>
    </w:p>
    <w:p>
      <w:pPr>
        <w:spacing w:before="200" w:after="60"/>
      </w:pPr>
      <w:r>
        <w:rPr>
          <w:rFonts w:ascii="Times New Roman" w:hAnsi="Times New Roman"/>
          <w:b/>
          <w:color w:val="0F2D5F"/>
          <w:sz w:val="26"/>
        </w:rPr>
        <w:t>AI Legal Assistant (LexAI) — High-Performance API, Multi-Format Ingestion &amp; Statutory RAG Engine</w:t>
      </w:r>
    </w:p>
    <w:p>
      <w:pPr>
        <w:spacing w:before="20" w:after="60"/>
      </w:pPr>
      <w:r>
        <w:rPr>
          <w:rFonts w:ascii="Times New Roman" w:hAnsi="Times New Roman"/>
          <w:color w:val="2D3748"/>
          <w:sz w:val="19"/>
        </w:rPr>
      </w:r>
      <w:r>
        <w:rPr>
          <w:rFonts w:ascii="Times New Roman" w:hAnsi="Times New Roman"/>
          <w:b/>
          <w:color w:val="2D3748"/>
          <w:sz w:val="19"/>
        </w:rPr>
        <w:t>Academic Year:</w:t>
      </w:r>
      <w:r>
        <w:rPr>
          <w:rFonts w:ascii="Times New Roman" w:hAnsi="Times New Roman"/>
          <w:color w:val="2D3748"/>
          <w:sz w:val="19"/>
        </w:rPr>
        <w:t xml:space="preserve"> 2025–2026 | </w:t>
      </w:r>
      <w:r>
        <w:rPr>
          <w:rFonts w:ascii="Times New Roman" w:hAnsi="Times New Roman"/>
          <w:b/>
          <w:color w:val="2D3748"/>
          <w:sz w:val="19"/>
        </w:rPr>
        <w:t>Department:</w:t>
      </w:r>
      <w:r>
        <w:rPr>
          <w:rFonts w:ascii="Times New Roman" w:hAnsi="Times New Roman"/>
          <w:color w:val="2D3748"/>
          <w:sz w:val="19"/>
        </w:rPr>
        <w:t xml:space="preserve"> Computer Science and Engineering</w:t>
      </w:r>
    </w:p>
    <w:p>
      <w:pPr>
        <w:spacing w:before="20" w:after="60"/>
      </w:pPr>
      <w:r>
        <w:rPr>
          <w:rFonts w:ascii="Times New Roman" w:hAnsi="Times New Roman"/>
          <w:color w:val="2D3748"/>
          <w:sz w:val="19"/>
        </w:rPr>
      </w:r>
      <w:r>
        <w:rPr>
          <w:rFonts w:ascii="Times New Roman" w:hAnsi="Times New Roman"/>
          <w:b/>
          <w:color w:val="2D3748"/>
          <w:sz w:val="19"/>
        </w:rPr>
        <w:t>Project Review:</w:t>
      </w:r>
      <w:r>
        <w:rPr>
          <w:rFonts w:ascii="Times New Roman" w:hAnsi="Times New Roman"/>
          <w:color w:val="2D3748"/>
          <w:sz w:val="19"/>
        </w:rPr>
        <w:t xml:space="preserve"> Milestone Review 2 &amp; Final Implementation</w:t>
      </w:r>
    </w:p>
    <w:p>
      <w:pPr>
        <w:spacing w:before="80" w:after="80"/>
        <w:pBdr>
          <w:bottom w:val="single" w:sz="6" w:space="1" w:color="CBD5E1"/>
        </w:pBdr>
      </w:pPr>
    </w:p>
    <w:p>
      <w:pPr>
        <w:spacing w:before="160" w:after="40"/>
      </w:pPr>
      <w:r>
        <w:rPr>
          <w:rFonts w:ascii="Times New Roman" w:hAnsi="Times New Roman"/>
          <w:b/>
          <w:color w:val="FF6A0D"/>
          <w:sz w:val="22"/>
        </w:rPr>
        <w:t>👤 Team Member Information</w:t>
      </w:r>
    </w:p>
    <w:p>
      <w:pPr>
        <w:pStyle w:val="ListBullet"/>
        <w:spacing w:before="20" w:after="40"/>
      </w:pPr>
      <w:r>
        <w:rPr>
          <w:rFonts w:ascii="Times New Roman" w:hAnsi="Times New Roman"/>
          <w:color w:val="2D3748"/>
          <w:sz w:val="19"/>
        </w:rPr>
      </w:r>
      <w:r>
        <w:rPr>
          <w:rFonts w:ascii="Times New Roman" w:hAnsi="Times New Roman"/>
          <w:b/>
          <w:color w:val="2D3748"/>
          <w:sz w:val="19"/>
        </w:rPr>
        <w:t>Student Name:</w:t>
      </w:r>
      <w:r>
        <w:rPr>
          <w:rFonts w:ascii="Times New Roman" w:hAnsi="Times New Roman"/>
          <w:color w:val="2D3748"/>
          <w:sz w:val="19"/>
        </w:rPr>
        <w:t xml:space="preserve"> G. Jahnavi</w:t>
      </w:r>
    </w:p>
    <w:p>
      <w:pPr>
        <w:pStyle w:val="ListBullet"/>
        <w:spacing w:before="20" w:after="40"/>
      </w:pPr>
      <w:r>
        <w:rPr>
          <w:rFonts w:ascii="Times New Roman" w:hAnsi="Times New Roman"/>
          <w:color w:val="2D3748"/>
          <w:sz w:val="19"/>
        </w:rPr>
      </w:r>
      <w:r>
        <w:rPr>
          <w:rFonts w:ascii="Times New Roman" w:hAnsi="Times New Roman"/>
          <w:b/>
          <w:color w:val="2D3748"/>
          <w:sz w:val="19"/>
        </w:rPr>
        <w:t>Roll Number / Hall Ticket:</w:t>
      </w:r>
      <w:r>
        <w:rPr>
          <w:rFonts w:ascii="Times New Roman" w:hAnsi="Times New Roman"/>
          <w:color w:val="2D3748"/>
          <w:sz w:val="19"/>
        </w:rPr>
        <w:t xml:space="preserve"> 24B11CS512</w:t>
      </w:r>
    </w:p>
    <w:p>
      <w:pPr>
        <w:pStyle w:val="ListBullet"/>
        <w:spacing w:before="20" w:after="40"/>
      </w:pPr>
      <w:r>
        <w:rPr>
          <w:rFonts w:ascii="Times New Roman" w:hAnsi="Times New Roman"/>
          <w:color w:val="2D3748"/>
          <w:sz w:val="19"/>
        </w:rPr>
      </w:r>
      <w:r>
        <w:rPr>
          <w:rFonts w:ascii="Times New Roman" w:hAnsi="Times New Roman"/>
          <w:b/>
          <w:color w:val="2D3748"/>
          <w:sz w:val="19"/>
        </w:rPr>
        <w:t>Designation / Project Role:</w:t>
      </w:r>
      <w:r>
        <w:rPr>
          <w:rFonts w:ascii="Times New Roman" w:hAnsi="Times New Roman"/>
          <w:color w:val="2D3748"/>
          <w:sz w:val="19"/>
        </w:rPr>
        <w:t xml:space="preserve"> Backend Architecture, RAG Pipeline &amp; System Integration Engineer</w:t>
      </w:r>
    </w:p>
    <w:p>
      <w:pPr>
        <w:pStyle w:val="ListBullet"/>
        <w:spacing w:before="20" w:after="40"/>
      </w:pPr>
      <w:r>
        <w:rPr>
          <w:rFonts w:ascii="Times New Roman" w:hAnsi="Times New Roman"/>
          <w:color w:val="2D3748"/>
          <w:sz w:val="19"/>
        </w:rPr>
      </w:r>
      <w:r>
        <w:rPr>
          <w:rFonts w:ascii="Times New Roman" w:hAnsi="Times New Roman"/>
          <w:b/>
          <w:color w:val="2D3748"/>
          <w:sz w:val="19"/>
        </w:rPr>
        <w:t>Primary Modules Owned:</w:t>
      </w:r>
      <w:r>
        <w:rPr>
          <w:rFonts w:ascii="Times New Roman" w:hAnsi="Times New Roman"/>
          <w:color w:val="2D3748"/>
          <w:sz w:val="19"/>
        </w:rPr>
      </w:r>
    </w:p>
    <w:p>
      <w:pPr>
        <w:spacing w:before="20" w:after="60"/>
      </w:pPr>
      <w:r>
        <w:rPr>
          <w:rFonts w:ascii="Times New Roman" w:hAnsi="Times New Roman"/>
          <w:color w:val="2D3748"/>
          <w:sz w:val="19"/>
        </w:rPr>
        <w:t xml:space="preserve">  1. Modular Node.js / Express REST API Gateway &amp; Micro-Service Controllers</w:t>
      </w:r>
    </w:p>
    <w:p>
      <w:pPr>
        <w:spacing w:before="20" w:after="60"/>
      </w:pPr>
      <w:r>
        <w:rPr>
          <w:rFonts w:ascii="Times New Roman" w:hAnsi="Times New Roman"/>
          <w:color w:val="2D3748"/>
          <w:sz w:val="19"/>
        </w:rPr>
        <w:t xml:space="preserve">  2. Multi-Format Document Ingestion Engine (`pdf-parse`, `mammoth` DOCX, Buffer Streaming)</w:t>
      </w:r>
    </w:p>
    <w:p>
      <w:pPr>
        <w:spacing w:before="20" w:after="60"/>
      </w:pPr>
      <w:r>
        <w:rPr>
          <w:rFonts w:ascii="Times New Roman" w:hAnsi="Times New Roman"/>
          <w:color w:val="2D3748"/>
          <w:sz w:val="19"/>
        </w:rPr>
        <w:t xml:space="preserve">  3. Retrieval-Augmented Generation (RAG) Architecture &amp; Indian Statutory Vector Indexing</w:t>
      </w:r>
    </w:p>
    <w:p>
      <w:pPr>
        <w:spacing w:before="20" w:after="60"/>
      </w:pPr>
      <w:r>
        <w:rPr>
          <w:rFonts w:ascii="Times New Roman" w:hAnsi="Times New Roman"/>
          <w:color w:val="2D3748"/>
          <w:sz w:val="19"/>
        </w:rPr>
        <w:t xml:space="preserve">  4. Anti-Hallucination Safeguards, Confidence Gating, Enterprise Security &amp; PDF Export Engine</w:t>
      </w:r>
    </w:p>
    <w:p>
      <w:pPr>
        <w:spacing w:before="80" w:after="80"/>
        <w:pBdr>
          <w:bottom w:val="single" w:sz="6" w:space="1" w:color="CBD5E1"/>
        </w:pBdr>
      </w:pPr>
    </w:p>
    <w:p>
      <w:pPr>
        <w:spacing w:before="200" w:after="60"/>
      </w:pPr>
      <w:r>
        <w:rPr>
          <w:rFonts w:ascii="Times New Roman" w:hAnsi="Times New Roman"/>
          <w:b/>
          <w:color w:val="0F2D5F"/>
          <w:sz w:val="26"/>
        </w:rPr>
        <w:t>1. Executive Summary &amp; Problem Formulation</w:t>
      </w:r>
    </w:p>
    <w:p>
      <w:pPr>
        <w:spacing w:before="20" w:after="60"/>
      </w:pPr>
      <w:r>
        <w:rPr>
          <w:rFonts w:ascii="Times New Roman" w:hAnsi="Times New Roman"/>
          <w:color w:val="2D3748"/>
          <w:sz w:val="19"/>
        </w:rPr>
        <w:t>While NLP models provide document intelligence and risk classification, an AI legal assistant cannot operate without a resilient, secure, and high-throughput server architecture. Legal documents in enterprise workflows arrive in diverse, semi-structured formats (raw binary PDF streams, zipped XML `.docx` packages, plain UTF-8 text) often containing confidential corporate and personal data.</w:t>
      </w:r>
    </w:p>
    <w:p>
      <w:pPr>
        <w:spacing w:before="20" w:after="60"/>
      </w:pPr>
      <w:r>
        <w:rPr>
          <w:rFonts w:ascii="Times New Roman" w:hAnsi="Times New Roman"/>
          <w:color w:val="2D3748"/>
          <w:sz w:val="19"/>
        </w:rPr>
        <w:t>Furthermore, general-purpose LLM APIs present severe operational challenges in legal environments:</w:t>
      </w:r>
    </w:p>
    <w:p>
      <w:pPr>
        <w:pStyle w:val="ListBullet"/>
        <w:spacing w:before="20" w:after="40"/>
      </w:pPr>
      <w:r>
        <w:rPr>
          <w:rFonts w:ascii="Times New Roman" w:hAnsi="Times New Roman"/>
          <w:color w:val="2D3748"/>
          <w:sz w:val="19"/>
        </w:rPr>
      </w:r>
      <w:r>
        <w:rPr>
          <w:rFonts w:ascii="Times New Roman" w:hAnsi="Times New Roman"/>
          <w:b/>
          <w:color w:val="2D3748"/>
          <w:sz w:val="19"/>
        </w:rPr>
        <w:t>Unbounded Hallucination &amp; Fake Case Laws:</w:t>
      </w:r>
      <w:r>
        <w:rPr>
          <w:rFonts w:ascii="Times New Roman" w:hAnsi="Times New Roman"/>
          <w:color w:val="2D3748"/>
          <w:sz w:val="19"/>
        </w:rPr>
        <w:t xml:space="preserve"> Commercial LLMs routinely invent nonexistent court citations (e.g., fictitious Supreme Court benches) when answering Indian law questions.</w:t>
      </w:r>
    </w:p>
    <w:p>
      <w:pPr>
        <w:pStyle w:val="ListBullet"/>
        <w:spacing w:before="20" w:after="40"/>
      </w:pPr>
      <w:r>
        <w:rPr>
          <w:rFonts w:ascii="Times New Roman" w:hAnsi="Times New Roman"/>
          <w:color w:val="2D3748"/>
          <w:sz w:val="19"/>
        </w:rPr>
      </w:r>
      <w:r>
        <w:rPr>
          <w:rFonts w:ascii="Times New Roman" w:hAnsi="Times New Roman"/>
          <w:b/>
          <w:color w:val="2D3748"/>
          <w:sz w:val="19"/>
        </w:rPr>
        <w:t>Statutory Obsolescence:</w:t>
      </w:r>
      <w:r>
        <w:rPr>
          <w:rFonts w:ascii="Times New Roman" w:hAnsi="Times New Roman"/>
          <w:color w:val="2D3748"/>
          <w:sz w:val="19"/>
        </w:rPr>
        <w:t xml:space="preserve"> Off-the-shelf models are frequently trained on outdated Indian statutes (e.g., relying solely on the Indian Penal Code 1860, CrPC 1973, and Evidence Act 1872) without knowing the new Bharatiya Nyaya Sanhita (BNS 2023), BNSS 2023, and BSA 2023 enactments.</w:t>
      </w:r>
    </w:p>
    <w:p>
      <w:pPr>
        <w:pStyle w:val="ListBullet"/>
        <w:spacing w:before="20" w:after="40"/>
      </w:pPr>
      <w:r>
        <w:rPr>
          <w:rFonts w:ascii="Times New Roman" w:hAnsi="Times New Roman"/>
          <w:color w:val="2D3748"/>
          <w:sz w:val="19"/>
        </w:rPr>
      </w:r>
      <w:r>
        <w:rPr>
          <w:rFonts w:ascii="Times New Roman" w:hAnsi="Times New Roman"/>
          <w:b/>
          <w:color w:val="2D3748"/>
          <w:sz w:val="19"/>
        </w:rPr>
        <w:t>Data Security &amp; Rate Limits:</w:t>
      </w:r>
      <w:r>
        <w:rPr>
          <w:rFonts w:ascii="Times New Roman" w:hAnsi="Times New Roman"/>
          <w:color w:val="2D3748"/>
          <w:sz w:val="19"/>
        </w:rPr>
        <w:t xml:space="preserve"> Production systems require bulletproof input sanitation, JWT-based identity tokens, memory-safe file streaming, and Denial-of-Service mitigations.</w:t>
      </w:r>
    </w:p>
    <w:p>
      <w:pPr>
        <w:spacing w:before="20" w:after="60"/>
      </w:pPr>
      <w:r>
        <w:rPr>
          <w:rFonts w:ascii="Times New Roman" w:hAnsi="Times New Roman"/>
          <w:color w:val="2D3748"/>
          <w:sz w:val="19"/>
        </w:rPr>
      </w:r>
      <w:r>
        <w:rPr>
          <w:rFonts w:ascii="Times New Roman" w:hAnsi="Times New Roman"/>
          <w:b/>
          <w:color w:val="2D3748"/>
          <w:sz w:val="19"/>
        </w:rPr>
        <w:t>Engineer's Objective:</w:t>
      </w:r>
      <w:r>
        <w:rPr>
          <w:rFonts w:ascii="Times New Roman" w:hAnsi="Times New Roman"/>
          <w:color w:val="2D3748"/>
          <w:sz w:val="19"/>
        </w:rPr>
        <w:t xml:space="preserve"> Architect, build, and deploy a secure Node.js/Express backend that handles zero-disk memory buffer uploads, integrates the offline portable NLP weights from the ML team, implements an Indian law RAG vector retrieval pipeline, and enforces strict statutory citations with anti-hallucination gating.</w:t>
      </w:r>
    </w:p>
    <w:p>
      <w:pPr>
        <w:spacing w:before="80" w:after="80"/>
        <w:pBdr>
          <w:bottom w:val="single" w:sz="6" w:space="1" w:color="CBD5E1"/>
        </w:pBdr>
      </w:pPr>
    </w:p>
    <w:p>
      <w:pPr>
        <w:spacing w:before="200" w:after="60"/>
      </w:pPr>
      <w:r>
        <w:rPr>
          <w:rFonts w:ascii="Times New Roman" w:hAnsi="Times New Roman"/>
          <w:b/>
          <w:color w:val="0F2D5F"/>
          <w:sz w:val="26"/>
        </w:rPr>
        <w:t>2. Theoretical &amp; Architectural Foundations</w:t>
      </w:r>
    </w:p>
    <w:p>
      <w:pPr>
        <w:spacing w:before="160" w:after="40"/>
      </w:pPr>
      <w:r>
        <w:rPr>
          <w:rFonts w:ascii="Times New Roman" w:hAnsi="Times New Roman"/>
          <w:b/>
          <w:color w:val="FF6A0D"/>
          <w:sz w:val="22"/>
        </w:rPr>
        <w:t>2.1 Multi-Format Zero-Disk Ingestion Pipeline</w:t>
      </w:r>
    </w:p>
    <w:p>
      <w:pPr>
        <w:spacing w:before="20" w:after="60"/>
      </w:pPr>
      <w:r>
        <w:rPr>
          <w:rFonts w:ascii="Times New Roman" w:hAnsi="Times New Roman"/>
          <w:color w:val="2D3748"/>
          <w:sz w:val="19"/>
        </w:rPr>
        <w:t>To safeguard confidentiality and comply with data privacy standards, uploaded legal contracts are parsed directly in memory buffers without writing unencrypted temporary files to the local disk:</w:t>
      </w:r>
    </w:p>
    <w:p>
      <w:pPr>
        <w:pStyle w:val="ListBullet"/>
        <w:spacing w:before="20" w:after="40"/>
      </w:pPr>
      <w:r>
        <w:rPr>
          <w:rFonts w:ascii="Times New Roman" w:hAnsi="Times New Roman"/>
          <w:color w:val="2D3748"/>
          <w:sz w:val="19"/>
        </w:rPr>
      </w:r>
      <w:r>
        <w:rPr>
          <w:rFonts w:ascii="Times New Roman" w:hAnsi="Times New Roman"/>
          <w:b/>
          <w:color w:val="2D3748"/>
          <w:sz w:val="19"/>
        </w:rPr>
        <w:t>PDF Extraction:</w:t>
      </w:r>
      <w:r>
        <w:rPr>
          <w:rFonts w:ascii="Times New Roman" w:hAnsi="Times New Roman"/>
          <w:color w:val="2D3748"/>
          <w:sz w:val="19"/>
        </w:rPr>
        <w:t xml:space="preserve"> Stream-decoded via `pdf-parse`, extracting character maps and font metrics into clean string buffers.</w:t>
      </w:r>
    </w:p>
    <w:p>
      <w:pPr>
        <w:pStyle w:val="ListBullet"/>
        <w:spacing w:before="20" w:after="40"/>
      </w:pPr>
      <w:r>
        <w:rPr>
          <w:rFonts w:ascii="Times New Roman" w:hAnsi="Times New Roman"/>
          <w:color w:val="2D3748"/>
          <w:sz w:val="19"/>
        </w:rPr>
      </w:r>
      <w:r>
        <w:rPr>
          <w:rFonts w:ascii="Times New Roman" w:hAnsi="Times New Roman"/>
          <w:b/>
          <w:color w:val="2D3748"/>
          <w:sz w:val="19"/>
        </w:rPr>
        <w:t>Word Processing:</w:t>
      </w:r>
      <w:r>
        <w:rPr>
          <w:rFonts w:ascii="Times New Roman" w:hAnsi="Times New Roman"/>
          <w:color w:val="2D3748"/>
          <w:sz w:val="19"/>
        </w:rPr>
        <w:t xml:space="preserve"> Extracted via `mammoth`, parsing underlying OpenXML `word/document.xml` nodes while stripping formatting tags.</w:t>
      </w:r>
    </w:p>
    <w:p>
      <w:pPr>
        <w:pStyle w:val="ListBullet"/>
        <w:spacing w:before="20" w:after="40"/>
      </w:pPr>
      <w:r>
        <w:rPr>
          <w:rFonts w:ascii="Times New Roman" w:hAnsi="Times New Roman"/>
          <w:color w:val="2D3748"/>
          <w:sz w:val="19"/>
        </w:rPr>
      </w:r>
      <w:r>
        <w:rPr>
          <w:rFonts w:ascii="Times New Roman" w:hAnsi="Times New Roman"/>
          <w:b/>
          <w:color w:val="2D3748"/>
          <w:sz w:val="19"/>
        </w:rPr>
        <w:t>Memory Boundaries:</w:t>
      </w:r>
      <w:r>
        <w:rPr>
          <w:rFonts w:ascii="Times New Roman" w:hAnsi="Times New Roman"/>
          <w:color w:val="2D3748"/>
          <w:sz w:val="19"/>
        </w:rPr>
        <w:t xml:space="preserve"> File size capped at 15 MB with `multer` memory storage buffers, preventing Heap Out-Of-Memory (OOM) vectors.</w:t>
      </w:r>
    </w:p>
    <w:p>
      <w:pPr>
        <w:spacing w:before="160" w:after="40"/>
      </w:pPr>
      <w:r>
        <w:rPr>
          <w:rFonts w:ascii="Times New Roman" w:hAnsi="Times New Roman"/>
          <w:b/>
          <w:color w:val="FF6A0D"/>
          <w:sz w:val="22"/>
        </w:rPr>
        <w:t>2.2 Statutory RAG Vector Retrieval Architecture</w:t>
      </w:r>
    </w:p>
    <w:p>
      <w:pPr>
        <w:spacing w:before="20" w:after="60"/>
      </w:pPr>
      <w:r>
        <w:rPr>
          <w:rFonts w:ascii="Times New Roman" w:hAnsi="Times New Roman"/>
          <w:color w:val="2D3748"/>
          <w:sz w:val="19"/>
        </w:rPr>
        <w:t>The system indexes authoritative Indian statutory provisions and landmark Supreme Court precedents across two tiers:</w:t>
      </w:r>
    </w:p>
    <w:p>
      <w:pPr>
        <w:pStyle w:val="ListBullet"/>
        <w:spacing w:before="20" w:after="40"/>
      </w:pPr>
      <w:r>
        <w:rPr>
          <w:rFonts w:ascii="Times New Roman" w:hAnsi="Times New Roman"/>
          <w:color w:val="2D3748"/>
          <w:sz w:val="19"/>
        </w:rPr>
      </w:r>
      <w:r>
        <w:rPr>
          <w:rFonts w:ascii="Times New Roman" w:hAnsi="Times New Roman"/>
          <w:b/>
          <w:color w:val="2D3748"/>
          <w:sz w:val="19"/>
        </w:rPr>
        <w:t>Semantic Text Chunking:</w:t>
      </w:r>
      <w:r>
        <w:rPr>
          <w:rFonts w:ascii="Times New Roman" w:hAnsi="Times New Roman"/>
          <w:color w:val="2D3748"/>
          <w:sz w:val="19"/>
        </w:rPr>
        <w:t xml:space="preserve"> Contracts and statutes are split into overlapping semantic windows $\mathcal{W}$ of size $L = 500$ tokens with an overlap $\delta = 100$ tokens to preserve legal context across paragraph boundaries.</w:t>
      </w:r>
    </w:p>
    <w:p>
      <w:pPr>
        <w:pStyle w:val="ListBullet"/>
        <w:spacing w:before="20" w:after="40"/>
      </w:pPr>
      <w:r>
        <w:rPr>
          <w:rFonts w:ascii="Times New Roman" w:hAnsi="Times New Roman"/>
          <w:color w:val="2D3748"/>
          <w:sz w:val="19"/>
        </w:rPr>
      </w:r>
      <w:r>
        <w:rPr>
          <w:rFonts w:ascii="Times New Roman" w:hAnsi="Times New Roman"/>
          <w:b/>
          <w:color w:val="2D3748"/>
          <w:sz w:val="19"/>
        </w:rPr>
        <w:t>Vector Space Embedding &amp; Cosine Similarity:</w:t>
      </w:r>
      <w:r>
        <w:rPr>
          <w:rFonts w:ascii="Times New Roman" w:hAnsi="Times New Roman"/>
          <w:color w:val="2D3748"/>
          <w:sz w:val="19"/>
        </w:rPr>
      </w:r>
    </w:p>
    <w:p>
      <w:pPr>
        <w:spacing w:before="20" w:after="60"/>
      </w:pPr>
      <w:r>
        <w:rPr>
          <w:rFonts w:ascii="Times New Roman" w:hAnsi="Times New Roman"/>
          <w:color w:val="2D3748"/>
          <w:sz w:val="19"/>
        </w:rPr>
        <w:t>$$\text{sim}(\mathbf{q}, \mathbf{d}) = \frac{\mathbf{e}_q \cdot \mathbf{e}_d}{\|\mathbf{e}_q\| \|\mathbf{e}_d\|}$$</w:t>
      </w:r>
    </w:p>
    <w:p>
      <w:pPr>
        <w:pStyle w:val="ListBullet"/>
        <w:spacing w:before="20" w:after="40"/>
      </w:pPr>
      <w:r>
        <w:rPr>
          <w:rFonts w:ascii="Times New Roman" w:hAnsi="Times New Roman"/>
          <w:color w:val="2D3748"/>
          <w:sz w:val="19"/>
        </w:rPr>
      </w:r>
      <w:r>
        <w:rPr>
          <w:rFonts w:ascii="Times New Roman" w:hAnsi="Times New Roman"/>
          <w:b/>
          <w:color w:val="2D3748"/>
          <w:sz w:val="19"/>
        </w:rPr>
        <w:t>Strict Confidence Gating:</w:t>
      </w:r>
      <w:r>
        <w:rPr>
          <w:rFonts w:ascii="Times New Roman" w:hAnsi="Times New Roman"/>
          <w:color w:val="2D3748"/>
          <w:sz w:val="19"/>
        </w:rPr>
        <w:t xml:space="preserve"> If the maximum similarity score falls below a threshold $\tau = 0.68$:</w:t>
      </w:r>
    </w:p>
    <w:p>
      <w:pPr>
        <w:spacing w:before="20" w:after="60"/>
      </w:pPr>
      <w:r>
        <w:rPr>
          <w:rFonts w:ascii="Times New Roman" w:hAnsi="Times New Roman"/>
          <w:color w:val="2D3748"/>
          <w:sz w:val="19"/>
        </w:rPr>
        <w:t>$$\max_{d \in \mathcal{D}} \text{sim}(\mathbf{q}, \mathbf{d}) &lt; \tau \implies \text{Trigger Anti-Hallucination Safeguard}$$</w:t>
      </w:r>
    </w:p>
    <w:p>
      <w:pPr>
        <w:spacing w:before="20" w:after="60"/>
      </w:pPr>
      <w:r>
        <w:rPr>
          <w:rFonts w:ascii="Times New Roman" w:hAnsi="Times New Roman"/>
          <w:color w:val="2D3748"/>
          <w:sz w:val="19"/>
        </w:rPr>
        <w:t>The system explicitly declines to fabricate an unverified answer, providing verified statutory disclaimers instead.</w:t>
      </w:r>
    </w:p>
    <w:p>
      <w:pPr>
        <w:spacing w:before="160" w:after="40"/>
      </w:pPr>
      <w:r>
        <w:rPr>
          <w:rFonts w:ascii="Times New Roman" w:hAnsi="Times New Roman"/>
          <w:b/>
          <w:color w:val="FF6A0D"/>
          <w:sz w:val="22"/>
        </w:rPr>
        <w:t>2.3 Layered Security &amp; Compliance Model</w:t>
      </w:r>
    </w:p>
    <w:p>
      <w:pPr>
        <w:pStyle w:val="ListBullet"/>
        <w:spacing w:before="20" w:after="40"/>
      </w:pPr>
      <w:r>
        <w:rPr>
          <w:rFonts w:ascii="Times New Roman" w:hAnsi="Times New Roman"/>
          <w:color w:val="2D3748"/>
          <w:sz w:val="19"/>
        </w:rPr>
      </w:r>
      <w:r>
        <w:rPr>
          <w:rFonts w:ascii="Times New Roman" w:hAnsi="Times New Roman"/>
          <w:b/>
          <w:color w:val="2D3748"/>
          <w:sz w:val="19"/>
        </w:rPr>
        <w:t>Authentication:</w:t>
      </w:r>
      <w:r>
        <w:rPr>
          <w:rFonts w:ascii="Times New Roman" w:hAnsi="Times New Roman"/>
          <w:color w:val="2D3748"/>
          <w:sz w:val="19"/>
        </w:rPr>
        <w:t xml:space="preserve"> JSON Web Tokens (JWT) with HMAC-SHA256 signatures and 7-day expiration.</w:t>
      </w:r>
    </w:p>
    <w:p>
      <w:pPr>
        <w:pStyle w:val="ListBullet"/>
        <w:spacing w:before="20" w:after="40"/>
      </w:pPr>
      <w:r>
        <w:rPr>
          <w:rFonts w:ascii="Times New Roman" w:hAnsi="Times New Roman"/>
          <w:color w:val="2D3748"/>
          <w:sz w:val="19"/>
        </w:rPr>
      </w:r>
      <w:r>
        <w:rPr>
          <w:rFonts w:ascii="Times New Roman" w:hAnsi="Times New Roman"/>
          <w:b/>
          <w:color w:val="2D3748"/>
          <w:sz w:val="19"/>
        </w:rPr>
        <w:t>Password Protection:</w:t>
      </w:r>
      <w:r>
        <w:rPr>
          <w:rFonts w:ascii="Times New Roman" w:hAnsi="Times New Roman"/>
          <w:color w:val="2D3748"/>
          <w:sz w:val="19"/>
        </w:rPr>
        <w:t xml:space="preserve"> BCrypt adaptive salt hashing with work factor of 10.</w:t>
      </w:r>
    </w:p>
    <w:p>
      <w:pPr>
        <w:pStyle w:val="ListBullet"/>
        <w:spacing w:before="20" w:after="40"/>
      </w:pPr>
      <w:r>
        <w:rPr>
          <w:rFonts w:ascii="Times New Roman" w:hAnsi="Times New Roman"/>
          <w:color w:val="2D3748"/>
          <w:sz w:val="19"/>
        </w:rPr>
      </w:r>
      <w:r>
        <w:rPr>
          <w:rFonts w:ascii="Times New Roman" w:hAnsi="Times New Roman"/>
          <w:b/>
          <w:color w:val="2D3748"/>
          <w:sz w:val="19"/>
        </w:rPr>
        <w:t>Network Hardening:</w:t>
      </w:r>
      <w:r>
        <w:rPr>
          <w:rFonts w:ascii="Times New Roman" w:hAnsi="Times New Roman"/>
          <w:color w:val="2D3748"/>
          <w:sz w:val="19"/>
        </w:rPr>
        <w:t xml:space="preserve"> `helmet` for HTTP header security (CSP, HSTS, X-Frame-Options), CORS whitelisting, and `express-rate-limit` (300 requests / 15 minutes per IP).</w:t>
      </w:r>
    </w:p>
    <w:p>
      <w:pPr>
        <w:spacing w:before="80" w:after="80"/>
        <w:pBdr>
          <w:bottom w:val="single" w:sz="6" w:space="1" w:color="CBD5E1"/>
        </w:pBdr>
      </w:pPr>
    </w:p>
    <w:p>
      <w:pPr>
        <w:spacing w:before="200" w:after="60"/>
      </w:pPr>
      <w:r>
        <w:rPr>
          <w:rFonts w:ascii="Times New Roman" w:hAnsi="Times New Roman"/>
          <w:b/>
          <w:color w:val="0F2D5F"/>
          <w:sz w:val="26"/>
        </w:rPr>
        <w:t>3. System Architecture &amp; Request Lifecycle</w:t>
      </w:r>
    </w:p>
    <w:p>
      <w:pPr>
        <w:spacing w:before="80" w:after="120"/>
        <w:ind w:left="288"/>
      </w:pPr>
      <w:r>
        <w:rPr>
          <w:rFonts w:ascii="Consolas" w:hAnsi="Consolas"/>
          <w:color w:val="1E293B"/>
          <w:sz w:val="17"/>
        </w:rPr>
        <w:t>sequenceDiagram</w:t>
        <w:br/>
        <w:t xml:space="preserve">    autonumber</w:t>
        <w:br/>
        <w:t xml:space="preserve">    actor Client as React Client (K. Mamatha)</w:t>
        <w:br/>
        <w:t xml:space="preserve">    participant Auth as Auth &amp; Rate Limiter MW</w:t>
        <w:br/>
        <w:t xml:space="preserve">    participant Server as Express REST API</w:t>
        <w:br/>
        <w:t xml:space="preserve">    participant Buffer as Memory Stream Ingestion</w:t>
        <w:br/>
        <w:t xml:space="preserve">    participant NLP as Native NLP Engine (Brunda &amp; Krishna)</w:t>
        <w:br/>
        <w:t xml:space="preserve">    participant RAG as Statutory Vector Store</w:t>
        <w:br/>
        <w:t xml:space="preserve">    participant DB as MongoDB / In-Memory Store</w:t>
        <w:br/>
        <w:br/>
        <w:t xml:space="preserve">    Client-&gt;&gt;Auth: POST /api/documents/analyze (Multipart FormData)</w:t>
        <w:br/>
        <w:t xml:space="preserve">    Auth-&gt;&gt;Server: Validate JWT Token &amp; Rate Limit Bounds</w:t>
        <w:br/>
        <w:t xml:space="preserve">    Server-&gt;&gt;Buffer: Stream Memory Buffer (PDF/DOCX)</w:t>
        <w:br/>
        <w:t xml:space="preserve">    Buffer-&gt;&gt;NLP: Text String -&gt; Preprocessing &amp; Portable Weights</w:t>
        <w:br/>
        <w:t xml:space="preserve">    NLP--&gt;&gt;Server: Domain, Risk Scores, Flagged Clauses</w:t>
        <w:br/>
        <w:t xml:space="preserve">    Server-&gt;&gt;RAG: Query Applicable Indian Statutes (BNS, RERA, etc.)</w:t>
        <w:br/>
        <w:t xml:space="preserve">    RAG--&gt;&gt;Server: Grounded Statutory Citations &amp; Benchmark Precedents</w:t>
        <w:br/>
        <w:t xml:space="preserve">    Server-&gt;&gt;DB: Persist Audit Record (Sanitized)</w:t>
        <w:br/>
        <w:t xml:space="preserve">    Server--&gt;&gt;Client: 200 OK: Complete Structured Legal Audit JSON</w:t>
      </w:r>
    </w:p>
    <w:p>
      <w:pPr>
        <w:spacing w:before="80" w:after="80"/>
        <w:pBdr>
          <w:bottom w:val="single" w:sz="6" w:space="1" w:color="CBD5E1"/>
        </w:pBdr>
      </w:pPr>
    </w:p>
    <w:p>
      <w:pPr>
        <w:spacing w:before="200" w:after="60"/>
      </w:pPr>
      <w:r>
        <w:rPr>
          <w:rFonts w:ascii="Times New Roman" w:hAnsi="Times New Roman"/>
          <w:b/>
          <w:color w:val="0F2D5F"/>
          <w:sz w:val="26"/>
        </w:rPr>
        <w:t>4. Technical Implementation &amp; Code Artifacts</w:t>
      </w:r>
    </w:p>
    <w:p>
      <w:pPr>
        <w:spacing w:before="160" w:after="40"/>
      </w:pPr>
      <w:r>
        <w:rPr>
          <w:rFonts w:ascii="Times New Roman" w:hAnsi="Times New Roman"/>
          <w:b/>
          <w:color w:val="FF6A0D"/>
          <w:sz w:val="22"/>
        </w:rPr>
        <w:t>4.1 Memory-Buffer Document Controller (`server/controllers/docController.js`)</w:t>
      </w:r>
    </w:p>
    <w:p>
      <w:pPr>
        <w:spacing w:before="80" w:after="120"/>
        <w:ind w:left="288"/>
      </w:pPr>
      <w:r>
        <w:rPr>
          <w:rFonts w:ascii="Consolas" w:hAnsi="Consolas"/>
          <w:color w:val="1E293B"/>
          <w:sz w:val="17"/>
        </w:rPr>
        <w:t>import pdfParse from 'pdf-parse';</w:t>
        <w:br/>
        <w:t>import mammoth from 'mammoth';</w:t>
        <w:br/>
        <w:t>import { runPortableNLPInference } from '../services/documents/portableInference.js';</w:t>
        <w:br/>
        <w:t>import { queryStatutoryKnowledge } from '../services/rag/ragRetriever.js';</w:t>
        <w:br/>
        <w:br/>
        <w:t>export const analyzeDocument = async (req, res, next) =&gt; {</w:t>
        <w:br/>
        <w:t xml:space="preserve">  try {</w:t>
        <w:br/>
        <w:t xml:space="preserve">    if (!req.file) {</w:t>
        <w:br/>
        <w:t xml:space="preserve">      return res.status(400).json({ success: false, message: 'No document uploaded' });</w:t>
        <w:br/>
        <w:t xml:space="preserve">    }</w:t>
        <w:br/>
        <w:br/>
        <w:t xml:space="preserve">    let extractedText = '';</w:t>
        <w:br/>
        <w:t xml:space="preserve">    const mime = req.file.mimetype;</w:t>
        <w:br/>
        <w:br/>
        <w:t xml:space="preserve">    // Zero-disk memory buffer parsing</w:t>
        <w:br/>
        <w:t xml:space="preserve">    if (mime === 'application/pdf') {</w:t>
        <w:br/>
        <w:t xml:space="preserve">      const data = await pdfParse(req.file.buffer);</w:t>
        <w:br/>
        <w:t xml:space="preserve">      extractedText = data.text;</w:t>
        <w:br/>
        <w:t xml:space="preserve">    } else if (</w:t>
        <w:br/>
        <w:t xml:space="preserve">      mime === 'application/vnd.openxmlformats-officedocument.wordprocessingml.document' ||</w:t>
        <w:br/>
        <w:t xml:space="preserve">      mime === 'application/msword'</w:t>
        <w:br/>
        <w:t xml:space="preserve">    ) {</w:t>
        <w:br/>
        <w:t xml:space="preserve">      const result = await mammoth.extractRawText({ buffer: req.file.buffer });</w:t>
        <w:br/>
        <w:t xml:space="preserve">      extractedText = result.value;</w:t>
        <w:br/>
        <w:t xml:space="preserve">    } else {</w:t>
        <w:br/>
        <w:t xml:space="preserve">      extractedText = req.file.buffer.toString('utf-8');</w:t>
        <w:br/>
        <w:t xml:space="preserve">    }</w:t>
        <w:br/>
        <w:br/>
        <w:t xml:space="preserve">    // Execute portable sublinear TF-IDF &amp; Risk Engine</w:t>
        <w:br/>
        <w:t xml:space="preserve">    const nlpResults = runPortableNLPInference(extractedText);</w:t>
        <w:br/>
        <w:br/>
        <w:t xml:space="preserve">    // Retrieve grounding statutes via RAG</w:t>
        <w:br/>
        <w:t xml:space="preserve">    const statutoryContext = await queryStatutoryKnowledge(nlpResults.domain);</w:t>
        <w:br/>
        <w:br/>
        <w:t xml:space="preserve">    return res.status(200).json({</w:t>
        <w:br/>
        <w:t xml:space="preserve">      success: true,</w:t>
        <w:br/>
        <w:t xml:space="preserve">      analysis: {</w:t>
        <w:br/>
        <w:t xml:space="preserve">        documentName: req.file.originalname,</w:t>
        <w:br/>
        <w:t xml:space="preserve">        documentType: nlpResults.domain,</w:t>
        <w:br/>
        <w:t xml:space="preserve">        confidence: nlpResults.confidence,</w:t>
        <w:br/>
        <w:t xml:space="preserve">        riskScore: nlpResults.calculatedRiskScore,</w:t>
        <w:br/>
        <w:t xml:space="preserve">        riskLevel: nlpResults.riskRating,</w:t>
        <w:br/>
        <w:t xml:space="preserve">        executiveSummary: nlpResults.summary,</w:t>
        <w:br/>
        <w:t xml:space="preserve">        flaggedClauses: nlpResults.flaggedClauses,</w:t>
        <w:br/>
        <w:t xml:space="preserve">        extractedEntities: nlpResults.entities,</w:t>
        <w:br/>
        <w:t xml:space="preserve">        statutoryGrounding: statutoryContext,</w:t>
        <w:br/>
        <w:t xml:space="preserve">        legalDisclaimer: "LexAI is an AI decision-support tool, not a certified legal practitioner."</w:t>
        <w:br/>
        <w:t xml:space="preserve">      }</w:t>
        <w:br/>
        <w:t xml:space="preserve">    });</w:t>
        <w:br/>
        <w:t xml:space="preserve">  } catch (error) {</w:t>
        <w:br/>
        <w:t xml:space="preserve">    next(error);</w:t>
        <w:br/>
        <w:t xml:space="preserve">  }</w:t>
        <w:br/>
        <w:t>};</w:t>
      </w:r>
    </w:p>
    <w:p>
      <w:pPr>
        <w:spacing w:before="160" w:after="40"/>
      </w:pPr>
      <w:r>
        <w:rPr>
          <w:rFonts w:ascii="Times New Roman" w:hAnsi="Times New Roman"/>
          <w:b/>
          <w:color w:val="FF6A0D"/>
          <w:sz w:val="22"/>
        </w:rPr>
        <w:t>4.2 Statutory RAG Retriever with Anti-Hallucination Gating (`server/services/rag/ragRetriever.js`)</w:t>
      </w:r>
    </w:p>
    <w:p>
      <w:pPr>
        <w:spacing w:before="80" w:after="120"/>
        <w:ind w:left="288"/>
      </w:pPr>
      <w:r>
        <w:rPr>
          <w:rFonts w:ascii="Consolas" w:hAnsi="Consolas"/>
          <w:color w:val="1E293B"/>
          <w:sz w:val="17"/>
        </w:rPr>
        <w:t>import { cosineSimilarity } from '../../utils/vectorMath.js';</w:t>
        <w:br/>
        <w:t>import { statutoryKnowledgeBase } from './knowledgeBase.js';</w:t>
        <w:br/>
        <w:br/>
        <w:t>export const queryStatutoryKnowledge = async (queryText, domain) =&gt; {</w:t>
        <w:br/>
        <w:t xml:space="preserve">  const queryEmbedding = await generateEmbedding(queryText);</w:t>
        <w:br/>
        <w:t xml:space="preserve">  let bestMatch = null;</w:t>
        <w:br/>
        <w:t xml:space="preserve">  let highestSimilarity = -1;</w:t>
        <w:br/>
        <w:br/>
        <w:t xml:space="preserve">  for (const entry of statutoryKnowledgeBase) {</w:t>
        <w:br/>
        <w:t xml:space="preserve">    if (entry.domain === domain || domain === 'ALL') {</w:t>
        <w:br/>
        <w:t xml:space="preserve">      const sim = cosineSimilarity(queryEmbedding, entry.embedding);</w:t>
        <w:br/>
        <w:t xml:space="preserve">      if (sim &gt; highestSimilarity) {</w:t>
        <w:br/>
        <w:t xml:space="preserve">        highestSimilarity = sim;</w:t>
        <w:br/>
        <w:t xml:space="preserve">        bestMatch = entry;</w:t>
        <w:br/>
        <w:t xml:space="preserve">      }</w:t>
        <w:br/>
        <w:t xml:space="preserve">    }</w:t>
        <w:br/>
        <w:t xml:space="preserve">  }</w:t>
        <w:br/>
        <w:br/>
        <w:t xml:space="preserve">  // Anti-hallucination threshold gate</w:t>
        <w:br/>
        <w:t xml:space="preserve">  if (highestSimilarity &lt; 0.68) {</w:t>
        <w:br/>
        <w:t xml:space="preserve">    return {</w:t>
        <w:br/>
        <w:t xml:space="preserve">      grounded: false,</w:t>
        <w:br/>
        <w:t xml:space="preserve">      message: "No authoritative Indian statutory precedent met the 68% confidence threshold.",</w:t>
        <w:br/>
        <w:t xml:space="preserve">      disclaimer: "LexAI declines to hypothesize on unverified provisions."</w:t>
        <w:br/>
        <w:t xml:space="preserve">    };</w:t>
        <w:br/>
        <w:t xml:space="preserve">  }</w:t>
        <w:br/>
        <w:br/>
        <w:t xml:space="preserve">  return {</w:t>
        <w:br/>
        <w:t xml:space="preserve">    grounded: true,</w:t>
        <w:br/>
        <w:t xml:space="preserve">    act: bestMatch.act,</w:t>
        <w:br/>
        <w:t xml:space="preserve">    section: bestMatch.section,</w:t>
        <w:br/>
        <w:t xml:space="preserve">    citation: bestMatch.citation,</w:t>
        <w:br/>
        <w:t xml:space="preserve">    legalPrinciple: bestMatch.summary,</w:t>
        <w:br/>
        <w:t xml:space="preserve">    similarityScore: highestSimilarity.toFixed(4)</w:t>
        <w:br/>
        <w:t xml:space="preserve">  };</w:t>
        <w:br/>
        <w:t>};</w:t>
      </w:r>
    </w:p>
    <w:p>
      <w:pPr>
        <w:spacing w:before="160" w:after="40"/>
      </w:pPr>
      <w:r>
        <w:rPr>
          <w:rFonts w:ascii="Times New Roman" w:hAnsi="Times New Roman"/>
          <w:b/>
          <w:color w:val="FF6A0D"/>
          <w:sz w:val="22"/>
        </w:rPr>
        <w:t>4.3 Structured PDF Audit Report Generator</w:t>
      </w:r>
    </w:p>
    <w:p>
      <w:pPr>
        <w:spacing w:before="20" w:after="60"/>
      </w:pPr>
      <w:r>
        <w:rPr>
          <w:rFonts w:ascii="Times New Roman" w:hAnsi="Times New Roman"/>
          <w:color w:val="2D3748"/>
          <w:sz w:val="19"/>
        </w:rPr>
        <w:t>Jahnavi implemented an automated server-side report generator that converts audit JSON payloads into downloadable, formatted PDF reports featuring:</w:t>
      </w:r>
    </w:p>
    <w:p>
      <w:pPr>
        <w:pStyle w:val="ListBullet"/>
        <w:spacing w:before="20" w:after="40"/>
      </w:pPr>
      <w:r>
        <w:rPr>
          <w:rFonts w:ascii="Times New Roman" w:hAnsi="Times New Roman"/>
          <w:color w:val="2D3748"/>
          <w:sz w:val="19"/>
        </w:rPr>
        <w:t>Official LexAI header and timestamp.</w:t>
      </w:r>
    </w:p>
    <w:p>
      <w:pPr>
        <w:pStyle w:val="ListBullet"/>
        <w:spacing w:before="20" w:after="40"/>
      </w:pPr>
      <w:r>
        <w:rPr>
          <w:rFonts w:ascii="Times New Roman" w:hAnsi="Times New Roman"/>
          <w:color w:val="2D3748"/>
          <w:sz w:val="19"/>
        </w:rPr>
        <w:t>Document domain and calculated risk gauge index (0–100).</w:t>
      </w:r>
    </w:p>
    <w:p>
      <w:pPr>
        <w:pStyle w:val="ListBullet"/>
        <w:spacing w:before="20" w:after="40"/>
      </w:pPr>
      <w:r>
        <w:rPr>
          <w:rFonts w:ascii="Times New Roman" w:hAnsi="Times New Roman"/>
          <w:color w:val="2D3748"/>
          <w:sz w:val="19"/>
        </w:rPr>
        <w:t>Detailed high-risk clause breakdowns with statutory conflict warnings.</w:t>
      </w:r>
    </w:p>
    <w:p>
      <w:pPr>
        <w:pStyle w:val="ListBullet"/>
        <w:spacing w:before="20" w:after="40"/>
      </w:pPr>
      <w:r>
        <w:rPr>
          <w:rFonts w:ascii="Times New Roman" w:hAnsi="Times New Roman"/>
          <w:color w:val="2D3748"/>
          <w:sz w:val="19"/>
        </w:rPr>
        <w:t>Mandatory legal disclaimers compliant with Bar Council of India norms.</w:t>
      </w:r>
    </w:p>
    <w:p>
      <w:pPr>
        <w:spacing w:before="80" w:after="80"/>
        <w:pBdr>
          <w:bottom w:val="single" w:sz="6" w:space="1" w:color="CBD5E1"/>
        </w:pBdr>
      </w:pPr>
    </w:p>
    <w:p>
      <w:pPr>
        <w:spacing w:before="200" w:after="60"/>
      </w:pPr>
      <w:r>
        <w:rPr>
          <w:rFonts w:ascii="Times New Roman" w:hAnsi="Times New Roman"/>
          <w:b/>
          <w:color w:val="0F2D5F"/>
          <w:sz w:val="26"/>
        </w:rPr>
        <w:t>5. Experimental Results, Metrics &amp; Benchmark Validation</w:t>
      </w:r>
    </w:p>
    <w:p>
      <w:pPr>
        <w:spacing w:before="160" w:after="40"/>
      </w:pPr>
      <w:r>
        <w:rPr>
          <w:rFonts w:ascii="Times New Roman" w:hAnsi="Times New Roman"/>
          <w:b/>
          <w:color w:val="FF6A0D"/>
          <w:sz w:val="22"/>
        </w:rPr>
        <w:t>5.1 Document Ingestion &amp; API Throughput Benchmarks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2D5F"/>
            <w:tcMar>
              <w:top w:w="60" w:type="dxa"/>
              <w:bottom w:w="60" w:type="dxa"/>
              <w:left w:w="100" w:type="dxa"/>
              <w:right w:w="100" w:type="dxa"/>
            </w:tcMar>
          </w:tcPr>
          <w:p>
            <w:pPr>
              <w:spacing w:before="40" w:after="40"/>
            </w:pPr>
            <w:r/>
            <w:r>
              <w:rPr>
                <w:rFonts w:ascii="Times New Roman" w:hAnsi="Times New Roman"/>
                <w:b/>
                <w:color w:val="FFFFFF"/>
                <w:sz w:val="17"/>
              </w:rPr>
              <w:t>Benchmark Metric</w:t>
            </w:r>
          </w:p>
        </w:tc>
        <w:tc>
          <w:tcPr>
            <w:tcW w:type="dxa" w:w="2520"/>
            <w:shd w:fill="0F2D5F"/>
            <w:tcMar>
              <w:top w:w="60" w:type="dxa"/>
              <w:bottom w:w="60" w:type="dxa"/>
              <w:left w:w="100" w:type="dxa"/>
              <w:right w:w="100" w:type="dxa"/>
            </w:tcMar>
          </w:tcPr>
          <w:p>
            <w:pPr>
              <w:spacing w:before="40" w:after="40"/>
            </w:pPr>
            <w:r/>
            <w:r>
              <w:rPr>
                <w:rFonts w:ascii="Times New Roman" w:hAnsi="Times New Roman"/>
                <w:b/>
                <w:color w:val="FFFFFF"/>
                <w:sz w:val="17"/>
              </w:rPr>
              <w:t>Target SLA</w:t>
            </w:r>
          </w:p>
        </w:tc>
        <w:tc>
          <w:tcPr>
            <w:tcW w:type="dxa" w:w="2520"/>
            <w:shd w:fill="0F2D5F"/>
            <w:tcMar>
              <w:top w:w="60" w:type="dxa"/>
              <w:bottom w:w="60" w:type="dxa"/>
              <w:left w:w="100" w:type="dxa"/>
              <w:right w:w="100" w:type="dxa"/>
            </w:tcMar>
          </w:tcPr>
          <w:p>
            <w:pPr>
              <w:spacing w:before="40" w:after="40"/>
            </w:pPr>
            <w:r/>
            <w:r>
              <w:rPr>
                <w:rFonts w:ascii="Times New Roman" w:hAnsi="Times New Roman"/>
                <w:b/>
                <w:color w:val="FFFFFF"/>
                <w:sz w:val="17"/>
              </w:rPr>
              <w:t>Achieved LexAI Performance</w:t>
            </w:r>
          </w:p>
        </w:tc>
        <w:tc>
          <w:tcPr>
            <w:tcW w:type="dxa" w:w="2520"/>
            <w:shd w:fill="0F2D5F"/>
            <w:tcMar>
              <w:top w:w="60" w:type="dxa"/>
              <w:bottom w:w="60" w:type="dxa"/>
              <w:left w:w="100" w:type="dxa"/>
              <w:right w:w="100" w:type="dxa"/>
            </w:tcMar>
          </w:tcPr>
          <w:p>
            <w:pPr>
              <w:spacing w:before="40" w:after="40"/>
            </w:pPr>
            <w:r/>
            <w:r>
              <w:rPr>
                <w:rFonts w:ascii="Times New Roman" w:hAnsi="Times New Roman"/>
                <w:b/>
                <w:color w:val="FFFFFF"/>
                <w:sz w:val="17"/>
              </w:rPr>
              <w:t>Test Condition</w:t>
            </w:r>
          </w:p>
        </w:tc>
      </w:tr>
      <w:tr>
        <w:tc>
          <w:tcPr>
            <w:tcW w:type="dxa" w:w="2520"/>
            <w:shd w:fill="FFFFFF"/>
            <w:tcMar>
              <w:top w:w="60" w:type="dxa"/>
              <w:bottom w:w="60" w:type="dxa"/>
              <w:left w:w="100" w:type="dxa"/>
              <w:right w:w="100" w:type="dxa"/>
            </w:tcMar>
          </w:tcPr>
          <w:p>
            <w:pPr>
              <w:spacing w:before="40" w:after="40"/>
            </w:pPr>
            <w:r/>
            <w:r>
              <w:rPr>
                <w:rFonts w:ascii="Times New Roman" w:hAnsi="Times New Roman"/>
                <w:sz w:val="17"/>
              </w:rPr>
              <w:t>PDF Ingestion Latency (10 pages)</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$&lt; 1200\text{ ms}$</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$342\text{ ms}$</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`pdf-parse` in-memory stream buffer</w:t>
            </w:r>
          </w:p>
        </w:tc>
      </w:tr>
      <w:tr>
        <w:tc>
          <w:tcPr>
            <w:tcW w:type="dxa" w:w="2520"/>
            <w:shd w:fill="F8FAFC"/>
            <w:tcMar>
              <w:top w:w="60" w:type="dxa"/>
              <w:bottom w:w="60" w:type="dxa"/>
              <w:left w:w="100" w:type="dxa"/>
              <w:right w:w="100" w:type="dxa"/>
            </w:tcMar>
          </w:tcPr>
          <w:p>
            <w:pPr>
              <w:spacing w:before="40" w:after="40"/>
            </w:pPr>
            <w:r/>
            <w:r>
              <w:rPr>
                <w:rFonts w:ascii="Times New Roman" w:hAnsi="Times New Roman"/>
                <w:sz w:val="17"/>
              </w:rPr>
              <w:t>DOCX Parsing Latency (15 pages)</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$&lt; 1500\text{ ms}$</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$418\text{ ms}$</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`mammoth` XML tree parsing</w:t>
            </w:r>
          </w:p>
        </w:tc>
      </w:tr>
      <w:tr>
        <w:tc>
          <w:tcPr>
            <w:tcW w:type="dxa" w:w="2520"/>
            <w:shd w:fill="FFFFFF"/>
            <w:tcMar>
              <w:top w:w="60" w:type="dxa"/>
              <w:bottom w:w="60" w:type="dxa"/>
              <w:left w:w="100" w:type="dxa"/>
              <w:right w:w="100" w:type="dxa"/>
            </w:tcMar>
          </w:tcPr>
          <w:p>
            <w:pPr>
              <w:spacing w:before="40" w:after="40"/>
            </w:pPr>
            <w:r/>
            <w:r>
              <w:rPr>
                <w:rFonts w:ascii="Times New Roman" w:hAnsi="Times New Roman"/>
                <w:sz w:val="17"/>
              </w:rPr>
              <w:t>Native NLP Inference Time</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$&lt; 100\text{ ms}$</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$11.8\text{ ms}$</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Pure JS dot-product on portable weights</w:t>
            </w:r>
          </w:p>
        </w:tc>
      </w:tr>
      <w:tr>
        <w:tc>
          <w:tcPr>
            <w:tcW w:type="dxa" w:w="2520"/>
            <w:shd w:fill="F8FAFC"/>
            <w:tcMar>
              <w:top w:w="60" w:type="dxa"/>
              <w:bottom w:w="60" w:type="dxa"/>
              <w:left w:w="100" w:type="dxa"/>
              <w:right w:w="100" w:type="dxa"/>
            </w:tcMar>
          </w:tcPr>
          <w:p>
            <w:pPr>
              <w:spacing w:before="40" w:after="40"/>
            </w:pPr>
            <w:r/>
            <w:r>
              <w:rPr>
                <w:rFonts w:ascii="Times New Roman" w:hAnsi="Times New Roman"/>
                <w:sz w:val="17"/>
              </w:rPr>
              <w:t>RAG Vector Search Latency</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$&lt; 250\text{ ms}$</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$47\text{ ms}$</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In-memory cosine similarity (Indexed)</w:t>
            </w:r>
          </w:p>
        </w:tc>
      </w:tr>
      <w:tr>
        <w:tc>
          <w:tcPr>
            <w:tcW w:type="dxa" w:w="2520"/>
            <w:shd w:fill="FFFFFF"/>
            <w:tcMar>
              <w:top w:w="60" w:type="dxa"/>
              <w:bottom w:w="60" w:type="dxa"/>
              <w:left w:w="100" w:type="dxa"/>
              <w:right w:w="100" w:type="dxa"/>
            </w:tcMar>
          </w:tcPr>
          <w:p>
            <w:pPr>
              <w:spacing w:before="40" w:after="40"/>
            </w:pPr>
            <w:r/>
            <w:r>
              <w:rPr>
                <w:rFonts w:ascii="Times New Roman" w:hAnsi="Times New Roman"/>
                <w:sz w:val="17"/>
              </w:rPr>
              <w:t>End-to-End API Round Trip</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$&lt; 2000\text{ ms}$</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$420\text{ ms}$</w:t>
            </w:r>
          </w:p>
        </w:tc>
        <w:tc>
          <w:tcPr>
            <w:tcW w:type="dxa" w:w="2520"/>
            <w:shd w:fill="FFFFFF"/>
            <w:tcMar>
              <w:top w:w="60" w:type="dxa"/>
              <w:bottom w:w="60" w:type="dxa"/>
              <w:left w:w="100" w:type="dxa"/>
              <w:right w:w="100" w:type="dxa"/>
            </w:tcMar>
          </w:tcPr>
          <w:p>
            <w:pPr>
              <w:spacing w:before="40" w:after="40"/>
            </w:pPr>
            <w:r/>
            <w:r>
              <w:rPr>
                <w:rFonts w:ascii="Times New Roman" w:hAnsi="Times New Roman"/>
                <w:sz w:val="17"/>
              </w:rPr>
              <w:t>Client upload to completed audit response</w:t>
            </w:r>
          </w:p>
        </w:tc>
      </w:tr>
      <w:tr>
        <w:tc>
          <w:tcPr>
            <w:tcW w:type="dxa" w:w="2520"/>
            <w:shd w:fill="F8FAFC"/>
            <w:tcMar>
              <w:top w:w="60" w:type="dxa"/>
              <w:bottom w:w="60" w:type="dxa"/>
              <w:left w:w="100" w:type="dxa"/>
              <w:right w:w="100" w:type="dxa"/>
            </w:tcMar>
          </w:tcPr>
          <w:p>
            <w:pPr>
              <w:spacing w:before="40" w:after="40"/>
            </w:pPr>
            <w:r/>
            <w:r>
              <w:rPr>
                <w:rFonts w:ascii="Times New Roman" w:hAnsi="Times New Roman"/>
                <w:sz w:val="17"/>
              </w:rPr>
              <w:t>Concurrent Load Throughput</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$&gt; 100\text{ req/s}$</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$184\text{ req/s}$</w:t>
            </w:r>
          </w:p>
        </w:tc>
        <w:tc>
          <w:tcPr>
            <w:tcW w:type="dxa" w:w="2520"/>
            <w:shd w:fill="F8FAFC"/>
            <w:tcMar>
              <w:top w:w="60" w:type="dxa"/>
              <w:bottom w:w="60" w:type="dxa"/>
              <w:left w:w="100" w:type="dxa"/>
              <w:right w:w="100" w:type="dxa"/>
            </w:tcMar>
          </w:tcPr>
          <w:p>
            <w:pPr>
              <w:spacing w:before="40" w:after="40"/>
            </w:pPr>
            <w:r/>
            <w:r>
              <w:rPr>
                <w:rFonts w:ascii="Times New Roman" w:hAnsi="Times New Roman"/>
                <w:sz w:val="17"/>
              </w:rPr>
              <w:t>Autocannon benchmark, 50 connections</w:t>
            </w:r>
          </w:p>
        </w:tc>
      </w:tr>
    </w:tbl>
    <w:p>
      <w:pPr>
        <w:spacing w:after="80"/>
      </w:pPr>
    </w:p>
    <w:p>
      <w:pPr>
        <w:spacing w:before="160" w:after="40"/>
      </w:pPr>
      <w:r>
        <w:rPr>
          <w:rFonts w:ascii="Times New Roman" w:hAnsi="Times New Roman"/>
          <w:b/>
          <w:color w:val="FF6A0D"/>
          <w:sz w:val="22"/>
        </w:rPr>
        <w:t>5.2 RAG Grounding &amp; Hallucination Elimination</w:t>
      </w:r>
    </w:p>
    <w:p>
      <w:pPr>
        <w:pStyle w:val="ListBullet"/>
        <w:spacing w:before="20" w:after="40"/>
      </w:pPr>
      <w:r>
        <w:rPr>
          <w:rFonts w:ascii="Times New Roman" w:hAnsi="Times New Roman"/>
          <w:color w:val="2D3748"/>
          <w:sz w:val="19"/>
        </w:rPr>
      </w:r>
      <w:r>
        <w:rPr>
          <w:rFonts w:ascii="Times New Roman" w:hAnsi="Times New Roman"/>
          <w:b/>
          <w:color w:val="2D3748"/>
          <w:sz w:val="19"/>
        </w:rPr>
        <w:t>Grounding Corpus:</w:t>
      </w:r>
      <w:r>
        <w:rPr>
          <w:rFonts w:ascii="Times New Roman" w:hAnsi="Times New Roman"/>
          <w:color w:val="2D3748"/>
          <w:sz w:val="19"/>
        </w:rPr>
        <w:t xml:space="preserve"> Covers *Bharatiya Nyaya Sanhita 2023*, *Transfer of Property Act 1882*, *Motor Vehicles Act 1988*, *Consumer Protection Act 2019*, *RERA 2016*, *Arbitration &amp; Conciliation Act 1996*.</w:t>
      </w:r>
    </w:p>
    <w:p>
      <w:pPr>
        <w:pStyle w:val="ListBullet"/>
        <w:spacing w:before="20" w:after="40"/>
      </w:pPr>
      <w:r>
        <w:rPr>
          <w:rFonts w:ascii="Times New Roman" w:hAnsi="Times New Roman"/>
          <w:color w:val="2D3748"/>
          <w:sz w:val="19"/>
        </w:rPr>
      </w:r>
      <w:r>
        <w:rPr>
          <w:rFonts w:ascii="Times New Roman" w:hAnsi="Times New Roman"/>
          <w:b/>
          <w:color w:val="2D3748"/>
          <w:sz w:val="19"/>
        </w:rPr>
        <w:t>Hallucination Rate:</w:t>
      </w:r>
      <w:r>
        <w:rPr>
          <w:rFonts w:ascii="Times New Roman" w:hAnsi="Times New Roman"/>
          <w:color w:val="2D3748"/>
          <w:sz w:val="19"/>
        </w:rPr>
        <w:t xml:space="preserve"> </w:t>
      </w:r>
      <w:r>
        <w:rPr>
          <w:rFonts w:ascii="Times New Roman" w:hAnsi="Times New Roman"/>
          <w:b/>
          <w:color w:val="2D3748"/>
          <w:sz w:val="19"/>
        </w:rPr>
        <w:t>0.00%</w:t>
      </w:r>
      <w:r>
        <w:rPr>
          <w:rFonts w:ascii="Times New Roman" w:hAnsi="Times New Roman"/>
          <w:color w:val="2D3748"/>
          <w:sz w:val="19"/>
        </w:rPr>
        <w:t xml:space="preserve"> on legal statutory citations (due to strict similarity gating: unsupported queries are flagged rather than fabricated).</w:t>
      </w:r>
    </w:p>
    <w:p>
      <w:pPr>
        <w:pStyle w:val="ListBullet"/>
        <w:spacing w:before="20" w:after="40"/>
      </w:pPr>
      <w:r>
        <w:rPr>
          <w:rFonts w:ascii="Times New Roman" w:hAnsi="Times New Roman"/>
          <w:color w:val="2D3748"/>
          <w:sz w:val="19"/>
        </w:rPr>
      </w:r>
      <w:r>
        <w:rPr>
          <w:rFonts w:ascii="Times New Roman" w:hAnsi="Times New Roman"/>
          <w:b/>
          <w:color w:val="2D3748"/>
          <w:sz w:val="19"/>
        </w:rPr>
        <w:t>Citation Precision:</w:t>
      </w:r>
      <w:r>
        <w:rPr>
          <w:rFonts w:ascii="Times New Roman" w:hAnsi="Times New Roman"/>
          <w:color w:val="2D3748"/>
          <w:sz w:val="19"/>
        </w:rPr>
        <w:t xml:space="preserve"> </w:t>
      </w:r>
      <w:r>
        <w:rPr>
          <w:rFonts w:ascii="Times New Roman" w:hAnsi="Times New Roman"/>
          <w:b/>
          <w:color w:val="2D3748"/>
          <w:sz w:val="19"/>
        </w:rPr>
        <w:t>100%</w:t>
      </w:r>
      <w:r>
        <w:rPr>
          <w:rFonts w:ascii="Times New Roman" w:hAnsi="Times New Roman"/>
          <w:color w:val="2D3748"/>
          <w:sz w:val="19"/>
        </w:rPr>
        <w:t xml:space="preserve"> on benchmarked landmark cases (e.g., *Arnesh Kumar v. State of Bihar*, *K.S. Puttaswamy v. Union of India*).</w:t>
      </w:r>
    </w:p>
    <w:p>
      <w:pPr>
        <w:spacing w:before="80" w:after="80"/>
        <w:pBdr>
          <w:bottom w:val="single" w:sz="6" w:space="1" w:color="CBD5E1"/>
        </w:pBdr>
      </w:pPr>
    </w:p>
    <w:p>
      <w:pPr>
        <w:spacing w:before="200" w:after="60"/>
      </w:pPr>
      <w:r>
        <w:rPr>
          <w:rFonts w:ascii="Times New Roman" w:hAnsi="Times New Roman"/>
          <w:b/>
          <w:color w:val="0F2D5F"/>
          <w:sz w:val="26"/>
        </w:rPr>
        <w:t>6. Key Challenges Encountered &amp; Engineering Solutions</w:t>
      </w:r>
    </w:p>
    <w:p>
      <w:pPr>
        <w:pStyle w:val="ListBullet"/>
        <w:spacing w:before="20" w:after="40"/>
      </w:pPr>
      <w:r>
        <w:rPr>
          <w:rFonts w:ascii="Times New Roman" w:hAnsi="Times New Roman"/>
          <w:color w:val="2D3748"/>
          <w:sz w:val="19"/>
        </w:rPr>
      </w:r>
      <w:r>
        <w:rPr>
          <w:rFonts w:ascii="Times New Roman" w:hAnsi="Times New Roman"/>
          <w:b/>
          <w:color w:val="2D3748"/>
          <w:sz w:val="19"/>
        </w:rPr>
        <w:t>Challenge: Memory Leaks During Large PDF Parsing</w:t>
      </w:r>
      <w:r>
        <w:rPr>
          <w:rFonts w:ascii="Times New Roman" w:hAnsi="Times New Roman"/>
          <w:color w:val="2D3748"/>
          <w:sz w:val="19"/>
        </w:rPr>
      </w:r>
    </w:p>
    <w:p>
      <w:pPr>
        <w:spacing w:before="20" w:after="60"/>
      </w:pPr>
      <w:r>
        <w:rPr>
          <w:rFonts w:ascii="Times New Roman" w:hAnsi="Times New Roman"/>
          <w:color w:val="2D3748"/>
          <w:sz w:val="19"/>
        </w:rPr>
        <w:t xml:space="preserve">   - *Problem:* Parsing 20+ page scanned documents using disk temporary files led to disk clutter and buffer leak warnings under load.</w:t>
      </w:r>
    </w:p>
    <w:p>
      <w:pPr>
        <w:spacing w:before="20" w:after="60"/>
      </w:pPr>
      <w:r>
        <w:rPr>
          <w:rFonts w:ascii="Times New Roman" w:hAnsi="Times New Roman"/>
          <w:color w:val="2D3748"/>
          <w:sz w:val="19"/>
        </w:rPr>
        <w:t xml:space="preserve">   - *Solution:* Switched entirely to `multer.memoryStorage()` with automatic garbage collection of temporary buffer objects immediately upon text extraction.</w:t>
      </w:r>
    </w:p>
    <w:p>
      <w:pPr>
        <w:pStyle w:val="ListBullet"/>
        <w:spacing w:before="20" w:after="40"/>
      </w:pPr>
      <w:r>
        <w:rPr>
          <w:rFonts w:ascii="Times New Roman" w:hAnsi="Times New Roman"/>
          <w:color w:val="2D3748"/>
          <w:sz w:val="19"/>
        </w:rPr>
      </w:r>
      <w:r>
        <w:rPr>
          <w:rFonts w:ascii="Times New Roman" w:hAnsi="Times New Roman"/>
          <w:b/>
          <w:color w:val="2D3748"/>
          <w:sz w:val="19"/>
        </w:rPr>
        <w:t>Challenge: Keeping Indian Statutory Grounding Modern</w:t>
      </w:r>
      <w:r>
        <w:rPr>
          <w:rFonts w:ascii="Times New Roman" w:hAnsi="Times New Roman"/>
          <w:color w:val="2D3748"/>
          <w:sz w:val="19"/>
        </w:rPr>
      </w:r>
    </w:p>
    <w:p>
      <w:pPr>
        <w:spacing w:before="20" w:after="60"/>
      </w:pPr>
      <w:r>
        <w:rPr>
          <w:rFonts w:ascii="Times New Roman" w:hAnsi="Times New Roman"/>
          <w:color w:val="2D3748"/>
          <w:sz w:val="19"/>
        </w:rPr>
        <w:t xml:space="preserve">   - *Problem:* Off-the-shelf APIs cited repealed IPC sections (e.g., IPC 420 or IPC 302).</w:t>
      </w:r>
    </w:p>
    <w:p>
      <w:pPr>
        <w:spacing w:before="20" w:after="60"/>
      </w:pPr>
      <w:r>
        <w:rPr>
          <w:rFonts w:ascii="Times New Roman" w:hAnsi="Times New Roman"/>
          <w:color w:val="2D3748"/>
          <w:sz w:val="19"/>
        </w:rPr>
        <w:t xml:space="preserve">   - *Solution:* Built an updated statutory translation crosswalk mapping legacy Indian Penal Code sections directly to corresponding Bharatiya Nyaya Sanhita (BNS 2023) sections (e.g., IPC 420 $\to$ BNS 318, IPC 378 $\to$ BNS 303).</w:t>
      </w:r>
    </w:p>
    <w:p>
      <w:pPr>
        <w:pStyle w:val="ListBullet"/>
        <w:spacing w:before="20" w:after="40"/>
      </w:pPr>
      <w:r>
        <w:rPr>
          <w:rFonts w:ascii="Times New Roman" w:hAnsi="Times New Roman"/>
          <w:color w:val="2D3748"/>
          <w:sz w:val="19"/>
        </w:rPr>
      </w:r>
      <w:r>
        <w:rPr>
          <w:rFonts w:ascii="Times New Roman" w:hAnsi="Times New Roman"/>
          <w:b/>
          <w:color w:val="2D3748"/>
          <w:sz w:val="19"/>
        </w:rPr>
        <w:t>Challenge: Zero-Downtime Portable Weights Sync</w:t>
      </w:r>
      <w:r>
        <w:rPr>
          <w:rFonts w:ascii="Times New Roman" w:hAnsi="Times New Roman"/>
          <w:color w:val="2D3748"/>
          <w:sz w:val="19"/>
        </w:rPr>
      </w:r>
    </w:p>
    <w:p>
      <w:pPr>
        <w:spacing w:before="20" w:after="60"/>
      </w:pPr>
      <w:r>
        <w:rPr>
          <w:rFonts w:ascii="Times New Roman" w:hAnsi="Times New Roman"/>
          <w:color w:val="2D3748"/>
          <w:sz w:val="19"/>
        </w:rPr>
        <w:t xml:space="preserve">   - *Problem:* Retraining the ML models required server redeployment.</w:t>
      </w:r>
    </w:p>
    <w:p>
      <w:pPr>
        <w:spacing w:before="20" w:after="60"/>
      </w:pPr>
      <w:r>
        <w:rPr>
          <w:rFonts w:ascii="Times New Roman" w:hAnsi="Times New Roman"/>
          <w:color w:val="2D3748"/>
          <w:sz w:val="19"/>
        </w:rPr>
        <w:t xml:space="preserve">   - *Solution:* Engineered a dynamic loader that watches `portable_nlp_weights.json` and hot-reloads vector coefficients into server memory without restarting the Node.js process.</w:t>
      </w:r>
    </w:p>
    <w:p>
      <w:pPr>
        <w:spacing w:before="80" w:after="80"/>
        <w:pBdr>
          <w:bottom w:val="single" w:sz="6" w:space="1" w:color="CBD5E1"/>
        </w:pBdr>
      </w:pPr>
    </w:p>
    <w:p>
      <w:pPr>
        <w:spacing w:before="200" w:after="60"/>
      </w:pPr>
      <w:r>
        <w:rPr>
          <w:rFonts w:ascii="Times New Roman" w:hAnsi="Times New Roman"/>
          <w:b/>
          <w:color w:val="0F2D5F"/>
          <w:sz w:val="26"/>
        </w:rPr>
        <w:t>7. Cross-Functional Collaboration &amp; Interface Contracts</w:t>
      </w:r>
    </w:p>
    <w:p>
      <w:pPr>
        <w:pStyle w:val="ListBullet"/>
        <w:spacing w:before="20" w:after="40"/>
      </w:pPr>
      <w:r>
        <w:rPr>
          <w:rFonts w:ascii="Times New Roman" w:hAnsi="Times New Roman"/>
          <w:color w:val="2D3748"/>
          <w:sz w:val="19"/>
        </w:rPr>
      </w:r>
      <w:r>
        <w:rPr>
          <w:rFonts w:ascii="Times New Roman" w:hAnsi="Times New Roman"/>
          <w:b/>
          <w:color w:val="2D3748"/>
          <w:sz w:val="19"/>
        </w:rPr>
        <w:t>Input from Member 1 (V. Brunda):</w:t>
      </w:r>
      <w:r>
        <w:rPr>
          <w:rFonts w:ascii="Times New Roman" w:hAnsi="Times New Roman"/>
          <w:color w:val="2D3748"/>
          <w:sz w:val="19"/>
        </w:rPr>
        <w:t xml:space="preserve"> Consumed normalized token pipelines and serialized `portable_nlp_weights.json`.</w:t>
      </w:r>
    </w:p>
    <w:p>
      <w:pPr>
        <w:pStyle w:val="ListBullet"/>
        <w:spacing w:before="20" w:after="40"/>
      </w:pPr>
      <w:r>
        <w:rPr>
          <w:rFonts w:ascii="Times New Roman" w:hAnsi="Times New Roman"/>
          <w:color w:val="2D3748"/>
          <w:sz w:val="19"/>
        </w:rPr>
      </w:r>
      <w:r>
        <w:rPr>
          <w:rFonts w:ascii="Times New Roman" w:hAnsi="Times New Roman"/>
          <w:b/>
          <w:color w:val="2D3748"/>
          <w:sz w:val="19"/>
        </w:rPr>
        <w:t>Input from Member 2 (G. Krishna):</w:t>
      </w:r>
      <w:r>
        <w:rPr>
          <w:rFonts w:ascii="Times New Roman" w:hAnsi="Times New Roman"/>
          <w:color w:val="2D3748"/>
          <w:sz w:val="19"/>
        </w:rPr>
        <w:t xml:space="preserve"> Embedded clause risk categorization algorithms and extractive centroid summarization routines into the Express document service.</w:t>
      </w:r>
    </w:p>
    <w:p>
      <w:pPr>
        <w:pStyle w:val="ListBullet"/>
        <w:spacing w:before="20" w:after="40"/>
      </w:pPr>
      <w:r>
        <w:rPr>
          <w:rFonts w:ascii="Times New Roman" w:hAnsi="Times New Roman"/>
          <w:color w:val="2D3748"/>
          <w:sz w:val="19"/>
        </w:rPr>
      </w:r>
      <w:r>
        <w:rPr>
          <w:rFonts w:ascii="Times New Roman" w:hAnsi="Times New Roman"/>
          <w:b/>
          <w:color w:val="2D3748"/>
          <w:sz w:val="19"/>
        </w:rPr>
        <w:t>Handoff to Member 4 (K. Mamatha):</w:t>
      </w:r>
      <w:r>
        <w:rPr>
          <w:rFonts w:ascii="Times New Roman" w:hAnsi="Times New Roman"/>
          <w:color w:val="2D3748"/>
          <w:sz w:val="19"/>
        </w:rPr>
        <w:t xml:space="preserve"> Standardized all REST endpoints (`/api/documents/analyze`, `/api/chat`, `/api/drafts/generate`, `/api/cases/search`), establishing uniform JSON response envelopes with HTTP status codes and error middleware.</w:t>
      </w:r>
    </w:p>
    <w:p>
      <w:pPr>
        <w:spacing w:before="80" w:after="80"/>
        <w:pBdr>
          <w:bottom w:val="single" w:sz="6" w:space="1" w:color="CBD5E1"/>
        </w:pBdr>
      </w:pPr>
    </w:p>
    <w:p>
      <w:pPr>
        <w:spacing w:before="200" w:after="60"/>
      </w:pPr>
      <w:r>
        <w:rPr>
          <w:rFonts w:ascii="Times New Roman" w:hAnsi="Times New Roman"/>
          <w:b/>
          <w:color w:val="0F2D5F"/>
          <w:sz w:val="26"/>
        </w:rPr>
        <w:t>8. Future Roadmap &amp; Review-3 Milestones</w:t>
      </w:r>
    </w:p>
    <w:p>
      <w:pPr>
        <w:pStyle w:val="ListBullet"/>
        <w:spacing w:before="20" w:after="40"/>
      </w:pPr>
      <w:r>
        <w:rPr>
          <w:rFonts w:ascii="Times New Roman" w:hAnsi="Times New Roman"/>
          <w:color w:val="2D3748"/>
          <w:sz w:val="19"/>
        </w:rPr>
        <w:t xml:space="preserve">[ ] </w:t>
      </w:r>
      <w:r>
        <w:rPr>
          <w:rFonts w:ascii="Times New Roman" w:hAnsi="Times New Roman"/>
          <w:b/>
          <w:color w:val="2D3748"/>
          <w:sz w:val="19"/>
        </w:rPr>
        <w:t>Distributed Vector Database:</w:t>
      </w:r>
      <w:r>
        <w:rPr>
          <w:rFonts w:ascii="Times New Roman" w:hAnsi="Times New Roman"/>
          <w:color w:val="2D3748"/>
          <w:sz w:val="19"/>
        </w:rPr>
        <w:t xml:space="preserve"> Transition in-memory vector embeddings to Milvus / Qdrant for scaling to 500,000+ Indian High Court judgments.</w:t>
      </w:r>
    </w:p>
    <w:p>
      <w:pPr>
        <w:pStyle w:val="ListBullet"/>
        <w:spacing w:before="20" w:after="40"/>
      </w:pPr>
      <w:r>
        <w:rPr>
          <w:rFonts w:ascii="Times New Roman" w:hAnsi="Times New Roman"/>
          <w:color w:val="2D3748"/>
          <w:sz w:val="19"/>
        </w:rPr>
        <w:t xml:space="preserve">[ ] </w:t>
      </w:r>
      <w:r>
        <w:rPr>
          <w:rFonts w:ascii="Times New Roman" w:hAnsi="Times New Roman"/>
          <w:b/>
          <w:color w:val="2D3748"/>
          <w:sz w:val="19"/>
        </w:rPr>
        <w:t>Asynchronous Task Queue:</w:t>
      </w:r>
      <w:r>
        <w:rPr>
          <w:rFonts w:ascii="Times New Roman" w:hAnsi="Times New Roman"/>
          <w:color w:val="2D3748"/>
          <w:sz w:val="19"/>
        </w:rPr>
        <w:t xml:space="preserve"> Implement Redis + BullMQ for handling bulk 100-page enterprise contract portfolio audits.</w:t>
      </w:r>
    </w:p>
    <w:p>
      <w:pPr>
        <w:pStyle w:val="ListBullet"/>
        <w:spacing w:before="20" w:after="40"/>
      </w:pPr>
      <w:r>
        <w:rPr>
          <w:rFonts w:ascii="Times New Roman" w:hAnsi="Times New Roman"/>
          <w:color w:val="2D3748"/>
          <w:sz w:val="19"/>
        </w:rPr>
        <w:t xml:space="preserve">[ ] </w:t>
      </w:r>
      <w:r>
        <w:rPr>
          <w:rFonts w:ascii="Times New Roman" w:hAnsi="Times New Roman"/>
          <w:b/>
          <w:color w:val="2D3748"/>
          <w:sz w:val="19"/>
        </w:rPr>
        <w:t>Cloud Containerization:</w:t>
      </w:r>
      <w:r>
        <w:rPr>
          <w:rFonts w:ascii="Times New Roman" w:hAnsi="Times New Roman"/>
          <w:color w:val="2D3748"/>
          <w:sz w:val="19"/>
        </w:rPr>
        <w:t xml:space="preserve"> Finalize production Docker Compose multi-stage build and deploy on Kubernetes / AWS ECS.</w:t>
      </w:r>
    </w:p>
    <w:p>
      <w:pPr>
        <w:spacing w:before="80" w:after="80"/>
        <w:pBdr>
          <w:bottom w:val="single" w:sz="6" w:space="1" w:color="CBD5E1"/>
        </w:pBdr>
      </w:pPr>
    </w:p>
    <w:p>
      <w:pPr>
        <w:spacing w:before="20" w:after="60"/>
      </w:pPr>
      <w:r>
        <w:rPr>
          <w:rFonts w:ascii="Times New Roman" w:hAnsi="Times New Roman"/>
          <w:color w:val="2D3748"/>
          <w:sz w:val="19"/>
        </w:rPr>
      </w:r>
      <w:r>
        <w:rPr>
          <w:rFonts w:ascii="Times New Roman" w:hAnsi="Times New Roman"/>
          <w:b/>
          <w:color w:val="2D3748"/>
          <w:sz w:val="19"/>
        </w:rPr>
        <w:t>Candidate Signature:</w:t>
      </w:r>
      <w:r>
        <w:rPr>
          <w:rFonts w:ascii="Times New Roman" w:hAnsi="Times New Roman"/>
          <w:color w:val="2D3748"/>
          <w:sz w:val="19"/>
        </w:rPr>
        <w:t xml:space="preserve"> ___________________________</w:t>
      </w:r>
    </w:p>
    <w:p>
      <w:pPr>
        <w:spacing w:before="20" w:after="60"/>
      </w:pPr>
      <w:r>
        <w:rPr>
          <w:rFonts w:ascii="Times New Roman" w:hAnsi="Times New Roman"/>
          <w:color w:val="2D3748"/>
          <w:sz w:val="19"/>
        </w:rPr>
      </w:r>
      <w:r>
        <w:rPr>
          <w:rFonts w:ascii="Times New Roman" w:hAnsi="Times New Roman"/>
          <w:b/>
          <w:color w:val="2D3748"/>
          <w:sz w:val="19"/>
        </w:rPr>
        <w:t>Faculty / Guide Approval:</w:t>
      </w:r>
      <w:r>
        <w:rPr>
          <w:rFonts w:ascii="Times New Roman" w:hAnsi="Times New Roman"/>
          <w:color w:val="2D3748"/>
          <w:sz w:val="19"/>
        </w:rPr>
        <w:t xml:space="preserve"> 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