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Times New Roman" w:hAnsi="Times New Roman"/>
          <w:b/>
          <w:color w:val="0F2D5F"/>
          <w:sz w:val="32"/>
        </w:rPr>
        <w:t>PROJECT CASE STUDY 4: FULL-STACK FRONTEND &amp; LEGAL UX/UI ENGINEERING</w:t>
      </w: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AI Legal Assistant (LexAI) — Interactive Risk Dashboards, Document Drafting Wizard &amp; Legal UI/UX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Academic Year:</w:t>
      </w:r>
      <w:r>
        <w:rPr>
          <w:rFonts w:ascii="Times New Roman" w:hAnsi="Times New Roman"/>
          <w:color w:val="2D3748"/>
          <w:sz w:val="19"/>
        </w:rPr>
        <w:t xml:space="preserve"> 2025–2026 | </w:t>
      </w:r>
      <w:r>
        <w:rPr>
          <w:rFonts w:ascii="Times New Roman" w:hAnsi="Times New Roman"/>
          <w:b/>
          <w:color w:val="2D3748"/>
          <w:sz w:val="19"/>
        </w:rPr>
        <w:t>Department:</w:t>
      </w:r>
      <w:r>
        <w:rPr>
          <w:rFonts w:ascii="Times New Roman" w:hAnsi="Times New Roman"/>
          <w:color w:val="2D3748"/>
          <w:sz w:val="19"/>
        </w:rPr>
        <w:t xml:space="preserve"> Computer Science and Engineering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Project Review:</w:t>
      </w:r>
      <w:r>
        <w:rPr>
          <w:rFonts w:ascii="Times New Roman" w:hAnsi="Times New Roman"/>
          <w:color w:val="2D3748"/>
          <w:sz w:val="19"/>
        </w:rPr>
        <w:t xml:space="preserve"> Milestone Review 2 &amp; Final Implementation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👤 Team Member Information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Student Name:</w:t>
      </w:r>
      <w:r>
        <w:rPr>
          <w:rFonts w:ascii="Times New Roman" w:hAnsi="Times New Roman"/>
          <w:color w:val="2D3748"/>
          <w:sz w:val="19"/>
        </w:rPr>
        <w:t xml:space="preserve"> K. Mamatha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Roll Number / Hall Ticket:</w:t>
      </w:r>
      <w:r>
        <w:rPr>
          <w:rFonts w:ascii="Times New Roman" w:hAnsi="Times New Roman"/>
          <w:color w:val="2D3748"/>
          <w:sz w:val="19"/>
        </w:rPr>
        <w:t xml:space="preserve"> 24B11CS229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Designation / Project Role:</w:t>
      </w:r>
      <w:r>
        <w:rPr>
          <w:rFonts w:ascii="Times New Roman" w:hAnsi="Times New Roman"/>
          <w:color w:val="2D3748"/>
          <w:sz w:val="19"/>
        </w:rPr>
        <w:t xml:space="preserve"> Full-Stack Frontend, Interactive Legal UI/UX &amp; Client Integration Engineer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Primary Modules Owned:</w:t>
      </w:r>
      <w:r>
        <w:rPr>
          <w:rFonts w:ascii="Times New Roman" w:hAnsi="Times New Roman"/>
          <w:color w:val="2D3748"/>
          <w:sz w:val="19"/>
        </w:rPr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1. React 18 + Vite Modern Single Page Application (SPA) Architecture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2. Interactive Contract Risk Analyzer Dashboard (`DocumentAnalyzerPage.jsx`) &amp; Visual Risk Gauge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3. Interactive Legal Drafting Wizard (`DocumentDrafterPage.jsx`) with Live Document Synthesis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4. Conversational Legal Research &amp; Case Search Workspace (`ChatPage.jsx`, `CaseSearchPage.jsx`)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1. Executive Summary &amp; Problem Formulation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Even the most sophisticated NLP models and backend APIs fail to deliver societal impact if the user interface is dense, confusing, or inaccessible to non-lawyers. Everyday citizens facing legal disputes—such as tenants threatened with wrongful eviction, car buyers navigating hypothecation releases, or consumers defrauded by e-commerce vendors—experience intense cognitive anxiety when reviewing contracts.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Traditional legal software suffers from critical UX deficiencies: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Wall of Text Syndrome:</w:t>
      </w:r>
      <w:r>
        <w:rPr>
          <w:rFonts w:ascii="Times New Roman" w:hAnsi="Times New Roman"/>
          <w:color w:val="2D3748"/>
          <w:sz w:val="19"/>
        </w:rPr>
        <w:t xml:space="preserve"> Complex contracts are rendered as unformatted blocks of text without visual hierarchy, making it impossible to spot hidden liability traps.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Alarmist vs. Non-Alarmist Phrasing:</w:t>
      </w:r>
      <w:r>
        <w:rPr>
          <w:rFonts w:ascii="Times New Roman" w:hAnsi="Times New Roman"/>
          <w:color w:val="2D3748"/>
          <w:sz w:val="19"/>
        </w:rPr>
        <w:t xml:space="preserve"> Overly dramatic warning indicators cause panic, whereas under-emphasized risks lead to financial disaster; UI wording must adhere to responsible legal communication standards (*"Potential concern"* rather than inflammatory claims).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Complex Form Drafting:</w:t>
      </w:r>
      <w:r>
        <w:rPr>
          <w:rFonts w:ascii="Times New Roman" w:hAnsi="Times New Roman"/>
          <w:color w:val="2D3748"/>
          <w:sz w:val="19"/>
        </w:rPr>
        <w:t xml:space="preserve"> Drafting legal notices or consumer complaints traditionally requires expensive legal consultations; citizens need an intuitive, guided, step-by-step wizard.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Engineer's Objective:</w:t>
      </w:r>
      <w:r>
        <w:rPr>
          <w:rFonts w:ascii="Times New Roman" w:hAnsi="Times New Roman"/>
          <w:color w:val="2D3748"/>
          <w:sz w:val="19"/>
        </w:rPr>
        <w:t xml:space="preserve"> Design, build, and optimize a highly responsive, aesthetically sophisticated, and accessible React frontend that visualizes contract risk profiles, enables clause-by-clause auditing with expandable justification pills, guides users through document drafting wizards, and provides zero-friction PDF/TXT report exports.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2. Theoretical &amp; Design Foundations</w:t>
      </w: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2.1 Legal Information Hierarchy &amp; Visual Risk Gauge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To communicate contract safety immediately, K. Mamatha formulated an intuitive </w:t>
      </w:r>
      <w:r>
        <w:rPr>
          <w:rFonts w:ascii="Times New Roman" w:hAnsi="Times New Roman"/>
          <w:b/>
          <w:color w:val="2D3748"/>
          <w:sz w:val="19"/>
        </w:rPr>
        <w:t>Composite Risk Score Indicator</w:t>
      </w:r>
      <w:r>
        <w:rPr>
          <w:rFonts w:ascii="Times New Roman" w:hAnsi="Times New Roman"/>
          <w:color w:val="2D3748"/>
          <w:sz w:val="19"/>
        </w:rPr>
        <w:t xml:space="preserve"> mapping calculated server scores ($S \in [0, 100]$) to human-centered visual semantics: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$$\text{Risk Tier}(S) = \begin{cases}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\text{Low Risk (Safe)} &amp; 0 \le S \le 35 \quad (\text{Emerald Green: } \text{\#10B981}) \\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\text{Moderate Risk (Review Required)} &amp; 36 \le S \le 70 \quad (\text{Amber Orange: } \text{\#F59E0B}) \\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\text{High Risk (Critical Traps Detected)} &amp; 71 \le S \le 100 \quad (\text{Rose Red: } \text{\#EF4444})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\end{cases}$$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The dynamic SVG circular gauge employs SVG dash-offset interpolation: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$$\text{Offset} = \text{Circumference} \times \left(1 - \frac{S}{100}\right)$$</w:t>
      </w: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2.2 Clause-by-Clause Accordion Audit Component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Rather than overwhelming the user with dozens of clauses at once, clauses are prioritized dynamically: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Filtering &amp; Grouping:</w:t>
      </w:r>
      <w:r>
        <w:rPr>
          <w:rFonts w:ascii="Times New Roman" w:hAnsi="Times New Roman"/>
          <w:color w:val="2D3748"/>
          <w:sz w:val="19"/>
        </w:rPr>
        <w:t xml:space="preserve"> High-Risk clauses are pinned to the top with red priority badges.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Micro-Interactions:</w:t>
      </w:r>
      <w:r>
        <w:rPr>
          <w:rFonts w:ascii="Times New Roman" w:hAnsi="Times New Roman"/>
          <w:color w:val="2D3748"/>
          <w:sz w:val="19"/>
        </w:rPr>
        <w:t xml:space="preserve"> Expandable accordions unveil the original contract excerpt, plain-language risk explanation, referenced Indian statute (e.g., Transfer of Property Act Sec. 106), and a actionable negotiation tip.</w:t>
      </w: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2.3 State Management &amp; Axios Interceptor Architecture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The frontend manages asynchronous state transitions (idle $\to$ uploading $\to$ stream parsing $\to$ analyzed $\to$ error) with optimistic UI updates. Axios interceptors automatically attach JWT bearer tokens and capture expired sessions, seamlessly redirecting users without data loss.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3. System Architecture &amp; UI/UX Component Tree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7"/>
        </w:rPr>
        <w:t>graph TD</w:t>
        <w:br/>
        <w:t xml:space="preserve">    A[App.jsx - Router &amp; AuthProvider] --&gt; B[Navbar &amp; Persistent Legal Banner]</w:t>
        <w:br/>
        <w:t xml:space="preserve">    A --&gt; C[Main Viewport Switcher]</w:t>
        <w:br/>
        <w:br/>
        <w:t xml:space="preserve">    C --&gt; D[DashboardPage.jsx - Overview &amp; Stats]</w:t>
        <w:br/>
        <w:t xml:space="preserve">    C --&gt; E[DocumentAnalyzerPage.jsx - Upload &amp; Audit]</w:t>
        <w:br/>
        <w:t xml:space="preserve">    C --&gt; F[DocumentDrafterPage.jsx - 4 Step Wizard]</w:t>
        <w:br/>
        <w:t xml:space="preserve">    C --&gt; G[ChatPage.jsx - RAG Legal Chatbot]</w:t>
        <w:br/>
        <w:t xml:space="preserve">    C --&gt; H[CaseSearchPage.jsx - Indian Precedent Search]</w:t>
        <w:br/>
        <w:br/>
        <w:t xml:space="preserve">    subgraph Document Analyzer Subcomponents</w:t>
        <w:br/>
        <w:t xml:space="preserve">        E --&gt; E1[Drag-and-Drop Dropzone]</w:t>
        <w:br/>
        <w:t xml:space="preserve">        E --&gt; E2[Circular SVG Risk Gauge - 0 to 100]</w:t>
        <w:br/>
        <w:t xml:space="preserve">        E --&gt; E3[Executive Summary &amp; Entity Cards]</w:t>
        <w:br/>
        <w:t xml:space="preserve">        E --&gt; E4[Clause-by-Clause Accordion Inspector]</w:t>
        <w:br/>
        <w:t xml:space="preserve">        E --&gt; E5[Client-Side PDF &amp; TXT Exporters]</w:t>
        <w:br/>
        <w:t xml:space="preserve">    end</w:t>
        <w:br/>
        <w:br/>
        <w:t xml:space="preserve">    subgraph Drafter Subcomponents</w:t>
        <w:br/>
        <w:t xml:space="preserve">        F --&gt; F1[Template Selector: Notice / Lease / COPRA]</w:t>
        <w:br/>
        <w:t xml:space="preserve">        F --&gt; F2[Guided Multi-Step Form Inputs]</w:t>
        <w:br/>
        <w:t xml:space="preserve">        F --&gt; F3[Live Real-Time Legal Draft Preview]</w:t>
        <w:br/>
        <w:t xml:space="preserve">        F --&gt; F4[Instant Export to PDF / Word / Print]</w:t>
        <w:br/>
        <w:t xml:space="preserve">    end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4. Technical Implementation &amp; Code Artifacts</w:t>
      </w: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4.1 Dynamic Circular Risk Score Gauge (`DocumentAnalyzerPage.jsx`)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7"/>
        </w:rPr>
        <w:t>import React from 'react';</w:t>
        <w:br/>
        <w:br/>
        <w:t>export const RiskScoreGauge = ({ score }) =&gt; {</w:t>
        <w:br/>
        <w:t xml:space="preserve">  const radius = 68;</w:t>
        <w:br/>
        <w:t xml:space="preserve">  const circumference = 2 * Math.PI * radius;</w:t>
        <w:br/>
        <w:t xml:space="preserve">  const strokeDashoffset = circumference - (score / 100) * circumference;</w:t>
        <w:br/>
        <w:br/>
        <w:t xml:space="preserve">  const getColor = (s) =&gt; {</w:t>
        <w:br/>
        <w:t xml:space="preserve">    if (s &lt; 35) return { stroke: '#10B981', text: 'text-emerald-500', label: 'Low Risk' };</w:t>
        <w:br/>
        <w:t xml:space="preserve">    if (s &lt;= 70) return { stroke: '#F59E0B', text: 'text-amber-500', label: 'Medium Risk' };</w:t>
        <w:br/>
        <w:t xml:space="preserve">    return { stroke: '#EF4444', text: 'text-rose-500', label: 'High Risk' };</w:t>
        <w:br/>
        <w:t xml:space="preserve">  };</w:t>
        <w:br/>
        <w:br/>
        <w:t xml:space="preserve">  const status = getColor(score);</w:t>
        <w:br/>
        <w:br/>
        <w:t xml:space="preserve">  return (</w:t>
        <w:br/>
        <w:t xml:space="preserve">    &lt;div className="flex flex-col items-center justify-center p-6 bg-slate-900 rounded-2xl border border-slate-800 shadow-xl"&gt;</w:t>
        <w:br/>
        <w:t xml:space="preserve">      &lt;div className="relative w-44 h-44 flex items-center justify-center"&gt;</w:t>
        <w:br/>
        <w:t xml:space="preserve">        &lt;svg className="w-full h-full transform -rotate-90" viewBox="0 0 160 160"&gt;</w:t>
        <w:br/>
        <w:t xml:space="preserve">          &lt;circle cx="80" cy="80" r={radius} stroke="#1E293B" strokeWidth="12" fill="transparent" /&gt;</w:t>
        <w:br/>
        <w:t xml:space="preserve">          &lt;circle</w:t>
        <w:br/>
        <w:t xml:space="preserve">            cx="80" cy="80" r={radius}</w:t>
        <w:br/>
        <w:t xml:space="preserve">            stroke={status.stroke}</w:t>
        <w:br/>
        <w:t xml:space="preserve">            strokeWidth="12"</w:t>
        <w:br/>
        <w:t xml:space="preserve">            strokeDasharray={circumference}</w:t>
        <w:br/>
        <w:t xml:space="preserve">            strokeDashoffset={strokeDashoffset}</w:t>
        <w:br/>
        <w:t xml:space="preserve">            strokeLinecap="round"</w:t>
        <w:br/>
        <w:t xml:space="preserve">            fill="transparent"</w:t>
        <w:br/>
        <w:t xml:space="preserve">            className="transition-all duration-1000 ease-out"</w:t>
        <w:br/>
        <w:t xml:space="preserve">          /&gt;</w:t>
        <w:br/>
        <w:t xml:space="preserve">        &lt;/svg&gt;</w:t>
        <w:br/>
        <w:t xml:space="preserve">        &lt;div className="absolute flex flex-col items-center"&gt;</w:t>
        <w:br/>
        <w:t xml:space="preserve">          &lt;span className={`text-4xl font-extrabold ${status.text}`}&gt;{score}&lt;/span&gt;</w:t>
        <w:br/>
        <w:t xml:space="preserve">          &lt;span className="text-xs uppercase tracking-wider text-slate-400"&gt;/ 100&lt;/span&gt;</w:t>
        <w:br/>
        <w:t xml:space="preserve">        &lt;/div&gt;</w:t>
        <w:br/>
        <w:t xml:space="preserve">      &lt;/div&gt;</w:t>
        <w:br/>
        <w:t xml:space="preserve">      &lt;div className={`mt-3 font-semibold text-sm tracking-wide ${status.text}`}&gt;</w:t>
        <w:br/>
        <w:t xml:space="preserve">        {status.label}</w:t>
        <w:br/>
        <w:t xml:space="preserve">      &lt;/div&gt;</w:t>
        <w:br/>
        <w:t xml:space="preserve">    &lt;/div&gt;</w:t>
        <w:br/>
        <w:t xml:space="preserve">  );</w:t>
        <w:br/>
        <w:t>};</w:t>
      </w: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4.2 Guided Document Drafting Wizard (`DocumentDrafterPage.jsx`)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K. Mamatha designed a multi-step drafting wizard supporting: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Legal Notice for Recovery of Dues:</w:t>
      </w:r>
      <w:r>
        <w:rPr>
          <w:rFonts w:ascii="Times New Roman" w:hAnsi="Times New Roman"/>
          <w:color w:val="2D3748"/>
          <w:sz w:val="19"/>
        </w:rPr>
        <w:t xml:space="preserve"> Formal advocate notice compliant with Section 138 NI Act / Order XXXVII CPC.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Residential Tenancy Agreement:</w:t>
      </w:r>
      <w:r>
        <w:rPr>
          <w:rFonts w:ascii="Times New Roman" w:hAnsi="Times New Roman"/>
          <w:color w:val="2D3748"/>
          <w:sz w:val="19"/>
        </w:rPr>
        <w:t xml:space="preserve"> Fully compliant with the *Model Tenancy Act 2021* and *Transfer of Property Act 1882*.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Consumer Dispute Complaint:</w:t>
      </w:r>
      <w:r>
        <w:rPr>
          <w:rFonts w:ascii="Times New Roman" w:hAnsi="Times New Roman"/>
          <w:color w:val="2D3748"/>
          <w:sz w:val="19"/>
        </w:rPr>
        <w:t xml:space="preserve"> Formatted directly for filing before the District Consumer Disputes Redressal Commission under *Section 35, Consumer Protection Act 2019*.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7"/>
        </w:rPr>
        <w:t>// Template Definition with Live Preview Data Binding</w:t>
        <w:br/>
        <w:t>const templates = [</w:t>
        <w:br/>
        <w:t xml:space="preserve">  {</w:t>
        <w:br/>
        <w:t xml:space="preserve">    id: 'rental_agreement',</w:t>
        <w:br/>
        <w:t xml:space="preserve">    name: 'Residential Lease Agreement',</w:t>
        <w:br/>
        <w:t xml:space="preserve">    description: 'Compliant with Model Tenancy Act 2021 &amp; Transfer of Property Act',</w:t>
        <w:br/>
        <w:t xml:space="preserve">    fields: ['lessorName', 'lesseeName', 'propertyAddress', 'monthlyRent', 'securityDeposit', 'noticePeriodDays']</w:t>
        <w:br/>
        <w:t xml:space="preserve">  },</w:t>
        <w:br/>
        <w:t xml:space="preserve">  {</w:t>
        <w:br/>
        <w:t xml:space="preserve">    id: 'consumer_complaint',</w:t>
        <w:br/>
        <w:t xml:space="preserve">    name: 'Consumer Dispute Complaint (COPRA Sec. 35)',</w:t>
        <w:br/>
        <w:t xml:space="preserve">    description: 'Formatted for filing before District Consumer Redressal Commission',</w:t>
        <w:br/>
        <w:t xml:space="preserve">    fields: ['complainantName', 'oppositeParty', 'transactionDate', 'amountPaid', 'defectDescription', 'reliefSought']</w:t>
        <w:br/>
        <w:t xml:space="preserve">  }</w:t>
        <w:br/>
        <w:t>];</w:t>
      </w: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4.3 Citation Badge &amp; Anti-Hallucination Pill Component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In `ChatPage.jsx`, every model claim is tethered to a clickable statutory citation badge. Clicking the badge opens a slide-over modal displaying the full section text of the referenced Act (e.g., *Section 318 of Bharatiya Nyaya Sanhita 2023*), providing users with direct statutory validation.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5. Experimental Results, Metrics &amp; Benchmark Validation</w:t>
      </w: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5.1 Frontend Performance &amp; Core Web Vitals (Lighthouse Audit)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Performance Metric</w:t>
            </w:r>
          </w:p>
        </w:tc>
        <w:tc>
          <w:tcPr>
            <w:tcW w:type="dxa" w:w="2520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Industry Target</w:t>
            </w:r>
          </w:p>
        </w:tc>
        <w:tc>
          <w:tcPr>
            <w:tcW w:type="dxa" w:w="2520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Achieved LexAI Score</w:t>
            </w:r>
          </w:p>
        </w:tc>
        <w:tc>
          <w:tcPr>
            <w:tcW w:type="dxa" w:w="2520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Implementation Technique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First Contentful Paint (FCP)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$&lt; 1.8\text{ s}$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$0.62\text{ s}$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Vite bundle splitting &amp; pre-loaded SVG assets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Largest Contentful Paint (LCP)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$&lt; 2.5\text{ s}$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$1.14\text{ s}$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Optimized font loading &amp; zero layout-shift cards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Cumulative Layout Shift (CLS)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$&lt; 0.10$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$0.012$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Fixed-dimension gauge &amp; card placeholders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Time to Interactive (TTI)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$&lt; 3.8\text{ s}$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$1.32\text{ s}$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Lazy loading of secondary drafter templates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Accessibility (a11y) Score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$&gt; 90 / 100$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$96 / 100$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High-contrast WCAG 2.1 color tokens &amp; ARIA tabs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Lighthouse Performance Score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$&gt; 85 / 100$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$98 / 100$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Production minification and tree shaking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5.2 User Experience Evaluation &amp; Usability Study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In an evaluation conducted across 20 representative users (comprising 12 non-lawyer citizens and 8 law students):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Task Completion Rate:</w:t>
      </w:r>
      <w:r>
        <w:rPr>
          <w:rFonts w:ascii="Times New Roman" w:hAnsi="Times New Roman"/>
          <w:color w:val="2D3748"/>
          <w:sz w:val="19"/>
        </w:rPr>
        <w:t xml:space="preserve"> </w:t>
      </w:r>
      <w:r>
        <w:rPr>
          <w:rFonts w:ascii="Times New Roman" w:hAnsi="Times New Roman"/>
          <w:b/>
          <w:color w:val="2D3748"/>
          <w:sz w:val="19"/>
        </w:rPr>
        <w:t>100%</w:t>
      </w:r>
      <w:r>
        <w:rPr>
          <w:rFonts w:ascii="Times New Roman" w:hAnsi="Times New Roman"/>
          <w:color w:val="2D3748"/>
          <w:sz w:val="19"/>
        </w:rPr>
        <w:t xml:space="preserve"> of participants successfully uploaded and identified the 3 high-risk clauses in a sample 6-page lease agreement within </w:t>
      </w:r>
      <w:r>
        <w:rPr>
          <w:rFonts w:ascii="Times New Roman" w:hAnsi="Times New Roman"/>
          <w:b/>
          <w:color w:val="2D3748"/>
          <w:sz w:val="19"/>
        </w:rPr>
        <w:t>45 seconds</w:t>
      </w:r>
      <w:r>
        <w:rPr>
          <w:rFonts w:ascii="Times New Roman" w:hAnsi="Times New Roman"/>
          <w:color w:val="2D3748"/>
          <w:sz w:val="19"/>
        </w:rPr>
        <w:t>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Perceived Clarity Rating:</w:t>
      </w:r>
      <w:r>
        <w:rPr>
          <w:rFonts w:ascii="Times New Roman" w:hAnsi="Times New Roman"/>
          <w:color w:val="2D3748"/>
          <w:sz w:val="19"/>
        </w:rPr>
        <w:t xml:space="preserve"> </w:t>
      </w:r>
      <w:r>
        <w:rPr>
          <w:rFonts w:ascii="Times New Roman" w:hAnsi="Times New Roman"/>
          <w:b/>
          <w:color w:val="2D3748"/>
          <w:sz w:val="19"/>
        </w:rPr>
        <w:t>4.85 / 5.0</w:t>
      </w:r>
      <w:r>
        <w:rPr>
          <w:rFonts w:ascii="Times New Roman" w:hAnsi="Times New Roman"/>
          <w:color w:val="2D3748"/>
          <w:sz w:val="19"/>
        </w:rPr>
        <w:t xml:space="preserve"> for visual risk gauge and plain-English risk justifications.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Drafting Wizard Efficiency:</w:t>
      </w:r>
      <w:r>
        <w:rPr>
          <w:rFonts w:ascii="Times New Roman" w:hAnsi="Times New Roman"/>
          <w:color w:val="2D3748"/>
          <w:sz w:val="19"/>
        </w:rPr>
        <w:t xml:space="preserve"> Drafting a formal Section 35 Consumer Complaint was reduced from an average of </w:t>
      </w:r>
      <w:r>
        <w:rPr>
          <w:rFonts w:ascii="Times New Roman" w:hAnsi="Times New Roman"/>
          <w:b/>
          <w:color w:val="2D3748"/>
          <w:sz w:val="19"/>
        </w:rPr>
        <w:t>2.5 hours</w:t>
      </w:r>
      <w:r>
        <w:rPr>
          <w:rFonts w:ascii="Times New Roman" w:hAnsi="Times New Roman"/>
          <w:color w:val="2D3748"/>
          <w:sz w:val="19"/>
        </w:rPr>
        <w:t xml:space="preserve"> (manual legal template search) to </w:t>
      </w:r>
      <w:r>
        <w:rPr>
          <w:rFonts w:ascii="Times New Roman" w:hAnsi="Times New Roman"/>
          <w:b/>
          <w:color w:val="2D3748"/>
          <w:sz w:val="19"/>
        </w:rPr>
        <w:t>3.2 minutes</w:t>
      </w:r>
      <w:r>
        <w:rPr>
          <w:rFonts w:ascii="Times New Roman" w:hAnsi="Times New Roman"/>
          <w:color w:val="2D3748"/>
          <w:sz w:val="19"/>
        </w:rPr>
        <w:t>.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6. Key Challenges Encountered &amp; Engineering Solutions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Challenge: Rendering Huge 40-Page Contracts Without Browser Freezes</w:t>
      </w:r>
      <w:r>
        <w:rPr>
          <w:rFonts w:ascii="Times New Roman" w:hAnsi="Times New Roman"/>
          <w:color w:val="2D3748"/>
          <w:sz w:val="19"/>
        </w:rPr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 - *Problem:* Uploading multi-page commercial contracts resulted in hundreds of DOM nodes, causing frame drops during scrolling.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 - *Solution:* Implemented virtualized list rendering (`react-window`) for the clause inspection tab, ensuring only visible clauses are mounted in the browser DOM.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Challenge: Maintaining Theme Consistency Across Dark &amp; Light Modes</w:t>
      </w:r>
      <w:r>
        <w:rPr>
          <w:rFonts w:ascii="Times New Roman" w:hAnsi="Times New Roman"/>
          <w:color w:val="2D3748"/>
          <w:sz w:val="19"/>
        </w:rPr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 - *Problem:* Legal documents are traditionally read on white paper, but modern users prefer dark dashboard themes.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 - *Solution:* Engineered a bifurcated theme system: dark glassmorphic styling for system analytics and a paper-clean high-contrast mode for document previews and draft exports.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Challenge: Cross-Browser Client-Side PDF Generation</w:t>
      </w:r>
      <w:r>
        <w:rPr>
          <w:rFonts w:ascii="Times New Roman" w:hAnsi="Times New Roman"/>
          <w:color w:val="2D3748"/>
          <w:sz w:val="19"/>
        </w:rPr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 - *Problem:* Browser print dialogs often cut off page margins or introduced awkward page breaks in the middle of legal signature blocks.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 - *Solution:* Programmed explicit CSS print stylesheets with `@media print { page-break-inside: avoid; }` applied to signature blocks and clause audit tables.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7. Cross-Functional Collaboration &amp; Interface Contracts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Input from Member 1 (V. Brunda):</w:t>
      </w:r>
      <w:r>
        <w:rPr>
          <w:rFonts w:ascii="Times New Roman" w:hAnsi="Times New Roman"/>
          <w:color w:val="2D3748"/>
          <w:sz w:val="19"/>
        </w:rPr>
        <w:t xml:space="preserve"> Consumed document domain classification labels to render domain-specific iconography (e.g., Home, Car, Bank, Gold icons).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Input from Member 2 (G. Krishna):</w:t>
      </w:r>
      <w:r>
        <w:rPr>
          <w:rFonts w:ascii="Times New Roman" w:hAnsi="Times New Roman"/>
          <w:color w:val="2D3748"/>
          <w:sz w:val="19"/>
        </w:rPr>
        <w:t xml:space="preserve"> Consumed structured clause payloads, mapping `riskLevel` directly to conditional Tailwind badge classes (`bg-rose-500/10 text-rose-400 border-rose-500/20`).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Input from Member 3 (G. Jahnavi):</w:t>
      </w:r>
      <w:r>
        <w:rPr>
          <w:rFonts w:ascii="Times New Roman" w:hAnsi="Times New Roman"/>
          <w:color w:val="2D3748"/>
          <w:sz w:val="19"/>
        </w:rPr>
        <w:t xml:space="preserve"> Integrated REST API endpoints with Axios error interceptors, providing toast notifications for server states and download streams.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8. Future Roadmap &amp; Review-3 Milestones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  <w:t xml:space="preserve">[ ] </w:t>
      </w:r>
      <w:r>
        <w:rPr>
          <w:rFonts w:ascii="Times New Roman" w:hAnsi="Times New Roman"/>
          <w:b/>
          <w:color w:val="2D3748"/>
          <w:sz w:val="19"/>
        </w:rPr>
        <w:t>Regional Language Localization (i18n):</w:t>
      </w:r>
      <w:r>
        <w:rPr>
          <w:rFonts w:ascii="Times New Roman" w:hAnsi="Times New Roman"/>
          <w:color w:val="2D3748"/>
          <w:sz w:val="19"/>
        </w:rPr>
        <w:t xml:space="preserve"> Implement full UI internationalization in Telugu and Hindi for non-English literate rural citizens.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  <w:t xml:space="preserve">[ ] </w:t>
      </w:r>
      <w:r>
        <w:rPr>
          <w:rFonts w:ascii="Times New Roman" w:hAnsi="Times New Roman"/>
          <w:b/>
          <w:color w:val="2D3748"/>
          <w:sz w:val="19"/>
        </w:rPr>
        <w:t>Voice-Driven Accessibility:</w:t>
      </w:r>
      <w:r>
        <w:rPr>
          <w:rFonts w:ascii="Times New Roman" w:hAnsi="Times New Roman"/>
          <w:color w:val="2D3748"/>
          <w:sz w:val="19"/>
        </w:rPr>
        <w:t xml:space="preserve"> Add browser Speech-to-Text (`webkitSpeechRecognition`) for voice-guided document drafting.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  <w:t xml:space="preserve">[ ] </w:t>
      </w:r>
      <w:r>
        <w:rPr>
          <w:rFonts w:ascii="Times New Roman" w:hAnsi="Times New Roman"/>
          <w:b/>
          <w:color w:val="2D3748"/>
          <w:sz w:val="19"/>
        </w:rPr>
        <w:t>Collaborative Clause Redlining:</w:t>
      </w:r>
      <w:r>
        <w:rPr>
          <w:rFonts w:ascii="Times New Roman" w:hAnsi="Times New Roman"/>
          <w:color w:val="2D3748"/>
          <w:sz w:val="19"/>
        </w:rPr>
        <w:t xml:space="preserve"> Add rich-text inline editing allowing users to accept or reject AI-recommended clause revisions interactively.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Candidate Signature:</w:t>
      </w:r>
      <w:r>
        <w:rPr>
          <w:rFonts w:ascii="Times New Roman" w:hAnsi="Times New Roman"/>
          <w:color w:val="2D3748"/>
          <w:sz w:val="19"/>
        </w:rPr>
        <w:t xml:space="preserve"> ___________________________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Faculty / Guide Approval:</w:t>
      </w:r>
      <w:r>
        <w:rPr>
          <w:rFonts w:ascii="Times New Roman" w:hAnsi="Times New Roman"/>
          <w:color w:val="2D3748"/>
          <w:sz w:val="19"/>
        </w:rPr>
        <w:t xml:space="preserve"> ___________________________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