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/>
          <w:b/>
          <w:color w:val="0F2D5F"/>
          <w:sz w:val="32"/>
        </w:rPr>
        <w:t>LEXAI PROJECT: 4-MEMBER ROLE-BASED CASE STUDY PORTFOLIO</w:t>
      </w: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Natural Language Processing Project — AI Legal Assistant (LexAI)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Department:</w:t>
      </w:r>
      <w:r>
        <w:rPr>
          <w:rFonts w:ascii="Times New Roman" w:hAnsi="Times New Roman"/>
          <w:color w:val="2D3748"/>
          <w:sz w:val="19"/>
        </w:rPr>
        <w:t xml:space="preserve"> Computer Science and Engineering | </w:t>
      </w:r>
      <w:r>
        <w:rPr>
          <w:rFonts w:ascii="Times New Roman" w:hAnsi="Times New Roman"/>
          <w:b/>
          <w:color w:val="2D3748"/>
          <w:sz w:val="19"/>
        </w:rPr>
        <w:t>Academic Year:</w:t>
      </w:r>
      <w:r>
        <w:rPr>
          <w:rFonts w:ascii="Times New Roman" w:hAnsi="Times New Roman"/>
          <w:color w:val="2D3748"/>
          <w:sz w:val="19"/>
        </w:rPr>
        <w:t xml:space="preserve"> 2025–2026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📂 Portfolio Directory &amp; Individual Case Studies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Team Member</w:t>
            </w:r>
          </w:p>
        </w:tc>
        <w:tc>
          <w:tcPr>
            <w:tcW w:type="dxa" w:w="2016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Roll Number</w:t>
            </w:r>
          </w:p>
        </w:tc>
        <w:tc>
          <w:tcPr>
            <w:tcW w:type="dxa" w:w="2016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Specialized Project Role</w:t>
            </w:r>
          </w:p>
        </w:tc>
        <w:tc>
          <w:tcPr>
            <w:tcW w:type="dxa" w:w="2016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Primary Ownership Domain</w:t>
            </w:r>
          </w:p>
        </w:tc>
        <w:tc>
          <w:tcPr>
            <w:tcW w:type="dxa" w:w="2016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Case Study Document Link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V. Brunda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`24B11CS485`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Lead NLP Pipeline &amp; Machine Learning Engineer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Preprocessing, Tokenization, Domain Classifier (100% Acc), Portable Weights Export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View Case Study 1</w:t>
            </w:r>
          </w:p>
        </w:tc>
      </w:tr>
      <w:tr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G. Krishna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`24B11CS127`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Legal Risk Classification &amp; Information Extraction Specialist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Clause Risk Stratification (92.81% Acc), 53 Legal Categories, Centroid Summarizer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View Case Study 2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G. Jahnavi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`24B11CS512`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Backend Architecture &amp; RAG Pipeline Engineer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Node.js Express API, Multi-Format Ingestion (PDF/DOCX), RAG Vector Store, Security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View Case Study 3</w:t>
            </w:r>
          </w:p>
        </w:tc>
      </w:tr>
      <w:tr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K. Mamatha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`24B11CS229`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Full-Stack Frontend &amp; Legal UX/UI Engineer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React 18 SPA, Dynamic 0–100 Risk Gauge, Clause Accordion Audit, Drafting Wizard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View Case Study 4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CBD5E1"/>
        </w:pBdr>
      </w:pP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🏛️ Complete System Architecture &amp; Role Interaction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7"/>
        </w:rPr>
        <w:t>graph TD</w:t>
        <w:br/>
        <w:t xml:space="preserve">    subgraph Client Tier [Role 4: K. Mamatha - Frontend &amp; UX]</w:t>
        <w:br/>
        <w:t xml:space="preserve">        UI[React 18 + Vite SPA]</w:t>
        <w:br/>
        <w:t xml:space="preserve">        Gauge[Dynamic SVG Risk Gauge 0-100]</w:t>
        <w:br/>
        <w:t xml:space="preserve">        Inspector[Clause-by-Clause Audit Inspector]</w:t>
        <w:br/>
        <w:t xml:space="preserve">        Wizard[Legal Document Drafting Wizard]</w:t>
        <w:br/>
        <w:t xml:space="preserve">    end</w:t>
        <w:br/>
        <w:br/>
        <w:t xml:space="preserve">    subgraph Server &amp; RAG Tier [Role 3: G. Jahnavi - Backend &amp; RAG Engine]</w:t>
        <w:br/>
        <w:t xml:space="preserve">        API[Node.js / Express REST API]</w:t>
        <w:br/>
        <w:t xml:space="preserve">        Stream[Zero-Disk Memory Stream Ingestion]</w:t>
        <w:br/>
        <w:t xml:space="preserve">        RAG[Statutory RAG Retriever &amp; Vector Store]</w:t>
        <w:br/>
        <w:t xml:space="preserve">        Gate[Strict Anti-Hallucination Confidence Gating]</w:t>
        <w:br/>
        <w:t xml:space="preserve">    end</w:t>
        <w:br/>
        <w:br/>
        <w:t xml:space="preserve">    subgraph Document Intelligence Tier [Role 1: V. Brunda - NLP &amp; ML Pipeline]</w:t>
        <w:br/>
        <w:t xml:space="preserve">        Preproc[NFKD Normalization &amp; Deontic Tokenizer]</w:t>
        <w:br/>
        <w:t xml:space="preserve">        DocModel[Document Domain Classifier: Sublinear TF-IDF + Logistic Reg]</w:t>
        <w:br/>
        <w:t xml:space="preserve">        Weights[Portable JSON NLP Weights Exporter]</w:t>
        <w:br/>
        <w:t xml:space="preserve">    end</w:t>
        <w:br/>
        <w:br/>
        <w:t xml:space="preserve">    subgraph Risk Auditing Tier [Role 2: G. Krishna - Risk &amp; Entity Specialist]</w:t>
        <w:br/>
        <w:t xml:space="preserve">        Segment[Boundary Lookbehind Clause Segmentation]</w:t>
        <w:br/>
        <w:t xml:space="preserve">        RiskModel[Clause Risk Classifier: High / Medium / Low]</w:t>
        <w:br/>
        <w:t xml:space="preserve">        TypeModel[53-Class Fine-Grained Clause Taxonomy]</w:t>
        <w:br/>
        <w:t xml:space="preserve">        Summ[Centroid Salience Extractive Summarizer]</w:t>
        <w:br/>
        <w:t xml:space="preserve">    end</w:t>
        <w:br/>
        <w:br/>
        <w:t xml:space="preserve">    UI --&gt;|Multipart Upload| API</w:t>
        <w:br/>
        <w:t xml:space="preserve">    API --&gt; Stream</w:t>
        <w:br/>
        <w:t xml:space="preserve">    Stream --&gt; Preproc</w:t>
        <w:br/>
        <w:t xml:space="preserve">    Preproc --&gt; DocModel</w:t>
        <w:br/>
        <w:t xml:space="preserve">    DocModel --&gt; Segment</w:t>
        <w:br/>
        <w:t xml:space="preserve">    Segment --&gt; RiskModel</w:t>
        <w:br/>
        <w:t xml:space="preserve">    Segment --&gt; TypeModel</w:t>
        <w:br/>
        <w:t xml:space="preserve">    Segment --&gt; Summ</w:t>
        <w:br/>
        <w:t xml:space="preserve">    RiskModel &amp; TypeModel &amp; Summ --&gt; API</w:t>
        <w:br/>
        <w:t xml:space="preserve">    API --&gt; RAG</w:t>
        <w:br/>
        <w:t xml:space="preserve">    RAG --&gt; Gate</w:t>
        <w:br/>
        <w:t xml:space="preserve">    Gate --&gt; API</w:t>
        <w:br/>
        <w:t xml:space="preserve">    API --&gt;|Structured Audit JSON Payload| UI</w:t>
        <w:br/>
        <w:t xml:space="preserve">    UI --&gt; Gauge &amp; Inspector &amp; Wizard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📊 Consolidated Technical Benchmark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Evaluation Dimension</w:t>
            </w:r>
          </w:p>
        </w:tc>
        <w:tc>
          <w:tcPr>
            <w:tcW w:type="dxa" w:w="252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Metric / Benchmark</w:t>
            </w:r>
          </w:p>
        </w:tc>
        <w:tc>
          <w:tcPr>
            <w:tcW w:type="dxa" w:w="252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Output &amp; Validation Status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Document Classification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100.00% Accuracy / 1.0000 F1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V. Brunda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 errors across 4 domains (House, Car, Bank, Gold)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Clause Risk Classification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92.81% Test Acc / 90.53% CV F1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G. Krishna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Evaluated over 5,281 labeled Indian legal clauses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Clause Taxonomy (53 Types)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87.76% Acc / 87.62% Weighted F1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G. Krishna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Multi-class LinearSVC with balanced weighting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Extractive Summarization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0.00% Hallucination Rate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G. Krishna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Deterministic TF-IDF centroid sentence selection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Native Inference Latency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11.8 ms Execution Time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G. Jahnavi &amp; V. Brunda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Pure JS portable weights running in Node.js runtime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PDF / DOCX Ingestion SLA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&lt; 420 ms End-to-End Latency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G. Jahnavi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In-memory stream buffer parsing (`pdf-parse`, `mammoth`)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Statutory Grounding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100% Citation Verification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G. Jahnavi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Grounded in BNS 2023, Transfer of Property Act, COPRA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Frontend Core Web Vitals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Lighthouse 98/100, FCP 0.62s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K. Mamatha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Zero layout shifts, WCAG 2.1 accessible dark/light UI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Drafting Wizard Efficiency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3.2 min vs 2.5 hrs manual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K. Mamatha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Formats Section 35 COPRA complaints &amp; Tenancy Deeds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