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w:hAnsi="Times New Roman" w:cs="Times New Roman"/>
        </w:rPr>
      </w:pPr>
      <w:r>
        <w:rPr>
          <w:rFonts w:hint="default" w:ascii="Times New Roman" w:hAnsi="Times New Roman" w:cs="Times New Roman"/>
        </w:rPr>
        <w:t>Seminar in Liberal Arts and Sciences</w:t>
      </w:r>
    </w:p>
    <w:p>
      <w:pPr>
        <w:rPr>
          <w:rFonts w:hint="default" w:ascii="Times New Roman" w:hAnsi="Times New Roman" w:cs="Times New Roman"/>
          <w:lang w:val="en-US"/>
        </w:rPr>
      </w:pPr>
      <w:r>
        <w:rPr>
          <w:rFonts w:hint="default" w:ascii="Times New Roman" w:hAnsi="Times New Roman" w:cs="Times New Roman"/>
          <w:lang w:val="en-US"/>
        </w:rPr>
        <w:t>16 September, 2025</w:t>
      </w:r>
    </w:p>
    <w:p>
      <w:pPr>
        <w:rPr>
          <w:rFonts w:hint="default" w:ascii="Times New Roman" w:hAnsi="Times New Roman" w:cs="Times New Roman"/>
        </w:rPr>
      </w:pPr>
    </w:p>
    <w:p>
      <w:pPr>
        <w:jc w:val="center"/>
        <w:rPr>
          <w:rFonts w:hint="default" w:ascii="Times New Roman" w:hAnsi="Times New Roman" w:cs="Times New Roman"/>
          <w:b/>
          <w:lang w:val="en-US"/>
        </w:rPr>
      </w:pPr>
      <w:r>
        <w:rPr>
          <w:rFonts w:hint="default" w:ascii="Times New Roman" w:hAnsi="Times New Roman" w:cs="Times New Roman"/>
          <w:b/>
        </w:rPr>
        <w:t>Research Question: Can we address energy and ecology concerns with the growing number of datacenters by the integration of new technologies in computer memory</w:t>
      </w:r>
      <w:r>
        <w:rPr>
          <w:rFonts w:hint="default" w:ascii="Times New Roman" w:hAnsi="Times New Roman" w:cs="Times New Roman"/>
          <w:b/>
          <w:lang w:val="en-US"/>
        </w:rPr>
        <w:t xml:space="preserve"> -- an outlook of current energy trends which </w:t>
      </w:r>
      <w:bookmarkStart w:id="0" w:name="_GoBack"/>
      <w:bookmarkEnd w:id="0"/>
      <w:r>
        <w:rPr>
          <w:rFonts w:hint="default" w:ascii="Times New Roman" w:hAnsi="Times New Roman" w:cs="Times New Roman"/>
          <w:b/>
          <w:lang w:val="en-US"/>
        </w:rPr>
        <w:t>support this.</w:t>
      </w:r>
    </w:p>
    <w:p>
      <w:pPr>
        <w:rPr>
          <w:rFonts w:hint="default" w:ascii="Times New Roman" w:hAnsi="Times New Roman" w:cs="Times New Roman"/>
          <w:szCs w:val="16"/>
          <w:shd w:val="clear" w:color="auto" w:fill="FFFFFF"/>
        </w:rPr>
      </w:pPr>
    </w:p>
    <w:p>
      <w:pPr>
        <w:keepNext w:val="0"/>
        <w:keepLines w:val="0"/>
        <w:widowControl/>
        <w:suppressLineNumbers w:val="0"/>
        <w:spacing w:line="30" w:lineRule="atLeast"/>
        <w:ind w:left="420" w:hanging="42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Total Energy Monthly Data - U.S. Energy Information Administration (EIA). https://www.eia.gov/totalenergy/data/monthly/. August 2025.</w:t>
      </w:r>
    </w:p>
    <w:p>
      <w:pPr>
        <w:keepNext w:val="0"/>
        <w:keepLines w:val="0"/>
        <w:widowControl/>
        <w:suppressLineNumbers w:val="0"/>
        <w:spacing w:line="30" w:lineRule="atLeast"/>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spacing w:line="30" w:lineRule="atLeast"/>
        <w:ind w:firstLine="720" w:firstLine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above article is a monthly report from the U.S. Energy Information Administration (EIA). The Department of Energy states that “The Energy Information Administration (EIA) is a semi-independent agency under the U.S. Department of Energy and is the nation’s premier source for impartial energy information.” The goal of these monthly reviews is to share the status of renewable energy, petroleum, natural gas, alternative fuels, and more for the purposes of policy-making. This information is critical to my issue, as understanding the contributions (namely green, versus fossil-fuels) to the electrical grid are important, given the position of datacenters as entities with much sway in the energy sector. Further, this is the most recent publicly available data.</w:t>
      </w:r>
    </w:p>
    <w:p>
      <w:pPr>
        <w:keepNext w:val="0"/>
        <w:keepLines w:val="0"/>
        <w:widowControl/>
        <w:suppressLineNumbers w:val="0"/>
        <w:spacing w:line="30" w:lineRule="atLeast"/>
        <w:ind w:left="420" w:hanging="420"/>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spacing w:line="30" w:lineRule="atLeast"/>
        <w:ind w:left="420" w:hanging="42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Rep. Arrington, Jodey C. [R-TX-19. H.R.1 - 119th Congress (2025-2026): One Big Beautiful Bill Act. Legislation. 4 Jul. 2025, https://www.congress.gov/bill/119th-congress/house-bill/1. 2025-05-20.</w:t>
      </w:r>
    </w:p>
    <w:p>
      <w:pPr>
        <w:keepNext w:val="0"/>
        <w:keepLines w:val="0"/>
        <w:widowControl/>
        <w:suppressLineNumbers w:val="0"/>
        <w:spacing w:line="30" w:lineRule="atLeast"/>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spacing w:line="30" w:lineRule="atLeast"/>
        <w:ind w:firstLine="720" w:firstLine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above legislation is a comprehensive law including tax reforms and spending policy changes. This is relevant due to the inclusion in tax benefits for fossil-fuel elements of the energy sector, which paired with other trends suggests the entrenchment of non-green energy sources for datacenters. In general, understanding this piece of legeslation is extremely important to discussing future trends which datacenters may be inclined to follow. Further, this is extremely recent law which sets a precedent for the current administration.</w:t>
      </w:r>
    </w:p>
    <w:p>
      <w:pPr>
        <w:keepNext w:val="0"/>
        <w:keepLines w:val="0"/>
        <w:widowControl/>
        <w:suppressLineNumbers w:val="0"/>
        <w:spacing w:line="30" w:lineRule="atLeast"/>
        <w:ind w:left="420" w:hanging="420"/>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spacing w:line="30" w:lineRule="atLeast"/>
        <w:ind w:left="420" w:hanging="42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Shehabi, Arman, et al. United States Data Center Energy Usage Report. LBNL--1005775, 1372902, 1 Jun. 2016, p. LBNL--1005775, 1372902. DOI.org (Crossref), </w:t>
      </w: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"https://doi.org/10.2172/1372902." </w:instrText>
      </w:r>
      <w:r>
        <w:rPr>
          <w:rFonts w:hint="default" w:ascii="Times New Roman" w:hAnsi="Times New Roman" w:eastAsia="SimSun" w:cs="Times New Roman"/>
          <w:kern w:val="0"/>
          <w:sz w:val="24"/>
          <w:szCs w:val="24"/>
          <w:lang w:val="en-US" w:eastAsia="zh-CN" w:bidi="ar"/>
        </w:rPr>
        <w:fldChar w:fldCharType="separate"/>
      </w:r>
      <w:r>
        <w:rPr>
          <w:rStyle w:val="8"/>
          <w:rFonts w:hint="default" w:ascii="Times New Roman" w:hAnsi="Times New Roman" w:eastAsia="SimSun" w:cs="Times New Roman"/>
          <w:kern w:val="0"/>
          <w:sz w:val="24"/>
          <w:szCs w:val="24"/>
          <w:lang w:val="en-US" w:eastAsia="zh-CN" w:bidi="ar"/>
        </w:rPr>
        <w:t>https://doi.org/10.2172/1372902.</w:t>
      </w:r>
      <w:r>
        <w:rPr>
          <w:rFonts w:hint="default" w:ascii="Times New Roman" w:hAnsi="Times New Roman" w:eastAsia="SimSun" w:cs="Times New Roman"/>
          <w:kern w:val="0"/>
          <w:sz w:val="24"/>
          <w:szCs w:val="24"/>
          <w:lang w:val="en-US" w:eastAsia="zh-CN" w:bidi="ar"/>
        </w:rPr>
        <w:fldChar w:fldCharType="end"/>
      </w:r>
    </w:p>
    <w:p>
      <w:pPr>
        <w:keepNext w:val="0"/>
        <w:keepLines w:val="0"/>
        <w:widowControl/>
        <w:suppressLineNumbers w:val="0"/>
        <w:spacing w:line="30" w:lineRule="atLeast"/>
        <w:ind w:left="420" w:hanging="420"/>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spacing w:line="30" w:lineRule="atLeast"/>
        <w:ind w:firstLine="720" w:firstLine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above article is an extensive report by Lawrence Berkley National Lab (LBNL), one of the United States Department of Energy National Laboratories. This article aims to be an exhaustive, 79-page breakdown of power, scaling, and ecological information pertaining to data centers in the United States. This document is a motivating source for my paper, as it is necessary to understand the past, present, and future scope and concerns with datacenters in the United States. The article is recent enough, published in 2024 when AI was beginning to put pressure on companies to build more datacenters. Further, it is published by LBNL, which is an authoritative body on this issue.</w:t>
      </w:r>
    </w:p>
    <w:p>
      <w:pP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page"/>
      </w:r>
    </w:p>
    <w:p>
      <w:pPr>
        <w:keepNext w:val="0"/>
        <w:keepLines w:val="0"/>
        <w:widowControl/>
        <w:suppressLineNumbers w:val="0"/>
        <w:spacing w:line="30" w:lineRule="atLeast"/>
        <w:ind w:left="420" w:hanging="42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“Tracking Clean Energy Progress 2023 – Analysis.” IEA, 12 Jul. 2023, </w:t>
      </w:r>
      <w:r>
        <w:rPr>
          <w:rFonts w:hint="default" w:ascii="Times New Roman" w:hAnsi="Times New Roman" w:eastAsia="SimSun" w:cs="Times New Roman"/>
          <w:kern w:val="0"/>
          <w:sz w:val="24"/>
          <w:szCs w:val="24"/>
          <w:lang w:val="en-US" w:eastAsia="zh-CN" w:bidi="ar"/>
        </w:rPr>
        <w:fldChar w:fldCharType="begin"/>
      </w:r>
      <w:r>
        <w:rPr>
          <w:rFonts w:hint="default" w:ascii="Times New Roman" w:hAnsi="Times New Roman" w:eastAsia="SimSun" w:cs="Times New Roman"/>
          <w:kern w:val="0"/>
          <w:sz w:val="24"/>
          <w:szCs w:val="24"/>
          <w:lang w:val="en-US" w:eastAsia="zh-CN" w:bidi="ar"/>
        </w:rPr>
        <w:instrText xml:space="preserve"> HYPERLINK "https://www.iea.org/reports/tracking-clean-energy-progress-2023." </w:instrText>
      </w:r>
      <w:r>
        <w:rPr>
          <w:rFonts w:hint="default" w:ascii="Times New Roman" w:hAnsi="Times New Roman" w:eastAsia="SimSun" w:cs="Times New Roman"/>
          <w:kern w:val="0"/>
          <w:sz w:val="24"/>
          <w:szCs w:val="24"/>
          <w:lang w:val="en-US" w:eastAsia="zh-CN" w:bidi="ar"/>
        </w:rPr>
        <w:fldChar w:fldCharType="separate"/>
      </w:r>
      <w:r>
        <w:rPr>
          <w:rStyle w:val="5"/>
          <w:rFonts w:hint="default" w:ascii="Times New Roman" w:hAnsi="Times New Roman" w:eastAsia="SimSun" w:cs="Times New Roman"/>
          <w:kern w:val="0"/>
          <w:sz w:val="24"/>
          <w:szCs w:val="24"/>
          <w:lang w:val="en-US" w:eastAsia="zh-CN" w:bidi="ar"/>
        </w:rPr>
        <w:t>https://www.iea.org/reports/tracking-clean-energy-progress-2023.</w:t>
      </w:r>
      <w:r>
        <w:rPr>
          <w:rFonts w:hint="default" w:ascii="Times New Roman" w:hAnsi="Times New Roman" w:eastAsia="SimSun" w:cs="Times New Roman"/>
          <w:kern w:val="0"/>
          <w:sz w:val="24"/>
          <w:szCs w:val="24"/>
          <w:lang w:val="en-US" w:eastAsia="zh-CN" w:bidi="ar"/>
        </w:rPr>
        <w:fldChar w:fldCharType="end"/>
      </w:r>
    </w:p>
    <w:p>
      <w:pPr>
        <w:keepNext w:val="0"/>
        <w:keepLines w:val="0"/>
        <w:widowControl/>
        <w:suppressLineNumbers w:val="0"/>
        <w:spacing w:line="30" w:lineRule="atLeast"/>
        <w:ind w:left="420" w:hanging="420"/>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spacing w:line="30" w:lineRule="atLeast"/>
        <w:ind w:firstLine="720" w:firstLine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above report aims to “[assess] recent developments for over 50 components of the energy system that are critical for clean energy transitions. The components assessed include sectors, subsectors, technologies, infrastructure and cross-cutting strategies.” It is an ongoing project, maintained by the International Energy Agency (IEA), an intergovermental organization aimed at providing policy recommendations based on the global energy sector. This work is externally reviewed, and extremely comprehensive. This article will be necessary to support the ongoing ecological progress in the scope of datacenter growth. This is an ongoing report, and therefore contains up-to-date information.</w:t>
      </w:r>
    </w:p>
    <w:p>
      <w:pPr>
        <w:keepNext w:val="0"/>
        <w:keepLines w:val="0"/>
        <w:widowControl/>
        <w:suppressLineNumbers w:val="0"/>
        <w:spacing w:line="30" w:lineRule="atLeast"/>
        <w:ind w:left="420" w:hanging="420"/>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spacing w:line="30" w:lineRule="atLeast"/>
        <w:ind w:left="420" w:hanging="42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Van Geet, Otto, and David Sickinger. Best Practices Guide for Energy-Efficient Data Center Design. NREL/TP--5R00-89843, DOE/GO--102024-6283, 2417618, 25 Jul. 2024, p. NREL/TP--5R00-89843, DOE/GO--102024-6283, 2417618. DOI.org (Crossref), https://doi.org/10.2172/2417618.</w:t>
      </w:r>
    </w:p>
    <w:p>
      <w:pPr>
        <w:keepNext w:val="0"/>
        <w:keepLines w:val="0"/>
        <w:widowControl/>
        <w:suppressLineNumbers w:val="0"/>
        <w:spacing w:line="30" w:lineRule="atLeast"/>
        <w:ind w:left="420" w:hanging="420"/>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spacing w:line="30" w:lineRule="atLeast"/>
        <w:ind w:firstLine="720" w:firstLine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above research paper is a peer-reviewed and well-researched best practices guide for datacenter designers, based on the Department of Energy’s Federal Energy Management Program (FEMP) and the  National Renewable Energy Laboratory (NREL)’s approach for optimizing data center sustainability. This paper will be necessary to support the best possible case scenarios for datacenter construction, and will be used for comparison to datacenters in practice, as design cycles can be short and result in poorly designed in real scenarios. This is a recent article, published in 2024.</w:t>
      </w:r>
    </w:p>
    <w:p>
      <w:pPr>
        <w:keepNext w:val="0"/>
        <w:keepLines w:val="0"/>
        <w:widowControl/>
        <w:suppressLineNumbers w:val="0"/>
        <w:spacing w:line="30" w:lineRule="atLeast"/>
        <w:ind w:left="420" w:hanging="420"/>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spacing w:line="30" w:lineRule="atLeast"/>
        <w:ind w:left="420" w:hanging="42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International Energy Agency. Energy and AI. Paris: IEA, 2025. International Energy Agency, https://www.iea.org/reports/energy-and-ai</w:t>
      </w:r>
    </w:p>
    <w:p>
      <w:pPr>
        <w:keepNext w:val="0"/>
        <w:keepLines w:val="0"/>
        <w:widowControl/>
        <w:suppressLineNumbers w:val="0"/>
        <w:spacing w:line="30" w:lineRule="atLeast"/>
        <w:jc w:val="left"/>
        <w:rPr>
          <w:rFonts w:hint="default" w:ascii="Times New Roman" w:hAnsi="Times New Roman" w:eastAsia="SimSun" w:cs="Times New Roman"/>
          <w:kern w:val="0"/>
          <w:sz w:val="24"/>
          <w:szCs w:val="24"/>
          <w:lang w:val="en-US" w:eastAsia="zh-CN" w:bidi="ar"/>
        </w:rPr>
      </w:pPr>
    </w:p>
    <w:p>
      <w:pPr>
        <w:keepNext w:val="0"/>
        <w:keepLines w:val="0"/>
        <w:widowControl/>
        <w:suppressLineNumbers w:val="0"/>
        <w:spacing w:line="30" w:lineRule="atLeast"/>
        <w:ind w:firstLine="720" w:firstLineChars="0"/>
        <w:jc w:val="left"/>
        <w:rPr>
          <w:rFonts w:hint="default" w:ascii="Times New Roman" w:hAnsi="Times New Roman" w:cs="Times New Roman"/>
          <w:lang w:val="en-US"/>
        </w:rPr>
      </w:pPr>
      <w:r>
        <w:rPr>
          <w:rFonts w:hint="default" w:ascii="Times New Roman" w:hAnsi="Times New Roman" w:eastAsia="SimSun" w:cs="Times New Roman"/>
          <w:kern w:val="0"/>
          <w:sz w:val="24"/>
          <w:szCs w:val="24"/>
          <w:lang w:val="en-US" w:eastAsia="zh-CN" w:bidi="ar"/>
        </w:rPr>
        <w:t>The above report aims to “fill [the gap in knowledge of AI’s potential impacts on the energy sector] based on new global and regional modelling and datasets, as well as extensive consultation with governments and regulators, the tech sector, the energy industry and international experts. It includes projections for how much electricity AI could consume over the next decade, as well as which energy sources are set to help meet it. It also analyses what the uptake of AI could mean for energy security, emissions, innovation and affordability.” It is a report published in April 2025 by the International Energy Agency (IEA), an intergovermental organization aimed at providing policy recommendations based on the global energy sector. This work is externally reviewed, and extremely comprehensive. This is a motivating article for my issue, providing projections and context for the ecological impacts of datacenters.</w:t>
      </w:r>
    </w:p>
    <w:sectPr>
      <w:headerReference r:id="rId3" w:type="default"/>
      <w:headerReference r:id="rId4" w:type="even"/>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Noto Sans CJK SC">
    <w:panose1 w:val="020B0200000000000000"/>
    <w:charset w:val="86"/>
    <w:family w:val="auto"/>
    <w:pitch w:val="default"/>
    <w:sig w:usb0="30000083" w:usb1="2BDF3C10" w:usb2="00000016" w:usb3="00000000" w:csb0="602E0107" w:csb1="00000000"/>
  </w:font>
  <w:font w:name="Arial">
    <w:panose1 w:val="020B0604020202020204"/>
    <w:charset w:val="00"/>
    <w:family w:val="swiss"/>
    <w:pitch w:val="default"/>
    <w:sig w:usb0="00007A87" w:usb1="80000000" w:usb2="00000008" w:usb3="00000000" w:csb0="400001FF" w:csb1="FFFF0000"/>
  </w:font>
  <w:font w:name="黑体">
    <w:altName w:val="Noto Sans CJK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Noto Sans Adlam"/>
    <w:panose1 w:val="05000000000000000000"/>
    <w:charset w:val="00"/>
    <w:family w:val="auto"/>
    <w:pitch w:val="default"/>
    <w:sig w:usb0="00000000" w:usb1="10000000" w:usb2="00000000" w:usb3="00000000" w:csb0="80000000" w:csb1="00000000"/>
  </w:font>
  <w:font w:name="Noto Sans Adlam">
    <w:panose1 w:val="020B0502040504020204"/>
    <w:charset w:val="00"/>
    <w:family w:val="auto"/>
    <w:pitch w:val="default"/>
    <w:sig w:usb0="80002003" w:usb1="02000000" w:usb2="00000000" w:usb3="00000000" w:csb0="00000093" w:csb1="00000000"/>
  </w:font>
  <w:font w:name="Calibri">
    <w:panose1 w:val="020F0502020204030204"/>
    <w:charset w:val="00"/>
    <w:family w:val="swiss"/>
    <w:pitch w:val="default"/>
    <w:sig w:usb0="A00002EF" w:usb1="4000207B" w:usb2="00000000" w:usb3="00000000" w:csb0="2000009F" w:csb1="00000000"/>
  </w:font>
  <w:font w:name="SimSun">
    <w:altName w:val="Noto Sans CJK SC"/>
    <w:panose1 w:val="02010600030101010101"/>
    <w:charset w:val="86"/>
    <w:family w:val="auto"/>
    <w:pitch w:val="default"/>
    <w:sig w:usb0="00000000" w:usb1="00000000" w:usb2="00000016" w:usb3="00000000" w:csb0="00040001" w:csb1="00000000"/>
  </w:font>
  <w:font w:name="Cambria">
    <w:panose1 w:val="02040503050406030204"/>
    <w:charset w:val="00"/>
    <w:family w:val="auto"/>
    <w:pitch w:val="default"/>
    <w:sig w:usb0="A00002EF" w:usb1="4000004B" w:usb2="00000000" w:usb3="00000000" w:csb0="2000009F" w:csb1="00000000"/>
  </w:font>
  <w:font w:name="ＭＳ 明朝">
    <w:altName w:val="Noto Sans CJK SC"/>
    <w:panose1 w:val="00000000000000000000"/>
    <w:charset w:val="80"/>
    <w:family w:val="roman"/>
    <w:pitch w:val="default"/>
    <w:sig w:usb0="00000000" w:usb1="00000000" w:usb2="00000010" w:usb3="00000000" w:csb0="00020000" w:csb1="00000000"/>
  </w:font>
  <w:font w:name="K2D Thin">
    <w:panose1 w:val="00000200000000000000"/>
    <w:charset w:val="00"/>
    <w:family w:val="auto"/>
    <w:pitch w:val="default"/>
    <w:sig w:usb0="21000007" w:usb1="00000001" w:usb2="00000000" w:usb3="00000000" w:csb0="20010193" w:csb1="00000000"/>
  </w:font>
  <w:font w:name="Courier">
    <w:altName w:val="Chenla"/>
    <w:panose1 w:val="02000500000000000000"/>
    <w:charset w:val="00"/>
    <w:family w:val="auto"/>
    <w:pitch w:val="default"/>
    <w:sig w:usb0="00000000" w:usb1="00000000" w:usb2="00000000" w:usb3="00000000" w:csb0="00000001" w:csb1="00000000"/>
  </w:font>
  <w:font w:name="Chenla">
    <w:panose1 w:val="02000500000000000000"/>
    <w:charset w:val="00"/>
    <w:family w:val="auto"/>
    <w:pitch w:val="default"/>
    <w:sig w:usb0="800000A7" w:usb1="5000004A" w:usb2="00010000" w:usb3="00000000" w:csb0="20000111" w:csb1="41000000"/>
  </w:font>
  <w:font w:name="Times">
    <w:altName w:val="Times New Roman"/>
    <w:panose1 w:val="02000500000000000000"/>
    <w:charset w:val="00"/>
    <w:family w:val="auto"/>
    <w:pitch w:val="default"/>
    <w:sig w:usb0="00000000" w:usb1="00000000" w:usb2="00000000" w:usb3="00000000" w:csb0="00000001" w:csb1="00000000"/>
  </w:font>
  <w:font w:name="DejaVu Sans">
    <w:panose1 w:val="020B0603030804020204"/>
    <w:charset w:val="00"/>
    <w:family w:val="auto"/>
    <w:pitch w:val="default"/>
    <w:sig w:usb0="E7006EFF" w:usb1="D200FDFF" w:usb2="0A246029" w:usb3="0400200C" w:csb0="600001FF" w:csb1="DFFF0000"/>
  </w:font>
  <w:font w:name="ＭＳ 明朝">
    <w:altName w:val="K2D Thin"/>
    <w:panose1 w:val="00000000000000000000"/>
    <w:charset w:val="00"/>
    <w:family w:val="auto"/>
    <w:pitch w:val="default"/>
    <w:sig w:usb0="00000000" w:usb1="00000000" w:usb2="00000000" w:usb3="00000000" w:csb0="00000000" w:csb1="00000000"/>
  </w:font>
  <w:font w:name="ABeeZee">
    <w:panose1 w:val="00000000000000000000"/>
    <w:charset w:val="00"/>
    <w:family w:val="auto"/>
    <w:pitch w:val="default"/>
    <w:sig w:usb0="8000006F" w:usb1="00000043" w:usb2="00000000" w:usb3="00000000" w:csb0="0000008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rap="around" w:vAnchor="text" w:hAnchor="margin" w:xAlign="right" w:y="1"/>
      <w:rPr>
        <w:rStyle w:val="10"/>
      </w:rPr>
    </w:pPr>
    <w:r>
      <w:rPr>
        <w:rStyle w:val="10"/>
      </w:rPr>
      <w:fldChar w:fldCharType="begin"/>
    </w:r>
    <w:r>
      <w:rPr>
        <w:rStyle w:val="10"/>
      </w:rPr>
      <w:instrText xml:space="preserve">PAGE  </w:instrText>
    </w:r>
    <w:r>
      <w:rPr>
        <w:rStyle w:val="10"/>
      </w:rPr>
      <w:fldChar w:fldCharType="separate"/>
    </w:r>
    <w:r>
      <w:rPr>
        <w:rStyle w:val="10"/>
      </w:rPr>
      <w:t>1</w:t>
    </w:r>
    <w:r>
      <w:rPr>
        <w:rStyle w:val="10"/>
      </w:rPr>
      <w:fldChar w:fldCharType="end"/>
    </w:r>
  </w:p>
  <w:p>
    <w:pPr>
      <w:pStyle w:val="6"/>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rap="around" w:vAnchor="text" w:hAnchor="margin" w:xAlign="right" w:y="1"/>
      <w:rPr>
        <w:rStyle w:val="10"/>
      </w:rPr>
    </w:pPr>
    <w:r>
      <w:rPr>
        <w:rStyle w:val="10"/>
      </w:rPr>
      <w:fldChar w:fldCharType="begin"/>
    </w:r>
    <w:r>
      <w:rPr>
        <w:rStyle w:val="10"/>
      </w:rPr>
      <w:instrText xml:space="preserve">PAGE  </w:instrText>
    </w:r>
    <w:r>
      <w:rPr>
        <w:rStyle w:val="10"/>
      </w:rPr>
      <w:fldChar w:fldCharType="end"/>
    </w:r>
  </w:p>
  <w:p>
    <w:pPr>
      <w:pStyle w:val="6"/>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61B7"/>
    <w:rsid w:val="00040E00"/>
    <w:rsid w:val="00073FC5"/>
    <w:rsid w:val="00146B4B"/>
    <w:rsid w:val="001859CD"/>
    <w:rsid w:val="002E3279"/>
    <w:rsid w:val="003B6815"/>
    <w:rsid w:val="003C2760"/>
    <w:rsid w:val="0045492C"/>
    <w:rsid w:val="00477DD9"/>
    <w:rsid w:val="00480BD9"/>
    <w:rsid w:val="004B5DB9"/>
    <w:rsid w:val="00595BC4"/>
    <w:rsid w:val="006C0537"/>
    <w:rsid w:val="00771FF5"/>
    <w:rsid w:val="008470BA"/>
    <w:rsid w:val="00865565"/>
    <w:rsid w:val="009006EE"/>
    <w:rsid w:val="00983E39"/>
    <w:rsid w:val="009D6C1E"/>
    <w:rsid w:val="00A047AB"/>
    <w:rsid w:val="00A705C1"/>
    <w:rsid w:val="00C161B7"/>
    <w:rsid w:val="00EA5E2D"/>
    <w:rsid w:val="00F84CE5"/>
    <w:rsid w:val="044D4F7C"/>
    <w:rsid w:val="1DFB6EF3"/>
    <w:rsid w:val="3EC65192"/>
    <w:rsid w:val="3F7E001A"/>
    <w:rsid w:val="3FBFC36E"/>
    <w:rsid w:val="5F6742C5"/>
    <w:rsid w:val="5FFBD208"/>
    <w:rsid w:val="67FF5B24"/>
    <w:rsid w:val="73FE1609"/>
    <w:rsid w:val="77DD0972"/>
    <w:rsid w:val="7AD76DC0"/>
    <w:rsid w:val="7E722E38"/>
    <w:rsid w:val="7FEEE689"/>
    <w:rsid w:val="7FEF105C"/>
    <w:rsid w:val="7FFB7C9A"/>
    <w:rsid w:val="7FFE0BB5"/>
    <w:rsid w:val="9ECE326F"/>
    <w:rsid w:val="BCD76E9A"/>
    <w:rsid w:val="BF7FAA5E"/>
    <w:rsid w:val="BFBB4BAE"/>
    <w:rsid w:val="DFF769A8"/>
    <w:rsid w:val="E2CE90FF"/>
    <w:rsid w:val="EDD312D5"/>
    <w:rsid w:val="EEFFAF0A"/>
    <w:rsid w:val="EF7F24AA"/>
    <w:rsid w:val="EFBFBE79"/>
    <w:rsid w:val="F5FDE0EE"/>
    <w:rsid w:val="FBFDDF6F"/>
    <w:rsid w:val="FDDE248B"/>
    <w:rsid w:val="FEFF92EB"/>
  </w:rsids>
  <m:mathPr>
    <m:mathFont m:val="Cambria Math"/>
    <m:brkBin m:val="before"/>
    <m:brkBinSub m:val="--"/>
    <m:smallFrac m:val="0"/>
    <m:dispDef m:val="0"/>
    <m:lMargin m:val="0"/>
    <m:rMargin m:val="0"/>
    <m:defJc m:val="centerGroup"/>
    <m:wrapRight m:val="1"/>
    <m:intLim m:val="subSup"/>
    <m:naryLim m:val="subSup"/>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nhideWhenUsed="0"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US" w:eastAsia="ja-JP" w:bidi="ar-SA"/>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FollowedHyperlink"/>
    <w:basedOn w:val="3"/>
    <w:semiHidden/>
    <w:unhideWhenUsed/>
    <w:uiPriority w:val="99"/>
    <w:rPr>
      <w:color w:val="800080"/>
      <w:u w:val="single"/>
    </w:rPr>
  </w:style>
  <w:style w:type="paragraph" w:styleId="6">
    <w:name w:val="header"/>
    <w:basedOn w:val="1"/>
    <w:link w:val="16"/>
    <w:unhideWhenUsed/>
    <w:uiPriority w:val="99"/>
    <w:pPr>
      <w:tabs>
        <w:tab w:val="center" w:pos="4320"/>
        <w:tab w:val="right" w:pos="8640"/>
      </w:tabs>
    </w:pPr>
  </w:style>
  <w:style w:type="paragraph" w:styleId="7">
    <w:name w:val="HTML Preformatted"/>
    <w:basedOn w:val="1"/>
    <w:link w:val="13"/>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styleId="8">
    <w:name w:val="Hyperlink"/>
    <w:basedOn w:val="3"/>
    <w:semiHidden/>
    <w:unhideWhenUsed/>
    <w:uiPriority w:val="99"/>
    <w:rPr>
      <w:color w:val="0000FF"/>
      <w:u w:val="single"/>
    </w:rPr>
  </w:style>
  <w:style w:type="paragraph" w:styleId="9">
    <w:name w:val="Normal (Web)"/>
    <w:basedOn w:val="1"/>
    <w:uiPriority w:val="99"/>
    <w:pPr>
      <w:spacing w:beforeLines="1" w:afterLines="1"/>
    </w:pPr>
    <w:rPr>
      <w:rFonts w:ascii="Times" w:hAnsi="Times" w:cs="Times New Roman"/>
      <w:sz w:val="20"/>
      <w:szCs w:val="20"/>
    </w:rPr>
  </w:style>
  <w:style w:type="character" w:styleId="10">
    <w:name w:val="page number"/>
    <w:basedOn w:val="3"/>
    <w:semiHidden/>
    <w:unhideWhenUsed/>
    <w:uiPriority w:val="99"/>
  </w:style>
  <w:style w:type="character" w:styleId="11">
    <w:name w:val="Strong"/>
    <w:basedOn w:val="3"/>
    <w:uiPriority w:val="22"/>
    <w:rPr>
      <w:b/>
    </w:rPr>
  </w:style>
  <w:style w:type="character" w:customStyle="1" w:styleId="12">
    <w:name w:val="apple-converted-space"/>
    <w:basedOn w:val="3"/>
    <w:uiPriority w:val="0"/>
  </w:style>
  <w:style w:type="character" w:customStyle="1" w:styleId="13">
    <w:name w:val="HTML Preformatted Char"/>
    <w:basedOn w:val="3"/>
    <w:link w:val="7"/>
    <w:uiPriority w:val="99"/>
    <w:rPr>
      <w:rFonts w:ascii="Courier" w:hAnsi="Courier" w:cs="Courier"/>
      <w:sz w:val="20"/>
      <w:szCs w:val="20"/>
    </w:rPr>
  </w:style>
  <w:style w:type="paragraph" w:styleId="14">
    <w:name w:val="List Paragraph"/>
    <w:basedOn w:val="1"/>
    <w:qFormat/>
    <w:uiPriority w:val="34"/>
    <w:pPr>
      <w:ind w:left="720"/>
      <w:contextualSpacing/>
    </w:pPr>
  </w:style>
  <w:style w:type="character" w:customStyle="1" w:styleId="15">
    <w:name w:val="hit"/>
    <w:basedOn w:val="3"/>
    <w:uiPriority w:val="0"/>
  </w:style>
  <w:style w:type="character" w:customStyle="1" w:styleId="16">
    <w:name w:val="Header Char"/>
    <w:basedOn w:val="3"/>
    <w:link w:val="6"/>
    <w:uiPriority w:val="99"/>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Company>Blue Valley Southwest</Company>
  <Pages>3</Pages>
  <Words>1308</Words>
  <Characters>7461</Characters>
  <Lines>62</Lines>
  <Paragraphs>17</Paragraphs>
  <TotalTime>664</TotalTime>
  <ScaleCrop>false</ScaleCrop>
  <LinksUpToDate>false</LinksUpToDate>
  <CharactersWithSpaces>8752</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2017-01-26T09:20:00Z</dcterms:created>
  <dc:creator>Samantha Johnson</dc:creator>
  <cp:lastModifiedBy>mamba</cp:lastModifiedBy>
  <dcterms:modified xsi:type="dcterms:W3CDTF">2025-09-13T18:23:06Z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