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42323"/>
        </w:rPr>
        <w:t>УЧЕБНЫЙ МАКЕТ — ТОЛЬКО ДЛЯ ТЕСТОВ</w:t>
      </w:r>
    </w:p>
    <w:p>
      <w:pPr>
        <w:pStyle w:val="Title"/>
      </w:pPr>
      <w:r>
        <w:t>Тестовая инструкция по документообороту</w:t>
      </w:r>
    </w:p>
    <w:p>
      <w:r>
        <w:t>УЧЕБНЫЙ МАКЕТ. ПАО «Дельта-Регион Банк», его сотрудники, должности и правила в этом наборе вымышлены и созданы только для тестирования чат-бота. Документ не является нормативным актом и не применяется в реальной работе.</w:t>
      </w:r>
    </w:p>
    <w:p>
      <w:r>
        <w:t>Редакция 1.0. Учебный документ от 24 октября 2026 года.</w:t>
      </w:r>
    </w:p>
    <w:p>
      <w:pPr>
        <w:pStyle w:val="Heading1"/>
      </w:pPr>
      <w:r>
        <w:t>1. Общие положения</w:t>
      </w:r>
    </w:p>
    <w:p>
      <w:r>
        <w:t>1.1. Этот учебный порядок описывает тестовый цикл подготовки внутренних приказов и распоряжений: подготовка проекта, согласование, обработка замечаний, подписание и регистрация.</w:t>
      </w:r>
    </w:p>
    <w:p>
      <w:r>
        <w:t>1.2. Правила вымышлены и применяются только в тестовых сценариях. Если вопрос выходит за их пределы, помощник сообщает, что в тестовых материалах нет ответа.</w:t>
      </w:r>
    </w:p>
    <w:p>
      <w:r>
        <w:t>1.3. Помощник объясняет требования простыми словами и не дополняет их догадками. Если не хватает сведений о виде документа, цели или подразделении, он задаёт уточняющий вопрос.</w:t>
      </w:r>
    </w:p>
    <w:p>
      <w:pPr>
        <w:pStyle w:val="Heading1"/>
      </w:pPr>
      <w:r>
        <w:t>2. Подготовка проекта</w:t>
      </w:r>
    </w:p>
    <w:p>
      <w:r>
        <w:t>2.1. Инициатор определяет цель документа, адресатов и подразделение-владельца процесса. Для учебного приказа о вводе информационной системы владельцем считается Департамент цифровых каналов.</w:t>
      </w:r>
    </w:p>
    <w:p>
      <w:r>
        <w:t>2.2. Используйте подходящий модуль из тестовой базы. Заполните поля в квадратных скобках; удалите подсказки, альтернативные варианты и неприменимые пункты. Не придумывайте ФИО, даты, номера, суммы и факты.</w:t>
      </w:r>
    </w:p>
    <w:p>
      <w:r>
        <w:t>2.3. В проекте указываются цель, основание, поручения, ответственные подразделения и сроки. Неизвестные сведения запросите у владельца процесса; регистрационные номер и дату сообщает регистратор после подписания.</w:t>
      </w:r>
    </w:p>
    <w:p>
      <w:pPr>
        <w:pStyle w:val="Heading1"/>
      </w:pPr>
      <w:r>
        <w:t>3. Согласование и сроки</w:t>
      </w:r>
    </w:p>
    <w:p>
      <w:r>
        <w:t>3.1. Состав согласующих определяется только тестовой Матрицей обязательного визирования. Указание подразделения в оргструктуре само по себе не означает, что оно согласует документ.</w:t>
      </w:r>
    </w:p>
    <w:p>
      <w:r>
        <w:t>3.2. Направляйте проект согласующим одновременно, если матрица не требует последовательного согласования.</w:t>
      </w:r>
    </w:p>
    <w:p>
      <w:r>
        <w:t>3.3. Каждый согласующий в течение трёх рабочих дней после получения проекта согласует его либо направляет замечания. Это вымышленный срок для тестирования, а не нормативный срок банка.</w:t>
      </w:r>
    </w:p>
    <w:p>
      <w:r>
        <w:t>3.4. Более длительный срок можно указать в карточке проекта после согласования с участниками; сокращать срок менее трёх рабочих дней нельзя.</w:t>
      </w:r>
    </w:p>
    <w:p>
      <w:pPr>
        <w:pStyle w:val="Heading1"/>
      </w:pPr>
      <w:r>
        <w:t>4. Замечания</w:t>
      </w:r>
    </w:p>
    <w:p>
      <w:r>
        <w:t>4.1. Каждое замечание отдельно фиксируется в тестовом Реестре замечаний: автор, дата, точное место в проекте, текст замечания, решение, обоснование и статус.</w:t>
      </w:r>
    </w:p>
    <w:p>
      <w:r>
        <w:t>4.2. Решение указывается как «Принято» или «Отклонено». Отклонение кратко обосновывается. Принятое замечание вносится в проект; обновлённая версия повторно направляется затронутому согласующему.</w:t>
      </w:r>
    </w:p>
    <w:p>
      <w:r>
        <w:t>4.3. Неразрешённое замечание нельзя считать принятым или отклонённым молча. До передачи на подпись инициатор согласует позицию с автором; при отсутствии согласия возвращает проект владельцу процесса.</w:t>
      </w:r>
    </w:p>
    <w:p>
      <w:pPr>
        <w:pStyle w:val="Heading1"/>
      </w:pPr>
      <w:r>
        <w:t>5. Подписание и регистрация</w:t>
      </w:r>
    </w:p>
    <w:p>
      <w:r>
        <w:t>5.1. После завершения визирования передайте итоговый проект подписанту, указанному в Матрице.</w:t>
      </w:r>
    </w:p>
    <w:p>
      <w:r>
        <w:t>5.2. Приказы, подписанные Председателем Правления или его заместителем, регистрирует Аппарат Правления. Учебный ответственный — руководитель Аппарата Правления Наталья Викторовна Лаптева.</w:t>
      </w:r>
    </w:p>
    <w:p>
      <w:r>
        <w:t>5.3. Приказ об утверждении графика отпусков регистрирует Департамент персонала; учебный ответственный — директор по персоналу Оксана Витальевна Комарова.</w:t>
      </w:r>
    </w:p>
    <w:p>
      <w:r>
        <w:t>5.4. Номер и дату сообщает регистратор после подписания; инициатор не назначает их самостоятельно.</w:t>
      </w:r>
    </w:p>
    <w:p>
      <w:pPr>
        <w:pStyle w:val="Heading1"/>
      </w:pPr>
      <w:r>
        <w:t>6. Сопроводительное письмо</w:t>
      </w:r>
    </w:p>
    <w:p>
      <w:r>
        <w:t>6.1. При передаче проекта между подразделениями банка через тестовую систему электронного документооборота отдельное сопроводительное письмо не требуется.</w:t>
      </w:r>
    </w:p>
    <w:p>
      <w:r>
        <w:t>6.2. При направлении подписанного документа внешнему адресату сопроводительное письмо требуется.</w:t>
      </w:r>
    </w:p>
    <w:p>
      <w:r>
        <w:t>6.3. Тестовые материалы не устанавливают структуру и формулировки сопроводительного письма. Если сотрудник спрашивает, как его составить, помощник должен сообщить, что таких требований в доступных материалах нет, и не придумывать рекомендации.</w:t>
      </w:r>
    </w:p>
    <w:p>
      <w:pPr>
        <w:pStyle w:val="Heading1"/>
      </w:pPr>
      <w:r>
        <w:t>7. Проверки</w:t>
      </w:r>
    </w:p>
    <w:p>
      <w:r>
        <w:t>7.1. Проверка орфографии не подтверждает соблюдение Матрицы, юридическую корректность или полномочия подписанта.</w:t>
      </w:r>
    </w:p>
    <w:p>
      <w:r>
        <w:t>7.2. Проверка по базе выявляет только сопоставимые требования из тестовых документов. Если подходящий модуль или правило не найдено, отчёт должен обозначать это ограничение.</w:t>
      </w:r>
    </w:p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ДЕЛЬТА-РЕГИОН — СИНТЕТИЧЕСКИЙ НАБОР ДЛЯ ТЕСТИРОВАНИЯ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