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ПРИКАЗ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 создании постоянно действующей комиссии по списанию непригодных материальных ценностей</w:t>
      </w:r>
    </w:p>
    <w:p>
      <w:r>
        <w:rPr>
          <w:sz w:val="24"/>
        </w:rPr>
        <w:t>В целях установления единого порядка признания имущества непригодным к дальнейшей эксплуатации и проведения его списания [1],</w:t>
        <w:br/>
        <w:t>ПРИКАЗЫВАЮ:</w:t>
      </w:r>
    </w:p>
    <w:p>
      <w:pPr>
        <w:ind w:left="360"/>
      </w:pPr>
      <w:r>
        <w:rPr>
          <w:sz w:val="24"/>
        </w:rPr>
        <w:t>1. Создать постоянно действующую комиссию по списанию материальных ценностей и основных средств (далее — Комиссия). [2]</w:t>
      </w:r>
    </w:p>
    <w:p>
      <w:pPr>
        <w:ind w:left="360"/>
      </w:pPr>
      <w:r>
        <w:rPr>
          <w:sz w:val="24"/>
        </w:rPr>
        <w:t>2. Утвердить состав Комиссии: Председатель Комиссии — ________________________; Секретарь Комиссии — ________________________; Члены Комиссии — ________________________. [3]</w:t>
      </w:r>
    </w:p>
    <w:p>
      <w:pPr>
        <w:ind w:left="360"/>
      </w:pPr>
      <w:r>
        <w:rPr>
          <w:sz w:val="24"/>
        </w:rPr>
        <w:t>3. Комиссии при проведении обследований руководствоваться Положением о порядке учета и списания имущества Организации. [4]</w:t>
      </w:r>
    </w:p>
    <w:p>
      <w:pPr>
        <w:ind w:left="360"/>
      </w:pPr>
      <w:r>
        <w:rPr>
          <w:sz w:val="24"/>
        </w:rPr>
        <w:t>4. Результаты работы Комиссии оформлять актами о списании и представлять на утверждение до ________________________ каждого месяца. [5]</w:t>
      </w:r>
    </w:p>
    <w:p>
      <w:pPr>
        <w:ind w:left="360"/>
      </w:pPr>
      <w:r>
        <w:rPr>
          <w:sz w:val="24"/>
        </w:rPr>
        <w:t>5. Контроль за исполнением настоящего приказа возложить на ___________________.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(приказ)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Основание: </w:t>
      </w:r>
      <w:r>
        <w:rPr>
          <w:sz w:val="20"/>
        </w:rPr>
        <w:t>Укажите локальные акты, регулирующие учет и списание основных средств.</w:t>
      </w:r>
    </w:p>
    <w:p>
      <w:r>
        <w:rPr>
          <w:b/>
          <w:sz w:val="20"/>
        </w:rPr>
        <w:t xml:space="preserve">2. Статус комиссии: </w:t>
      </w:r>
      <w:r>
        <w:rPr>
          <w:sz w:val="20"/>
        </w:rPr>
        <w:t>Укажите характер комиссии (постоянно действующая или временная).</w:t>
      </w:r>
    </w:p>
    <w:p>
      <w:r>
        <w:rPr>
          <w:b/>
          <w:sz w:val="20"/>
        </w:rPr>
        <w:t xml:space="preserve">3. Состав комиссии: </w:t>
      </w:r>
      <w:r>
        <w:rPr>
          <w:sz w:val="20"/>
        </w:rPr>
        <w:t>Укажите должности и ФИО председателя, секретаря и членов комиссии (бухгалтерия, АХО, ИТ).</w:t>
      </w:r>
    </w:p>
    <w:p>
      <w:r>
        <w:rPr>
          <w:b/>
          <w:sz w:val="20"/>
        </w:rPr>
        <w:t xml:space="preserve">4. Регламент работы: </w:t>
      </w:r>
      <w:r>
        <w:rPr>
          <w:sz w:val="20"/>
        </w:rPr>
        <w:t>Укажите руководящие документы для оценки физического износа.</w:t>
      </w:r>
    </w:p>
    <w:p>
      <w:r>
        <w:rPr>
          <w:b/>
          <w:sz w:val="20"/>
        </w:rPr>
        <w:t xml:space="preserve">5. Сроки оформления: </w:t>
      </w:r>
      <w:r>
        <w:rPr>
          <w:sz w:val="20"/>
        </w:rPr>
        <w:t>Укажите периодичность подачи актов списания на утверждение.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и ФИО лица, осуществляющего контроль.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