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B98AEB">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ascii="sans-serif" w:hAnsi="sans-serif" w:eastAsia="sans-serif" w:cs="sans-serif"/>
          <w:color w:val="1F1F1F"/>
        </w:rPr>
      </w:pPr>
      <w:r>
        <w:rPr>
          <w:rFonts w:hint="default" w:ascii="sans-serif" w:hAnsi="sans-serif" w:eastAsia="sans-serif" w:cs="sans-serif"/>
          <w:color w:val="1F1F1F"/>
        </w:rPr>
        <w:t>Hurudza Nzwisiso (Murimi Mupfumi): An AI-Assisted Expert System for Integrated Pest and Disease Management (IPDM) in Zimbabwean Agriculture</w:t>
      </w:r>
    </w:p>
    <w:p w14:paraId="759E261A">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Hurudza Nzwisiso</w:t>
      </w:r>
      <w:r>
        <w:rPr>
          <w:rFonts w:hint="default" w:ascii="sans-serif" w:hAnsi="sans-serif" w:eastAsia="sans-serif" w:cs="sans-serif"/>
          <w:color w:val="1F1F1F"/>
          <w:kern w:val="0"/>
          <w:sz w:val="24"/>
          <w:szCs w:val="24"/>
          <w:lang w:val="en-US" w:eastAsia="zh-CN" w:bidi="ar"/>
        </w:rPr>
        <w:t xml:space="preserve"> (Shona for "Master Farmer Insight") is a multilingual, AI-powered advisory and diagnostic platform designed to support Zimbabwean smallholder farmers and agricultural extension officers in identifying and managing crop pests and diseases. Built on Department of Agricultural Technical and Extension Services (AGRITEX) research, Department of Research and Specialist Services (DR&amp;SS) data, and a hybrid NLP architecture, the system provides agro-ecological, context-aware recommendations. It functions as a decision-support tool—augmenting, rather than replacing, human extension expertise.</w:t>
      </w:r>
    </w:p>
    <w:p w14:paraId="35314C18">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p>
    <w:p w14:paraId="662EDA6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rPr>
        <w:t>1. Problem, Users, and Context</w:t>
      </w:r>
    </w:p>
    <w:p w14:paraId="654C5D78">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rPr>
        <w:t>Problem Statement</w:t>
      </w:r>
    </w:p>
    <w:p w14:paraId="6DFDB830">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Zimbabwean agriculture faces recurring yield losses due to climate variability, persistent pests (such as Fall Armyworm in maize and Tuta absoluta in tomatoes), and emerging crop diseases. Smallholder farmers—particularly in communal and resettlement areas—often lack timely access to localized diagnostic advice. Available guidance is frequently fragmented, centralized in urban hubs, or provided in English rather than local languages, leading to delayed treatments, pesticide misapplication, crop loss, and soil/water contamination.</w:t>
      </w:r>
    </w:p>
    <w:p w14:paraId="020D3603">
      <w:pPr>
        <w:keepNext w:val="0"/>
        <w:keepLines w:val="0"/>
        <w:widowControl/>
        <w:suppressLineNumbers w:val="0"/>
        <w:spacing w:before="0" w:beforeAutospacing="0" w:after="0" w:afterAutospacing="0"/>
        <w:ind w:left="0" w:right="0"/>
        <w:jc w:val="left"/>
      </w:pPr>
    </w:p>
    <w:p w14:paraId="574DF817">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rPr>
        <w:t>Target Users</w:t>
      </w:r>
    </w:p>
    <w:p w14:paraId="48DEA0DE">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5E985F20">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Primary:</w:t>
      </w:r>
      <w:r>
        <w:rPr>
          <w:rFonts w:hint="default" w:ascii="sans-serif" w:hAnsi="sans-serif" w:eastAsia="sans-serif" w:cs="sans-serif"/>
          <w:color w:val="1F1F1F"/>
          <w:kern w:val="0"/>
          <w:sz w:val="24"/>
          <w:szCs w:val="24"/>
          <w:lang w:val="en-US" w:eastAsia="zh-CN" w:bidi="ar"/>
        </w:rPr>
        <w:t xml:space="preserve"> Smallholder, communal, and A1/A2 farmers across Zimbabwe’s 10 provinces speaking local languages (Shona, isiNdebele, Kalanga, Tonga, Shangani, etc.).</w:t>
      </w:r>
    </w:p>
    <w:p w14:paraId="02EFF7B3">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1969BA61">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0F054544">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Secondary:</w:t>
      </w:r>
      <w:r>
        <w:rPr>
          <w:rFonts w:hint="default" w:ascii="sans-serif" w:hAnsi="sans-serif" w:eastAsia="sans-serif" w:cs="sans-serif"/>
          <w:color w:val="1F1F1F"/>
          <w:kern w:val="0"/>
          <w:sz w:val="24"/>
          <w:szCs w:val="24"/>
          <w:lang w:val="en-US" w:eastAsia="zh-CN" w:bidi="ar"/>
        </w:rPr>
        <w:t xml:space="preserve"> AGRITEX extension workers, local agro-dealers, and non-governmental organization (NGO) field officers seeking to streamline diagnostic workflows and field outreach.</w:t>
      </w:r>
    </w:p>
    <w:p w14:paraId="30E28B31">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0BE2866A">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rPr>
        <w:t>Operational Context</w:t>
      </w:r>
    </w:p>
    <w:p w14:paraId="5D7E1916">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08ADAC24">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Input Formats:</w:t>
      </w:r>
      <w:r>
        <w:rPr>
          <w:rFonts w:hint="default" w:ascii="sans-serif" w:hAnsi="sans-serif" w:eastAsia="sans-serif" w:cs="sans-serif"/>
          <w:color w:val="1F1F1F"/>
          <w:kern w:val="0"/>
          <w:sz w:val="24"/>
          <w:szCs w:val="24"/>
          <w:lang w:val="en-US" w:eastAsia="zh-CN" w:bidi="ar"/>
        </w:rPr>
        <w:t xml:space="preserve"> Accepts natural language text, voice notes (via WhatsApp or SMS speech-to-text in local dialects), and crop photos showing leaf or fruit damage.</w:t>
      </w:r>
    </w:p>
    <w:p w14:paraId="4B917006">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3E271AA0">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29F9821B">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Output Deliverables:</w:t>
      </w:r>
      <w:r>
        <w:rPr>
          <w:rFonts w:hint="default" w:ascii="sans-serif" w:hAnsi="sans-serif" w:eastAsia="sans-serif" w:cs="sans-serif"/>
          <w:color w:val="1F1F1F"/>
          <w:kern w:val="0"/>
          <w:sz w:val="24"/>
          <w:szCs w:val="24"/>
          <w:lang w:val="en-US" w:eastAsia="zh-CN" w:bidi="ar"/>
        </w:rPr>
        <w:t xml:space="preserve"> Diagnostic rankings with confidence scores, step-by-step Integrated Pest Management (IPM) guidelines adapted to Zimbabwean natural regions (Regions I through V), safe chemical application windows, and referral flags for extension officer escalation.</w:t>
      </w:r>
    </w:p>
    <w:p w14:paraId="3C01687A">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6BDABB87">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40C341FC">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Core Purpose:</w:t>
      </w:r>
      <w:r>
        <w:rPr>
          <w:rFonts w:hint="default" w:ascii="sans-serif" w:hAnsi="sans-serif" w:eastAsia="sans-serif" w:cs="sans-serif"/>
          <w:color w:val="1F1F1F"/>
          <w:kern w:val="0"/>
          <w:sz w:val="24"/>
          <w:szCs w:val="24"/>
          <w:lang w:val="en-US" w:eastAsia="zh-CN" w:bidi="ar"/>
        </w:rPr>
        <w:t xml:space="preserve"> To deliver research-backed DR&amp;SS/AGRITEX guidance directly to rural communities, lowering input expenses and promoting resilient farming practices.</w:t>
      </w:r>
    </w:p>
    <w:p w14:paraId="4BF9DAD6">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24324A2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rPr>
        <w:t>2. Technical Architecture &amp; System Workflow</w:t>
      </w:r>
    </w:p>
    <w:p w14:paraId="2C7C0FD0">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 xml:space="preserve">The platform uses a </w:t>
      </w:r>
      <w:r>
        <w:rPr>
          <w:rFonts w:hint="default" w:ascii="sans-serif" w:hAnsi="sans-serif" w:eastAsia="sans-serif" w:cs="sans-serif"/>
          <w:b/>
          <w:bCs/>
          <w:color w:val="1F1F1F"/>
          <w:kern w:val="0"/>
          <w:sz w:val="24"/>
          <w:szCs w:val="24"/>
          <w:lang w:val="en-US" w:eastAsia="zh-CN" w:bidi="ar"/>
        </w:rPr>
        <w:t>Retrieval-Augmented Generation (RAG)</w:t>
      </w:r>
      <w:r>
        <w:rPr>
          <w:rFonts w:hint="default" w:ascii="sans-serif" w:hAnsi="sans-serif" w:eastAsia="sans-serif" w:cs="sans-serif"/>
          <w:color w:val="1F1F1F"/>
          <w:kern w:val="0"/>
          <w:sz w:val="24"/>
          <w:szCs w:val="24"/>
          <w:lang w:val="en-US" w:eastAsia="zh-CN" w:bidi="ar"/>
        </w:rPr>
        <w:t xml:space="preserve"> design, pairing a Large Language Model with a curated knowledge base derived from AGRITEX manuals, DR&amp;SS publications, and Tobacco Research Board (TRB) guidelines.</w:t>
      </w:r>
    </w:p>
    <w:p w14:paraId="3B3E41FC">
      <w:pPr>
        <w:keepNext w:val="0"/>
        <w:keepLines w:val="0"/>
        <w:widowControl/>
        <w:suppressLineNumbers w:val="0"/>
        <w:spacing w:before="0" w:beforeAutospacing="0" w:after="0" w:afterAutospacing="0"/>
        <w:ind w:left="0" w:right="0"/>
        <w:jc w:val="left"/>
      </w:pPr>
    </w:p>
    <w:p w14:paraId="11C6B46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160" w:right="-160"/>
        <w:rPr>
          <w:rStyle w:val="7"/>
          <w:rFonts w:hint="default" w:ascii="sans-serif" w:hAnsi="sans-serif" w:eastAsia="sans-serif" w:cs="sans-serif"/>
          <w:b w:val="0"/>
          <w:bCs w:val="0"/>
          <w:i w:val="0"/>
          <w:iCs w:val="0"/>
          <w:color w:val="FFFFFF"/>
          <w:sz w:val="14"/>
          <w:szCs w:val="14"/>
        </w:rPr>
      </w:pPr>
      <w:r>
        <w:rPr>
          <w:rStyle w:val="7"/>
          <w:rFonts w:hint="default" w:ascii="sans-serif" w:hAnsi="sans-serif" w:eastAsia="sans-serif" w:cs="sans-serif"/>
          <w:b w:val="0"/>
          <w:bCs w:val="0"/>
          <w:i w:val="0"/>
          <w:iCs w:val="0"/>
          <w:color w:val="FFFFFF"/>
          <w:sz w:val="14"/>
          <w:szCs w:val="14"/>
        </w:rPr>
        <w:t>┌────────────────────────────────────────────────────────────────────┐</w:t>
      </w:r>
    </w:p>
    <w:p w14:paraId="315F8C7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160" w:right="-160"/>
        <w:rPr>
          <w:rStyle w:val="7"/>
          <w:rFonts w:hint="default" w:ascii="sans-serif" w:hAnsi="sans-serif" w:eastAsia="sans-serif" w:cs="sans-serif"/>
          <w:b w:val="0"/>
          <w:bCs w:val="0"/>
          <w:i w:val="0"/>
          <w:iCs w:val="0"/>
          <w:color w:val="FFFFFF"/>
          <w:sz w:val="14"/>
          <w:szCs w:val="14"/>
        </w:rPr>
      </w:pPr>
      <w:r>
        <w:rPr>
          <w:rStyle w:val="7"/>
          <w:rFonts w:hint="default" w:ascii="sans-serif" w:hAnsi="sans-serif" w:eastAsia="sans-serif" w:cs="sans-serif"/>
          <w:b w:val="0"/>
          <w:bCs w:val="0"/>
          <w:i w:val="0"/>
          <w:iCs w:val="0"/>
          <w:color w:val="FFFFFF"/>
          <w:sz w:val="14"/>
          <w:szCs w:val="14"/>
        </w:rPr>
        <w:t>│                  INPUT: Farmer / Extension Query                   │</w:t>
      </w:r>
    </w:p>
    <w:p w14:paraId="5169F6B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160" w:right="-160"/>
        <w:rPr>
          <w:rStyle w:val="7"/>
          <w:rFonts w:hint="default" w:ascii="sans-serif" w:hAnsi="sans-serif" w:eastAsia="sans-serif" w:cs="sans-serif"/>
          <w:b w:val="0"/>
          <w:bCs w:val="0"/>
          <w:i w:val="0"/>
          <w:iCs w:val="0"/>
          <w:color w:val="FFFFFF"/>
          <w:sz w:val="14"/>
          <w:szCs w:val="14"/>
        </w:rPr>
      </w:pPr>
      <w:r>
        <w:rPr>
          <w:rStyle w:val="7"/>
          <w:rFonts w:hint="default" w:ascii="sans-serif" w:hAnsi="sans-serif" w:eastAsia="sans-serif" w:cs="sans-serif"/>
          <w:b w:val="0"/>
          <w:bCs w:val="0"/>
          <w:i w:val="0"/>
          <w:iCs w:val="0"/>
          <w:color w:val="FFFFFF"/>
          <w:sz w:val="14"/>
          <w:szCs w:val="14"/>
        </w:rPr>
        <w:t>│      (Voice Note via WhatsApp, Local Language Text, or Photo)      │</w:t>
      </w:r>
    </w:p>
    <w:p w14:paraId="2101597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160" w:right="-160"/>
        <w:rPr>
          <w:rStyle w:val="7"/>
          <w:rFonts w:hint="default" w:ascii="sans-serif" w:hAnsi="sans-serif" w:eastAsia="sans-serif" w:cs="sans-serif"/>
          <w:b w:val="0"/>
          <w:bCs w:val="0"/>
          <w:i w:val="0"/>
          <w:iCs w:val="0"/>
          <w:color w:val="FFFFFF"/>
          <w:sz w:val="14"/>
          <w:szCs w:val="14"/>
        </w:rPr>
      </w:pPr>
      <w:r>
        <w:rPr>
          <w:rStyle w:val="7"/>
          <w:rFonts w:hint="default" w:ascii="sans-serif" w:hAnsi="sans-serif" w:eastAsia="sans-serif" w:cs="sans-serif"/>
          <w:b w:val="0"/>
          <w:bCs w:val="0"/>
          <w:i w:val="0"/>
          <w:iCs w:val="0"/>
          <w:color w:val="FFFFFF"/>
          <w:sz w:val="14"/>
          <w:szCs w:val="14"/>
        </w:rPr>
        <w:t>└─────────────────────────────┬──────────────────────────────────────┘</w:t>
      </w:r>
    </w:p>
    <w:p w14:paraId="797020A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160" w:right="-160"/>
        <w:rPr>
          <w:rStyle w:val="7"/>
          <w:rFonts w:hint="default" w:ascii="sans-serif" w:hAnsi="sans-serif" w:eastAsia="sans-serif" w:cs="sans-serif"/>
          <w:b w:val="0"/>
          <w:bCs w:val="0"/>
          <w:i w:val="0"/>
          <w:iCs w:val="0"/>
          <w:color w:val="FFFFFF"/>
          <w:sz w:val="14"/>
          <w:szCs w:val="14"/>
        </w:rPr>
      </w:pPr>
      <w:r>
        <w:rPr>
          <w:rStyle w:val="7"/>
          <w:rFonts w:hint="default" w:ascii="sans-serif" w:hAnsi="sans-serif" w:eastAsia="sans-serif" w:cs="sans-serif"/>
          <w:b w:val="0"/>
          <w:bCs w:val="0"/>
          <w:i w:val="0"/>
          <w:iCs w:val="0"/>
          <w:color w:val="FFFFFF"/>
          <w:sz w:val="14"/>
          <w:szCs w:val="14"/>
        </w:rPr>
        <w:t xml:space="preserve">                              │</w:t>
      </w:r>
    </w:p>
    <w:p w14:paraId="4E8FA37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160" w:right="-160"/>
        <w:rPr>
          <w:rStyle w:val="7"/>
          <w:rFonts w:hint="default" w:ascii="sans-serif" w:hAnsi="sans-serif" w:eastAsia="sans-serif" w:cs="sans-serif"/>
          <w:b w:val="0"/>
          <w:bCs w:val="0"/>
          <w:i w:val="0"/>
          <w:iCs w:val="0"/>
          <w:color w:val="FFFFFF"/>
          <w:sz w:val="14"/>
          <w:szCs w:val="14"/>
        </w:rPr>
      </w:pPr>
      <w:r>
        <w:rPr>
          <w:rStyle w:val="7"/>
          <w:rFonts w:hint="default" w:ascii="sans-serif" w:hAnsi="sans-serif" w:eastAsia="sans-serif" w:cs="sans-serif"/>
          <w:b w:val="0"/>
          <w:bCs w:val="0"/>
          <w:i w:val="0"/>
          <w:iCs w:val="0"/>
          <w:color w:val="FFFFFF"/>
          <w:sz w:val="14"/>
          <w:szCs w:val="14"/>
        </w:rPr>
        <w:t xml:space="preserve">                              ▼</w:t>
      </w:r>
    </w:p>
    <w:p w14:paraId="3C7057F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160" w:right="-160"/>
        <w:rPr>
          <w:rStyle w:val="7"/>
          <w:rFonts w:hint="default" w:ascii="sans-serif" w:hAnsi="sans-serif" w:eastAsia="sans-serif" w:cs="sans-serif"/>
          <w:b w:val="0"/>
          <w:bCs w:val="0"/>
          <w:i w:val="0"/>
          <w:iCs w:val="0"/>
          <w:color w:val="FFFFFF"/>
          <w:sz w:val="14"/>
          <w:szCs w:val="14"/>
        </w:rPr>
      </w:pPr>
      <w:r>
        <w:rPr>
          <w:rStyle w:val="7"/>
          <w:rFonts w:hint="default" w:ascii="sans-serif" w:hAnsi="sans-serif" w:eastAsia="sans-serif" w:cs="sans-serif"/>
          <w:b w:val="0"/>
          <w:bCs w:val="0"/>
          <w:i w:val="0"/>
          <w:iCs w:val="0"/>
          <w:color w:val="FFFFFF"/>
          <w:sz w:val="14"/>
          <w:szCs w:val="14"/>
        </w:rPr>
        <w:t>┌────────────────────────────────────────────────────────────────────┐</w:t>
      </w:r>
    </w:p>
    <w:p w14:paraId="379AFE3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160" w:right="-160"/>
        <w:rPr>
          <w:rStyle w:val="7"/>
          <w:rFonts w:hint="default" w:ascii="sans-serif" w:hAnsi="sans-serif" w:eastAsia="sans-serif" w:cs="sans-serif"/>
          <w:b w:val="0"/>
          <w:bCs w:val="0"/>
          <w:i w:val="0"/>
          <w:iCs w:val="0"/>
          <w:color w:val="FFFFFF"/>
          <w:sz w:val="14"/>
          <w:szCs w:val="14"/>
        </w:rPr>
      </w:pPr>
      <w:r>
        <w:rPr>
          <w:rStyle w:val="7"/>
          <w:rFonts w:hint="default" w:ascii="sans-serif" w:hAnsi="sans-serif" w:eastAsia="sans-serif" w:cs="sans-serif"/>
          <w:b w:val="0"/>
          <w:bCs w:val="0"/>
          <w:i w:val="0"/>
          <w:iCs w:val="0"/>
          <w:color w:val="FFFFFF"/>
          <w:sz w:val="14"/>
          <w:szCs w:val="14"/>
        </w:rPr>
        <w:t>│              STAGE 1: Multimodal Input Processing                  │</w:t>
      </w:r>
    </w:p>
    <w:p w14:paraId="451A6A7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160" w:right="-160"/>
        <w:rPr>
          <w:rStyle w:val="7"/>
          <w:rFonts w:hint="default" w:ascii="sans-serif" w:hAnsi="sans-serif" w:eastAsia="sans-serif" w:cs="sans-serif"/>
          <w:b w:val="0"/>
          <w:bCs w:val="0"/>
          <w:i w:val="0"/>
          <w:iCs w:val="0"/>
          <w:color w:val="FFFFFF"/>
          <w:sz w:val="14"/>
          <w:szCs w:val="14"/>
        </w:rPr>
      </w:pPr>
      <w:r>
        <w:rPr>
          <w:rStyle w:val="7"/>
          <w:rFonts w:hint="default" w:ascii="sans-serif" w:hAnsi="sans-serif" w:eastAsia="sans-serif" w:cs="sans-serif"/>
          <w:b w:val="0"/>
          <w:bCs w:val="0"/>
          <w:i w:val="0"/>
          <w:iCs w:val="0"/>
          <w:color w:val="FFFFFF"/>
          <w:sz w:val="14"/>
          <w:szCs w:val="14"/>
        </w:rPr>
        <w:t>│  • Speech-to-Text: Converts Shona/Ndebele audio to text            │</w:t>
      </w:r>
    </w:p>
    <w:p w14:paraId="4F8747D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160" w:right="-160"/>
        <w:rPr>
          <w:rStyle w:val="7"/>
          <w:rFonts w:hint="default" w:ascii="sans-serif" w:hAnsi="sans-serif" w:eastAsia="sans-serif" w:cs="sans-serif"/>
          <w:b w:val="0"/>
          <w:bCs w:val="0"/>
          <w:i w:val="0"/>
          <w:iCs w:val="0"/>
          <w:color w:val="FFFFFF"/>
          <w:sz w:val="14"/>
          <w:szCs w:val="14"/>
        </w:rPr>
      </w:pPr>
      <w:r>
        <w:rPr>
          <w:rStyle w:val="7"/>
          <w:rFonts w:hint="default" w:ascii="sans-serif" w:hAnsi="sans-serif" w:eastAsia="sans-serif" w:cs="sans-serif"/>
          <w:b w:val="0"/>
          <w:bCs w:val="0"/>
          <w:i w:val="0"/>
          <w:iCs w:val="0"/>
          <w:color w:val="FFFFFF"/>
          <w:sz w:val="14"/>
          <w:szCs w:val="14"/>
        </w:rPr>
        <w:t>│  • Vision Model: Extracts visual features from crop photos         │</w:t>
      </w:r>
    </w:p>
    <w:p w14:paraId="4CD9DBD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160" w:right="-160"/>
        <w:rPr>
          <w:rStyle w:val="7"/>
          <w:rFonts w:hint="default" w:ascii="sans-serif" w:hAnsi="sans-serif" w:eastAsia="sans-serif" w:cs="sans-serif"/>
          <w:b w:val="0"/>
          <w:bCs w:val="0"/>
          <w:i w:val="0"/>
          <w:iCs w:val="0"/>
          <w:color w:val="FFFFFF"/>
          <w:sz w:val="14"/>
          <w:szCs w:val="14"/>
        </w:rPr>
      </w:pPr>
      <w:r>
        <w:rPr>
          <w:rStyle w:val="7"/>
          <w:rFonts w:hint="default" w:ascii="sans-serif" w:hAnsi="sans-serif" w:eastAsia="sans-serif" w:cs="sans-serif"/>
          <w:b w:val="0"/>
          <w:bCs w:val="0"/>
          <w:i w:val="0"/>
          <w:iCs w:val="0"/>
          <w:color w:val="FFFFFF"/>
          <w:sz w:val="14"/>
          <w:szCs w:val="14"/>
        </w:rPr>
        <w:t>│  • Translation: Maps local language queries into unified English   │</w:t>
      </w:r>
    </w:p>
    <w:p w14:paraId="1BA1D42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160" w:right="-160"/>
        <w:rPr>
          <w:rStyle w:val="7"/>
          <w:rFonts w:hint="default" w:ascii="sans-serif" w:hAnsi="sans-serif" w:eastAsia="sans-serif" w:cs="sans-serif"/>
          <w:b w:val="0"/>
          <w:bCs w:val="0"/>
          <w:i w:val="0"/>
          <w:iCs w:val="0"/>
          <w:color w:val="FFFFFF"/>
          <w:sz w:val="14"/>
          <w:szCs w:val="14"/>
        </w:rPr>
      </w:pPr>
      <w:r>
        <w:rPr>
          <w:rStyle w:val="7"/>
          <w:rFonts w:hint="default" w:ascii="sans-serif" w:hAnsi="sans-serif" w:eastAsia="sans-serif" w:cs="sans-serif"/>
          <w:b w:val="0"/>
          <w:bCs w:val="0"/>
          <w:i w:val="0"/>
          <w:iCs w:val="0"/>
          <w:color w:val="FFFFFF"/>
          <w:sz w:val="14"/>
          <w:szCs w:val="14"/>
        </w:rPr>
        <w:t>└─────────────────────────────┬──────────────────────────────────────┘</w:t>
      </w:r>
    </w:p>
    <w:p w14:paraId="11E8AC0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160" w:right="-160"/>
        <w:rPr>
          <w:rStyle w:val="7"/>
          <w:rFonts w:hint="default" w:ascii="sans-serif" w:hAnsi="sans-serif" w:eastAsia="sans-serif" w:cs="sans-serif"/>
          <w:b w:val="0"/>
          <w:bCs w:val="0"/>
          <w:i w:val="0"/>
          <w:iCs w:val="0"/>
          <w:color w:val="FFFFFF"/>
          <w:sz w:val="14"/>
          <w:szCs w:val="14"/>
        </w:rPr>
      </w:pPr>
      <w:r>
        <w:rPr>
          <w:rStyle w:val="7"/>
          <w:rFonts w:hint="default" w:ascii="sans-serif" w:hAnsi="sans-serif" w:eastAsia="sans-serif" w:cs="sans-serif"/>
          <w:b w:val="0"/>
          <w:bCs w:val="0"/>
          <w:i w:val="0"/>
          <w:iCs w:val="0"/>
          <w:color w:val="FFFFFF"/>
          <w:sz w:val="14"/>
          <w:szCs w:val="14"/>
        </w:rPr>
        <w:t xml:space="preserve">                              │</w:t>
      </w:r>
    </w:p>
    <w:p w14:paraId="59C1A3B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160" w:right="-160"/>
        <w:rPr>
          <w:rStyle w:val="7"/>
          <w:rFonts w:hint="default" w:ascii="sans-serif" w:hAnsi="sans-serif" w:eastAsia="sans-serif" w:cs="sans-serif"/>
          <w:b w:val="0"/>
          <w:bCs w:val="0"/>
          <w:i w:val="0"/>
          <w:iCs w:val="0"/>
          <w:color w:val="FFFFFF"/>
          <w:sz w:val="14"/>
          <w:szCs w:val="14"/>
        </w:rPr>
      </w:pPr>
      <w:r>
        <w:rPr>
          <w:rStyle w:val="7"/>
          <w:rFonts w:hint="default" w:ascii="sans-serif" w:hAnsi="sans-serif" w:eastAsia="sans-serif" w:cs="sans-serif"/>
          <w:b w:val="0"/>
          <w:bCs w:val="0"/>
          <w:i w:val="0"/>
          <w:iCs w:val="0"/>
          <w:color w:val="FFFFFF"/>
          <w:sz w:val="14"/>
          <w:szCs w:val="14"/>
        </w:rPr>
        <w:t xml:space="preserve">                              ▼</w:t>
      </w:r>
    </w:p>
    <w:p w14:paraId="658FB52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160" w:right="-160"/>
        <w:rPr>
          <w:rStyle w:val="7"/>
          <w:rFonts w:hint="default" w:ascii="sans-serif" w:hAnsi="sans-serif" w:eastAsia="sans-serif" w:cs="sans-serif"/>
          <w:b w:val="0"/>
          <w:bCs w:val="0"/>
          <w:i w:val="0"/>
          <w:iCs w:val="0"/>
          <w:color w:val="FFFFFF"/>
          <w:sz w:val="14"/>
          <w:szCs w:val="14"/>
        </w:rPr>
      </w:pPr>
      <w:r>
        <w:rPr>
          <w:rStyle w:val="7"/>
          <w:rFonts w:hint="default" w:ascii="sans-serif" w:hAnsi="sans-serif" w:eastAsia="sans-serif" w:cs="sans-serif"/>
          <w:b w:val="0"/>
          <w:bCs w:val="0"/>
          <w:i w:val="0"/>
          <w:iCs w:val="0"/>
          <w:color w:val="FFFFFF"/>
          <w:sz w:val="14"/>
          <w:szCs w:val="14"/>
        </w:rPr>
        <w:t>┌────────────────────────────────────────────────────────────────────┐</w:t>
      </w:r>
    </w:p>
    <w:p w14:paraId="1DFF3D0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160" w:right="-160"/>
        <w:rPr>
          <w:rStyle w:val="7"/>
          <w:rFonts w:hint="default" w:ascii="sans-serif" w:hAnsi="sans-serif" w:eastAsia="sans-serif" w:cs="sans-serif"/>
          <w:b w:val="0"/>
          <w:bCs w:val="0"/>
          <w:i w:val="0"/>
          <w:iCs w:val="0"/>
          <w:color w:val="FFFFFF"/>
          <w:sz w:val="14"/>
          <w:szCs w:val="14"/>
        </w:rPr>
      </w:pPr>
      <w:r>
        <w:rPr>
          <w:rStyle w:val="7"/>
          <w:rFonts w:hint="default" w:ascii="sans-serif" w:hAnsi="sans-serif" w:eastAsia="sans-serif" w:cs="sans-serif"/>
          <w:b w:val="0"/>
          <w:bCs w:val="0"/>
          <w:i w:val="0"/>
          <w:iCs w:val="0"/>
          <w:color w:val="FFFFFF"/>
          <w:sz w:val="14"/>
          <w:szCs w:val="14"/>
        </w:rPr>
        <w:t>│              STAGE 2: Knowledge Retrieval &amp; Context Assembly       │</w:t>
      </w:r>
    </w:p>
    <w:p w14:paraId="427344D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160" w:right="-160"/>
        <w:rPr>
          <w:rStyle w:val="7"/>
          <w:rFonts w:hint="default" w:ascii="sans-serif" w:hAnsi="sans-serif" w:eastAsia="sans-serif" w:cs="sans-serif"/>
          <w:b w:val="0"/>
          <w:bCs w:val="0"/>
          <w:i w:val="0"/>
          <w:iCs w:val="0"/>
          <w:color w:val="FFFFFF"/>
          <w:sz w:val="14"/>
          <w:szCs w:val="14"/>
        </w:rPr>
      </w:pPr>
      <w:r>
        <w:rPr>
          <w:rStyle w:val="7"/>
          <w:rFonts w:hint="default" w:ascii="sans-serif" w:hAnsi="sans-serif" w:eastAsia="sans-serif" w:cs="sans-serif"/>
          <w:b w:val="0"/>
          <w:bCs w:val="0"/>
          <w:i w:val="0"/>
          <w:iCs w:val="0"/>
          <w:color w:val="FFFFFF"/>
          <w:sz w:val="14"/>
          <w:szCs w:val="14"/>
        </w:rPr>
        <w:t>│  • Vector DB Query: Searches AGRITEX, DR&amp;SS, and TRB literature    │</w:t>
      </w:r>
    </w:p>
    <w:p w14:paraId="17EFDD2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160" w:right="-160"/>
        <w:rPr>
          <w:rStyle w:val="7"/>
          <w:rFonts w:hint="default" w:ascii="sans-serif" w:hAnsi="sans-serif" w:eastAsia="sans-serif" w:cs="sans-serif"/>
          <w:b w:val="0"/>
          <w:bCs w:val="0"/>
          <w:i w:val="0"/>
          <w:iCs w:val="0"/>
          <w:color w:val="FFFFFF"/>
          <w:sz w:val="14"/>
          <w:szCs w:val="14"/>
        </w:rPr>
      </w:pPr>
      <w:r>
        <w:rPr>
          <w:rStyle w:val="7"/>
          <w:rFonts w:hint="default" w:ascii="sans-serif" w:hAnsi="sans-serif" w:eastAsia="sans-serif" w:cs="sans-serif"/>
          <w:b w:val="0"/>
          <w:bCs w:val="0"/>
          <w:i w:val="0"/>
          <w:iCs w:val="0"/>
          <w:color w:val="FFFFFF"/>
          <w:sz w:val="14"/>
          <w:szCs w:val="14"/>
        </w:rPr>
        <w:t>│  • Context Builder: Merges query, photo tags, and Agro-Region data │</w:t>
      </w:r>
    </w:p>
    <w:p w14:paraId="6D4FFF3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160" w:right="-160"/>
        <w:rPr>
          <w:rStyle w:val="7"/>
          <w:rFonts w:hint="default" w:ascii="sans-serif" w:hAnsi="sans-serif" w:eastAsia="sans-serif" w:cs="sans-serif"/>
          <w:b w:val="0"/>
          <w:bCs w:val="0"/>
          <w:i w:val="0"/>
          <w:iCs w:val="0"/>
          <w:color w:val="FFFFFF"/>
          <w:sz w:val="14"/>
          <w:szCs w:val="14"/>
        </w:rPr>
      </w:pPr>
      <w:r>
        <w:rPr>
          <w:rStyle w:val="7"/>
          <w:rFonts w:hint="default" w:ascii="sans-serif" w:hAnsi="sans-serif" w:eastAsia="sans-serif" w:cs="sans-serif"/>
          <w:b w:val="0"/>
          <w:bCs w:val="0"/>
          <w:i w:val="0"/>
          <w:iCs w:val="0"/>
          <w:color w:val="FFFFFF"/>
          <w:sz w:val="14"/>
          <w:szCs w:val="14"/>
        </w:rPr>
        <w:t>│  • Prompt Assembly: Constructs structured context for the LLM      │</w:t>
      </w:r>
    </w:p>
    <w:p w14:paraId="5DE107F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160" w:right="-160"/>
        <w:rPr>
          <w:rStyle w:val="7"/>
          <w:rFonts w:hint="default" w:ascii="sans-serif" w:hAnsi="sans-serif" w:eastAsia="sans-serif" w:cs="sans-serif"/>
          <w:b w:val="0"/>
          <w:bCs w:val="0"/>
          <w:i w:val="0"/>
          <w:iCs w:val="0"/>
          <w:color w:val="FFFFFF"/>
          <w:sz w:val="14"/>
          <w:szCs w:val="14"/>
        </w:rPr>
      </w:pPr>
      <w:r>
        <w:rPr>
          <w:rStyle w:val="7"/>
          <w:rFonts w:hint="default" w:ascii="sans-serif" w:hAnsi="sans-serif" w:eastAsia="sans-serif" w:cs="sans-serif"/>
          <w:b w:val="0"/>
          <w:bCs w:val="0"/>
          <w:i w:val="0"/>
          <w:iCs w:val="0"/>
          <w:color w:val="FFFFFF"/>
          <w:sz w:val="14"/>
          <w:szCs w:val="14"/>
        </w:rPr>
        <w:t>└─────────────────────────────┬──────────────────────────────────────┘</w:t>
      </w:r>
    </w:p>
    <w:p w14:paraId="10B5DA5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160" w:right="-160"/>
        <w:rPr>
          <w:rStyle w:val="7"/>
          <w:rFonts w:hint="default" w:ascii="sans-serif" w:hAnsi="sans-serif" w:eastAsia="sans-serif" w:cs="sans-serif"/>
          <w:b w:val="0"/>
          <w:bCs w:val="0"/>
          <w:i w:val="0"/>
          <w:iCs w:val="0"/>
          <w:color w:val="FFFFFF"/>
          <w:sz w:val="14"/>
          <w:szCs w:val="14"/>
        </w:rPr>
      </w:pPr>
      <w:r>
        <w:rPr>
          <w:rStyle w:val="7"/>
          <w:rFonts w:hint="default" w:ascii="sans-serif" w:hAnsi="sans-serif" w:eastAsia="sans-serif" w:cs="sans-serif"/>
          <w:b w:val="0"/>
          <w:bCs w:val="0"/>
          <w:i w:val="0"/>
          <w:iCs w:val="0"/>
          <w:color w:val="FFFFFF"/>
          <w:sz w:val="14"/>
          <w:szCs w:val="14"/>
        </w:rPr>
        <w:t xml:space="preserve">                              │</w:t>
      </w:r>
    </w:p>
    <w:p w14:paraId="1FF13F2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160" w:right="-160"/>
        <w:rPr>
          <w:rStyle w:val="7"/>
          <w:rFonts w:hint="default" w:ascii="sans-serif" w:hAnsi="sans-serif" w:eastAsia="sans-serif" w:cs="sans-serif"/>
          <w:b w:val="0"/>
          <w:bCs w:val="0"/>
          <w:i w:val="0"/>
          <w:iCs w:val="0"/>
          <w:color w:val="FFFFFF"/>
          <w:sz w:val="14"/>
          <w:szCs w:val="14"/>
        </w:rPr>
      </w:pPr>
      <w:r>
        <w:rPr>
          <w:rStyle w:val="7"/>
          <w:rFonts w:hint="default" w:ascii="sans-serif" w:hAnsi="sans-serif" w:eastAsia="sans-serif" w:cs="sans-serif"/>
          <w:b w:val="0"/>
          <w:bCs w:val="0"/>
          <w:i w:val="0"/>
          <w:iCs w:val="0"/>
          <w:color w:val="FFFFFF"/>
          <w:sz w:val="14"/>
          <w:szCs w:val="14"/>
        </w:rPr>
        <w:t xml:space="preserve">                              ▼</w:t>
      </w:r>
    </w:p>
    <w:p w14:paraId="241EB5C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160" w:right="-160"/>
        <w:rPr>
          <w:rStyle w:val="7"/>
          <w:rFonts w:hint="default" w:ascii="sans-serif" w:hAnsi="sans-serif" w:eastAsia="sans-serif" w:cs="sans-serif"/>
          <w:b w:val="0"/>
          <w:bCs w:val="0"/>
          <w:i w:val="0"/>
          <w:iCs w:val="0"/>
          <w:color w:val="FFFFFF"/>
          <w:sz w:val="14"/>
          <w:szCs w:val="14"/>
        </w:rPr>
      </w:pPr>
      <w:r>
        <w:rPr>
          <w:rStyle w:val="7"/>
          <w:rFonts w:hint="default" w:ascii="sans-serif" w:hAnsi="sans-serif" w:eastAsia="sans-serif" w:cs="sans-serif"/>
          <w:b w:val="0"/>
          <w:bCs w:val="0"/>
          <w:i w:val="0"/>
          <w:iCs w:val="0"/>
          <w:color w:val="FFFFFF"/>
          <w:sz w:val="14"/>
          <w:szCs w:val="14"/>
        </w:rPr>
        <w:t>┌────────────────────────────────────────────────────────────────────┐</w:t>
      </w:r>
    </w:p>
    <w:p w14:paraId="55A35FE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160" w:right="-160"/>
        <w:rPr>
          <w:rStyle w:val="7"/>
          <w:rFonts w:hint="default" w:ascii="sans-serif" w:hAnsi="sans-serif" w:eastAsia="sans-serif" w:cs="sans-serif"/>
          <w:b w:val="0"/>
          <w:bCs w:val="0"/>
          <w:i w:val="0"/>
          <w:iCs w:val="0"/>
          <w:color w:val="FFFFFF"/>
          <w:sz w:val="14"/>
          <w:szCs w:val="14"/>
        </w:rPr>
      </w:pPr>
      <w:r>
        <w:rPr>
          <w:rStyle w:val="7"/>
          <w:rFonts w:hint="default" w:ascii="sans-serif" w:hAnsi="sans-serif" w:eastAsia="sans-serif" w:cs="sans-serif"/>
          <w:b w:val="0"/>
          <w:bCs w:val="0"/>
          <w:i w:val="0"/>
          <w:iCs w:val="0"/>
          <w:color w:val="FFFFFF"/>
          <w:sz w:val="14"/>
          <w:szCs w:val="14"/>
        </w:rPr>
        <w:t>│              STAGE 3: Synthesis &amp; Guardrail Evaluation             │</w:t>
      </w:r>
    </w:p>
    <w:p w14:paraId="1BFB503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160" w:right="-160"/>
        <w:rPr>
          <w:rStyle w:val="7"/>
          <w:rFonts w:hint="default" w:ascii="sans-serif" w:hAnsi="sans-serif" w:eastAsia="sans-serif" w:cs="sans-serif"/>
          <w:b w:val="0"/>
          <w:bCs w:val="0"/>
          <w:i w:val="0"/>
          <w:iCs w:val="0"/>
          <w:color w:val="FFFFFF"/>
          <w:sz w:val="14"/>
          <w:szCs w:val="14"/>
        </w:rPr>
      </w:pPr>
      <w:r>
        <w:rPr>
          <w:rStyle w:val="7"/>
          <w:rFonts w:hint="default" w:ascii="sans-serif" w:hAnsi="sans-serif" w:eastAsia="sans-serif" w:cs="sans-serif"/>
          <w:b w:val="0"/>
          <w:bCs w:val="0"/>
          <w:i w:val="0"/>
          <w:iCs w:val="0"/>
          <w:color w:val="FFFFFF"/>
          <w:sz w:val="14"/>
          <w:szCs w:val="14"/>
        </w:rPr>
        <w:t>│  • Model Ingestion: Generates diagnosis and IPM steps              │</w:t>
      </w:r>
    </w:p>
    <w:p w14:paraId="1EC89F0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160" w:right="-160"/>
        <w:rPr>
          <w:rStyle w:val="7"/>
          <w:rFonts w:hint="default" w:ascii="sans-serif" w:hAnsi="sans-serif" w:eastAsia="sans-serif" w:cs="sans-serif"/>
          <w:b w:val="0"/>
          <w:bCs w:val="0"/>
          <w:i w:val="0"/>
          <w:iCs w:val="0"/>
          <w:color w:val="FFFFFF"/>
          <w:sz w:val="14"/>
          <w:szCs w:val="14"/>
        </w:rPr>
      </w:pPr>
      <w:r>
        <w:rPr>
          <w:rStyle w:val="7"/>
          <w:rFonts w:hint="default" w:ascii="sans-serif" w:hAnsi="sans-serif" w:eastAsia="sans-serif" w:cs="sans-serif"/>
          <w:b w:val="0"/>
          <w:bCs w:val="0"/>
          <w:i w:val="0"/>
          <w:iCs w:val="0"/>
          <w:color w:val="FFFFFF"/>
          <w:sz w:val="14"/>
          <w:szCs w:val="14"/>
        </w:rPr>
        <w:t>│  • Confidence Scoring: Evaluates certainty against safety limits   │</w:t>
      </w:r>
    </w:p>
    <w:p w14:paraId="7C98A17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160" w:right="-160"/>
        <w:rPr>
          <w:rStyle w:val="7"/>
          <w:rFonts w:hint="default" w:ascii="sans-serif" w:hAnsi="sans-serif" w:eastAsia="sans-serif" w:cs="sans-serif"/>
          <w:b w:val="0"/>
          <w:bCs w:val="0"/>
          <w:i w:val="0"/>
          <w:iCs w:val="0"/>
          <w:color w:val="FFFFFF"/>
          <w:sz w:val="14"/>
          <w:szCs w:val="14"/>
        </w:rPr>
      </w:pPr>
      <w:r>
        <w:rPr>
          <w:rStyle w:val="7"/>
          <w:rFonts w:hint="default" w:ascii="sans-serif" w:hAnsi="sans-serif" w:eastAsia="sans-serif" w:cs="sans-serif"/>
          <w:b w:val="0"/>
          <w:bCs w:val="0"/>
          <w:i w:val="0"/>
          <w:iCs w:val="0"/>
          <w:color w:val="FFFFFF"/>
          <w:sz w:val="14"/>
          <w:szCs w:val="14"/>
        </w:rPr>
        <w:t>│  • Safety Check: Enforces pesticide pre-harvest safety windows     │</w:t>
      </w:r>
    </w:p>
    <w:p w14:paraId="2C6B5DA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160" w:right="-160"/>
        <w:rPr>
          <w:rStyle w:val="7"/>
          <w:rFonts w:hint="default" w:ascii="sans-serif" w:hAnsi="sans-serif" w:eastAsia="sans-serif" w:cs="sans-serif"/>
          <w:b w:val="0"/>
          <w:bCs w:val="0"/>
          <w:i w:val="0"/>
          <w:iCs w:val="0"/>
          <w:color w:val="FFFFFF"/>
          <w:sz w:val="14"/>
          <w:szCs w:val="14"/>
        </w:rPr>
      </w:pPr>
      <w:r>
        <w:rPr>
          <w:rStyle w:val="7"/>
          <w:rFonts w:hint="default" w:ascii="sans-serif" w:hAnsi="sans-serif" w:eastAsia="sans-serif" w:cs="sans-serif"/>
          <w:b w:val="0"/>
          <w:bCs w:val="0"/>
          <w:i w:val="0"/>
          <w:iCs w:val="0"/>
          <w:color w:val="FFFFFF"/>
          <w:sz w:val="14"/>
          <w:szCs w:val="14"/>
        </w:rPr>
        <w:t>└─────────────────────────────┬──────────────────────────────────────┘</w:t>
      </w:r>
    </w:p>
    <w:p w14:paraId="3701C4F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160" w:right="-160"/>
        <w:rPr>
          <w:rStyle w:val="7"/>
          <w:rFonts w:hint="default" w:ascii="sans-serif" w:hAnsi="sans-serif" w:eastAsia="sans-serif" w:cs="sans-serif"/>
          <w:b w:val="0"/>
          <w:bCs w:val="0"/>
          <w:i w:val="0"/>
          <w:iCs w:val="0"/>
          <w:color w:val="FFFFFF"/>
          <w:sz w:val="14"/>
          <w:szCs w:val="14"/>
        </w:rPr>
      </w:pPr>
      <w:r>
        <w:rPr>
          <w:rStyle w:val="7"/>
          <w:rFonts w:hint="default" w:ascii="sans-serif" w:hAnsi="sans-serif" w:eastAsia="sans-serif" w:cs="sans-serif"/>
          <w:b w:val="0"/>
          <w:bCs w:val="0"/>
          <w:i w:val="0"/>
          <w:iCs w:val="0"/>
          <w:color w:val="FFFFFF"/>
          <w:sz w:val="14"/>
          <w:szCs w:val="14"/>
        </w:rPr>
        <w:t xml:space="preserve">                              │</w:t>
      </w:r>
    </w:p>
    <w:p w14:paraId="426BA28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160" w:right="-160"/>
        <w:rPr>
          <w:rStyle w:val="7"/>
          <w:rFonts w:hint="default" w:ascii="sans-serif" w:hAnsi="sans-serif" w:eastAsia="sans-serif" w:cs="sans-serif"/>
          <w:b w:val="0"/>
          <w:bCs w:val="0"/>
          <w:i w:val="0"/>
          <w:iCs w:val="0"/>
          <w:color w:val="FFFFFF"/>
          <w:sz w:val="14"/>
          <w:szCs w:val="14"/>
        </w:rPr>
      </w:pPr>
      <w:r>
        <w:rPr>
          <w:rStyle w:val="7"/>
          <w:rFonts w:hint="default" w:ascii="sans-serif" w:hAnsi="sans-serif" w:eastAsia="sans-serif" w:cs="sans-serif"/>
          <w:b w:val="0"/>
          <w:bCs w:val="0"/>
          <w:i w:val="0"/>
          <w:iCs w:val="0"/>
          <w:color w:val="FFFFFF"/>
          <w:sz w:val="14"/>
          <w:szCs w:val="14"/>
        </w:rPr>
        <w:t xml:space="preserve">                              ▼</w:t>
      </w:r>
    </w:p>
    <w:p w14:paraId="4701DE9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160" w:right="-160"/>
        <w:rPr>
          <w:rStyle w:val="7"/>
          <w:rFonts w:hint="default" w:ascii="sans-serif" w:hAnsi="sans-serif" w:eastAsia="sans-serif" w:cs="sans-serif"/>
          <w:b w:val="0"/>
          <w:bCs w:val="0"/>
          <w:i w:val="0"/>
          <w:iCs w:val="0"/>
          <w:color w:val="FFFFFF"/>
          <w:sz w:val="14"/>
          <w:szCs w:val="14"/>
        </w:rPr>
      </w:pPr>
      <w:r>
        <w:rPr>
          <w:rStyle w:val="7"/>
          <w:rFonts w:hint="default" w:ascii="sans-serif" w:hAnsi="sans-serif" w:eastAsia="sans-serif" w:cs="sans-serif"/>
          <w:b w:val="0"/>
          <w:bCs w:val="0"/>
          <w:i w:val="0"/>
          <w:iCs w:val="0"/>
          <w:color w:val="FFFFFF"/>
          <w:sz w:val="14"/>
          <w:szCs w:val="14"/>
        </w:rPr>
        <w:t>┌────────────────────────────────────────────────────────────────────┐</w:t>
      </w:r>
    </w:p>
    <w:p w14:paraId="69A8533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160" w:right="-160"/>
        <w:rPr>
          <w:rStyle w:val="7"/>
          <w:rFonts w:hint="default" w:ascii="sans-serif" w:hAnsi="sans-serif" w:eastAsia="sans-serif" w:cs="sans-serif"/>
          <w:b w:val="0"/>
          <w:bCs w:val="0"/>
          <w:i w:val="0"/>
          <w:iCs w:val="0"/>
          <w:color w:val="FFFFFF"/>
          <w:sz w:val="14"/>
          <w:szCs w:val="14"/>
        </w:rPr>
      </w:pPr>
      <w:r>
        <w:rPr>
          <w:rStyle w:val="7"/>
          <w:rFonts w:hint="default" w:ascii="sans-serif" w:hAnsi="sans-serif" w:eastAsia="sans-serif" w:cs="sans-serif"/>
          <w:b w:val="0"/>
          <w:bCs w:val="0"/>
          <w:i w:val="0"/>
          <w:iCs w:val="0"/>
          <w:color w:val="FFFFFF"/>
          <w:sz w:val="14"/>
          <w:szCs w:val="14"/>
        </w:rPr>
        <w:t>│              STAGE 4: Localization &amp; Human Routing                 │</w:t>
      </w:r>
    </w:p>
    <w:p w14:paraId="22F286E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160" w:right="-160"/>
        <w:rPr>
          <w:rStyle w:val="7"/>
          <w:rFonts w:hint="default" w:ascii="sans-serif" w:hAnsi="sans-serif" w:eastAsia="sans-serif" w:cs="sans-serif"/>
          <w:b w:val="0"/>
          <w:bCs w:val="0"/>
          <w:i w:val="0"/>
          <w:iCs w:val="0"/>
          <w:color w:val="FFFFFF"/>
          <w:sz w:val="14"/>
          <w:szCs w:val="14"/>
        </w:rPr>
      </w:pPr>
      <w:r>
        <w:rPr>
          <w:rStyle w:val="7"/>
          <w:rFonts w:hint="default" w:ascii="sans-serif" w:hAnsi="sans-serif" w:eastAsia="sans-serif" w:cs="sans-serif"/>
          <w:b w:val="0"/>
          <w:bCs w:val="0"/>
          <w:i w:val="0"/>
          <w:iCs w:val="0"/>
          <w:color w:val="FFFFFF"/>
          <w:sz w:val="14"/>
          <w:szCs w:val="14"/>
        </w:rPr>
        <w:t>│  • Translation: Translates advice into Shona, Ndebele, etc.        │</w:t>
      </w:r>
    </w:p>
    <w:p w14:paraId="682866F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160" w:right="-160"/>
        <w:rPr>
          <w:rStyle w:val="7"/>
          <w:rFonts w:hint="default" w:ascii="sans-serif" w:hAnsi="sans-serif" w:eastAsia="sans-serif" w:cs="sans-serif"/>
          <w:b w:val="0"/>
          <w:bCs w:val="0"/>
          <w:i w:val="0"/>
          <w:iCs w:val="0"/>
          <w:color w:val="FFFFFF"/>
          <w:sz w:val="14"/>
          <w:szCs w:val="14"/>
        </w:rPr>
      </w:pPr>
      <w:r>
        <w:rPr>
          <w:rStyle w:val="7"/>
          <w:rFonts w:hint="default" w:ascii="sans-serif" w:hAnsi="sans-serif" w:eastAsia="sans-serif" w:cs="sans-serif"/>
          <w:b w:val="0"/>
          <w:bCs w:val="0"/>
          <w:i w:val="0"/>
          <w:iCs w:val="0"/>
          <w:color w:val="FFFFFF"/>
          <w:sz w:val="14"/>
          <w:szCs w:val="14"/>
        </w:rPr>
        <w:t>│  • Low-Confidence Fallback: Routes low-certainty cases to AGRITEX  │</w:t>
      </w:r>
    </w:p>
    <w:p w14:paraId="0BDB74A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160" w:right="-160"/>
        <w:rPr>
          <w:rStyle w:val="7"/>
          <w:rFonts w:hint="default" w:ascii="sans-serif" w:hAnsi="sans-serif" w:eastAsia="sans-serif" w:cs="sans-serif"/>
          <w:b w:val="0"/>
          <w:bCs w:val="0"/>
          <w:i w:val="0"/>
          <w:iCs w:val="0"/>
          <w:color w:val="FFFFFF"/>
          <w:sz w:val="14"/>
          <w:szCs w:val="14"/>
        </w:rPr>
      </w:pPr>
      <w:r>
        <w:rPr>
          <w:rStyle w:val="7"/>
          <w:rFonts w:hint="default" w:ascii="sans-serif" w:hAnsi="sans-serif" w:eastAsia="sans-serif" w:cs="sans-serif"/>
          <w:b w:val="0"/>
          <w:bCs w:val="0"/>
          <w:i w:val="0"/>
          <w:iCs w:val="0"/>
          <w:color w:val="FFFFFF"/>
          <w:sz w:val="14"/>
          <w:szCs w:val="14"/>
        </w:rPr>
        <w:t>│  • Final Delivery: Sends clear voice/text guidance via WhatsApp/SMS│</w:t>
      </w:r>
    </w:p>
    <w:p w14:paraId="1347322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160" w:right="-160"/>
        <w:rPr>
          <w:rFonts w:hint="default" w:ascii="sans-serif" w:hAnsi="sans-serif" w:eastAsia="sans-serif" w:cs="sans-serif"/>
          <w:color w:val="1F1F1F"/>
        </w:rPr>
      </w:pPr>
      <w:r>
        <w:rPr>
          <w:rStyle w:val="7"/>
          <w:rFonts w:hint="default" w:ascii="sans-serif" w:hAnsi="sans-serif" w:eastAsia="sans-serif" w:cs="sans-serif"/>
          <w:b w:val="0"/>
          <w:bCs w:val="0"/>
          <w:i w:val="0"/>
          <w:iCs w:val="0"/>
          <w:color w:val="FFFFFF"/>
          <w:sz w:val="14"/>
          <w:szCs w:val="14"/>
        </w:rPr>
        <w:t>└─────────────────────────────┬──────────────────────────────────────┘</w:t>
      </w:r>
    </w:p>
    <w:p w14:paraId="1ABBDE0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rPr>
        <w:t>System Components</w:t>
      </w:r>
    </w:p>
    <w:tbl>
      <w:tblPr>
        <w:tblStyle w:val="6"/>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46"/>
        <w:gridCol w:w="1936"/>
        <w:gridCol w:w="4934"/>
      </w:tblGrid>
      <w:tr w14:paraId="20526C4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493EC98">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9"/>
                <w:rFonts w:hint="default" w:ascii="sans-serif" w:hAnsi="sans-serif" w:eastAsia="sans-serif" w:cs="sans-serif"/>
                <w:color w:val="1F1F1F"/>
                <w:kern w:val="0"/>
                <w:sz w:val="24"/>
                <w:szCs w:val="24"/>
                <w:lang w:val="en-US" w:eastAsia="zh-CN" w:bidi="ar"/>
              </w:rPr>
              <w:t>Stage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50C2018">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9"/>
                <w:rFonts w:hint="default" w:ascii="sans-serif" w:hAnsi="sans-serif" w:eastAsia="sans-serif" w:cs="sans-serif"/>
                <w:color w:val="1F1F1F"/>
                <w:kern w:val="0"/>
                <w:sz w:val="24"/>
                <w:szCs w:val="24"/>
                <w:lang w:val="en-US" w:eastAsia="zh-CN" w:bidi="ar"/>
              </w:rPr>
              <w:t>Subsystem</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D4F3D86">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9"/>
                <w:rFonts w:hint="default" w:ascii="sans-serif" w:hAnsi="sans-serif" w:eastAsia="sans-serif" w:cs="sans-serif"/>
                <w:color w:val="1F1F1F"/>
                <w:kern w:val="0"/>
                <w:sz w:val="24"/>
                <w:szCs w:val="24"/>
                <w:lang w:val="en-US" w:eastAsia="zh-CN" w:bidi="ar"/>
              </w:rPr>
              <w:t>Functional Role</w:t>
            </w:r>
          </w:p>
        </w:tc>
      </w:tr>
      <w:tr w14:paraId="48D98EF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1690746">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1. Input Processing</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68754AA">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Multimodal Translators</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B581149">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Converts audio files to text, extracts visual symptom tags from photos using a vision model fine-tuned on local crops (e.g., maize, sorghum, tobacco, groundnuts), and translates text into English.</w:t>
            </w:r>
          </w:p>
        </w:tc>
      </w:tr>
      <w:tr w14:paraId="6389697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2397C32">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2. Retrieval</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B4505E2">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Vector Knowledge Base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64C13A3">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Matches user queries against indexed AGRITEX manuals, DR&amp;SS pest lifecycle data, and Zimbabwean IPM guidelines via semantic search.</w:t>
            </w:r>
          </w:p>
        </w:tc>
      </w:tr>
      <w:tr w14:paraId="0EDC98B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4DE520D">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3. Generation</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5037D7B">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Context-Constrained LLM</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1D3E9E1">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Generates structured diagnostic advice based strictly on retrieved local research chunks to prevent hallucinated recommendations.</w:t>
            </w:r>
          </w:p>
        </w:tc>
      </w:tr>
      <w:tr w14:paraId="4319A71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C4E072B">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4. Post-Processing</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C2A09D3">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Risk Engine &amp; Fallback</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31E779A">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Assesses output confidence. If confidence drops below established thresholds ($&lt;70\%$), the system routes the query directly to the user's ward-level AGRITEX extension officer.</w:t>
            </w:r>
          </w:p>
        </w:tc>
      </w:tr>
    </w:tbl>
    <w:p w14:paraId="10CF689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rPr>
        <w:t>3. Evaluation Plan</w:t>
      </w:r>
    </w:p>
    <w:p w14:paraId="662643FD">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System reliability is evaluated using both automated benchmarks and expert field reviews.</w:t>
      </w:r>
    </w:p>
    <w:p w14:paraId="07D5F5F2">
      <w:pPr>
        <w:keepNext w:val="0"/>
        <w:keepLines w:val="0"/>
        <w:widowControl/>
        <w:suppressLineNumbers w:val="0"/>
        <w:spacing w:before="0" w:beforeAutospacing="0" w:after="0" w:afterAutospacing="0"/>
        <w:ind w:left="0" w:right="0"/>
        <w:jc w:val="left"/>
      </w:pPr>
    </w:p>
    <w:p w14:paraId="6AE49820">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rPr>
        <w:t>Evaluation Metrics</w:t>
      </w:r>
    </w:p>
    <w:tbl>
      <w:tblPr>
        <w:tblStyle w:val="6"/>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829"/>
        <w:gridCol w:w="2865"/>
        <w:gridCol w:w="3922"/>
      </w:tblGrid>
      <w:tr w14:paraId="16768EB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FFED391">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9"/>
                <w:rFonts w:hint="default" w:ascii="sans-serif" w:hAnsi="sans-serif" w:eastAsia="sans-serif" w:cs="sans-serif"/>
                <w:color w:val="1F1F1F"/>
                <w:kern w:val="0"/>
                <w:sz w:val="24"/>
                <w:szCs w:val="24"/>
                <w:lang w:val="en-US" w:eastAsia="zh-CN" w:bidi="ar"/>
              </w:rPr>
              <w:t>Metric</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603BE0D">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9"/>
                <w:rFonts w:hint="default" w:ascii="sans-serif" w:hAnsi="sans-serif" w:eastAsia="sans-serif" w:cs="sans-serif"/>
                <w:color w:val="1F1F1F"/>
                <w:kern w:val="0"/>
                <w:sz w:val="24"/>
                <w:szCs w:val="24"/>
                <w:lang w:val="en-US" w:eastAsia="zh-CN" w:bidi="ar"/>
              </w:rPr>
              <w:t>Target</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68ABFF8">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9"/>
                <w:rFonts w:hint="default" w:ascii="sans-serif" w:hAnsi="sans-serif" w:eastAsia="sans-serif" w:cs="sans-serif"/>
                <w:color w:val="1F1F1F"/>
                <w:kern w:val="0"/>
                <w:sz w:val="24"/>
                <w:szCs w:val="24"/>
                <w:lang w:val="en-US" w:eastAsia="zh-CN" w:bidi="ar"/>
              </w:rPr>
              <w:t>Measurement Method</w:t>
            </w:r>
          </w:p>
        </w:tc>
      </w:tr>
      <w:tr w14:paraId="2008DC6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66470F8">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Diagnostic Accuracy</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19D6053">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Top-1 $&gt; 60\%$, Top-3 $&gt; 85\%$</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2436529">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Benchmarked against a gold-standard dataset of 2,000 verified AGRITEX field cases across all 10 provinces.</w:t>
            </w:r>
          </w:p>
        </w:tc>
      </w:tr>
      <w:tr w14:paraId="4096F9B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EB6884D">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Expert Agreement</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4CEA04B">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Mean Score $\ge 4.0 / 5.0$</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101FD03">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Blinded panel reviews by DR&amp;SS plant pathologists and entomologists assessing clinical safety and correctness.</w:t>
            </w:r>
          </w:p>
        </w:tc>
      </w:tr>
      <w:tr w14:paraId="0006B77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42C3273">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Source Faithfulness</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9CD5D37">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Zero Unsupported Claims</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551FCD4">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Natural Language Inference (NLI) audits ensuring all output advice traces directly back to AGRITEX/DR&amp;SS literature.</w:t>
            </w:r>
          </w:p>
        </w:tc>
      </w:tr>
      <w:tr w14:paraId="27BD3E9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B1E5EFC">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User Satisfaction</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8C432B4">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Net Promoter Score $&gt; 50$</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B00A2DC">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Field surveys conducted during pilot testing with communal farmers and ward extension officers.</w:t>
            </w:r>
          </w:p>
        </w:tc>
      </w:tr>
      <w:tr w14:paraId="3FEE7A7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5CA5061">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System Latency</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7ACF201">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$&lt; 3.0\text{ seconds}$</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089F260">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End-to-end response time measured from WhatsApp/SMS query submission to advisory output.</w:t>
            </w:r>
          </w:p>
        </w:tc>
      </w:tr>
    </w:tbl>
    <w:p w14:paraId="7DE1B4E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rPr>
        <w:t>4. Operational Risk &amp; Ethical Guardrails</w:t>
      </w:r>
    </w:p>
    <w:p w14:paraId="5C0056B3">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6D0E035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Data Privacy:</w:t>
      </w:r>
      <w:r>
        <w:rPr>
          <w:rFonts w:hint="default" w:ascii="sans-serif" w:hAnsi="sans-serif" w:eastAsia="sans-serif" w:cs="sans-serif"/>
          <w:color w:val="1F1F1F"/>
          <w:kern w:val="0"/>
          <w:sz w:val="24"/>
          <w:szCs w:val="24"/>
          <w:lang w:val="en-US" w:eastAsia="zh-CN" w:bidi="ar"/>
        </w:rPr>
        <w:t xml:space="preserve"> Personally identifiable information is scrubbed before system processing. Location data is rounded to the district or ward level to protect farmer privacy while preserving agro-ecological region accuracy.</w:t>
      </w:r>
    </w:p>
    <w:p w14:paraId="18239A1D">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0F930832">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5D38C918">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Language &amp; Dialect Bias:</w:t>
      </w:r>
      <w:r>
        <w:rPr>
          <w:rFonts w:hint="default" w:ascii="sans-serif" w:hAnsi="sans-serif" w:eastAsia="sans-serif" w:cs="sans-serif"/>
          <w:color w:val="1F1F1F"/>
          <w:kern w:val="0"/>
          <w:sz w:val="24"/>
          <w:szCs w:val="24"/>
          <w:lang w:val="en-US" w:eastAsia="zh-CN" w:bidi="ar"/>
        </w:rPr>
        <w:t xml:space="preserve"> Training datasets are balanced across major local languages (ChiShona and isiNdebele) as well as regional dialects (e.g., Ndau, Kalanga) to prevent performance disparities in remote rural districts.</w:t>
      </w:r>
    </w:p>
    <w:p w14:paraId="07427357">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501FA851">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267D7535">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kern w:val="0"/>
          <w:sz w:val="24"/>
          <w:szCs w:val="24"/>
          <w:lang w:val="en-US" w:eastAsia="zh-CN" w:bidi="ar"/>
        </w:rPr>
      </w:pPr>
      <w:r>
        <w:rPr>
          <w:rFonts w:hint="default" w:ascii="sans-serif" w:hAnsi="sans-serif" w:eastAsia="sans-serif" w:cs="sans-serif"/>
          <w:b/>
          <w:bCs/>
          <w:color w:val="1F1F1F"/>
          <w:kern w:val="0"/>
          <w:sz w:val="24"/>
          <w:szCs w:val="24"/>
          <w:lang w:val="en-US" w:eastAsia="zh-CN" w:bidi="ar"/>
        </w:rPr>
        <w:t>Chemical Safety &amp; Registration:</w:t>
      </w:r>
      <w:r>
        <w:rPr>
          <w:rFonts w:hint="default" w:ascii="sans-serif" w:hAnsi="sans-serif" w:eastAsia="sans-serif" w:cs="sans-serif"/>
          <w:color w:val="1F1F1F"/>
          <w:kern w:val="0"/>
          <w:sz w:val="24"/>
          <w:szCs w:val="24"/>
          <w:lang w:val="en-US" w:eastAsia="zh-CN" w:bidi="ar"/>
        </w:rPr>
        <w:t xml:space="preserve"> Chemical interventions are limited strictly to pesticides registered and approved by Zimbabwe's Pesticide Registrations Office under the Diseases of Plants Act. </w:t>
      </w:r>
    </w:p>
    <w:p w14:paraId="3D8BE355">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Synthetic recommendations are paired with biological/cultural options and mandatory pre-harvest safety intervals (PHI).</w:t>
      </w:r>
    </w:p>
    <w:p w14:paraId="1CD296A8">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3C60B9BD">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22149DE0">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Escalation for Outbreak Threats:</w:t>
      </w:r>
      <w:r>
        <w:rPr>
          <w:rFonts w:hint="default" w:ascii="sans-serif" w:hAnsi="sans-serif" w:eastAsia="sans-serif" w:cs="sans-serif"/>
          <w:color w:val="1F1F1F"/>
          <w:kern w:val="0"/>
          <w:sz w:val="24"/>
          <w:szCs w:val="24"/>
          <w:lang w:val="en-US" w:eastAsia="zh-CN" w:bidi="ar"/>
        </w:rPr>
        <w:t xml:space="preserve"> Low-confidence predictions or detections of severe invasive threats (e.g., Locust swarms, Fall Armyworm outbreaks) automatically flag the query for manual review by AGRITEX provincial supervisors.</w:t>
      </w:r>
    </w:p>
    <w:p w14:paraId="7A805FE3">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436E6E1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rPr>
        <w:t>5. Deployment Framework</w:t>
      </w:r>
    </w:p>
    <w:p w14:paraId="5A9D5B5C">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Recommendation: Phased Deployment as an Assistive System</w:t>
      </w:r>
    </w:p>
    <w:p w14:paraId="49CD2FBE">
      <w:pPr>
        <w:keepNext w:val="0"/>
        <w:keepLines w:val="0"/>
        <w:widowControl/>
        <w:suppressLineNumbers w:val="0"/>
        <w:spacing w:before="0" w:beforeAutospacing="0" w:after="0" w:afterAutospacing="0"/>
        <w:ind w:left="0" w:right="0"/>
        <w:jc w:val="left"/>
      </w:pPr>
    </w:p>
    <w:p w14:paraId="179CD89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160" w:right="-160"/>
        <w:rPr>
          <w:rStyle w:val="7"/>
          <w:rFonts w:hint="default" w:ascii="sans-serif" w:hAnsi="sans-serif" w:eastAsia="sans-serif" w:cs="sans-serif"/>
          <w:b w:val="0"/>
          <w:bCs w:val="0"/>
          <w:i w:val="0"/>
          <w:iCs w:val="0"/>
          <w:color w:val="FFFFFF"/>
          <w:sz w:val="14"/>
          <w:szCs w:val="14"/>
        </w:rPr>
      </w:pPr>
      <w:r>
        <w:rPr>
          <w:rStyle w:val="7"/>
          <w:rFonts w:hint="default" w:ascii="sans-serif" w:hAnsi="sans-serif" w:eastAsia="sans-serif" w:cs="sans-serif"/>
          <w:b w:val="0"/>
          <w:bCs w:val="0"/>
          <w:i w:val="0"/>
          <w:iCs w:val="0"/>
          <w:color w:val="FFFFFF"/>
          <w:sz w:val="14"/>
          <w:szCs w:val="14"/>
        </w:rPr>
        <w:t xml:space="preserve">       DEPLOYMENT STAGING &amp; SAFEGUARDS</w:t>
      </w:r>
    </w:p>
    <w:p w14:paraId="63EA761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160" w:right="-160"/>
        <w:rPr>
          <w:rStyle w:val="7"/>
          <w:rFonts w:hint="default" w:ascii="sans-serif" w:hAnsi="sans-serif" w:eastAsia="sans-serif" w:cs="sans-serif"/>
          <w:b w:val="0"/>
          <w:bCs w:val="0"/>
          <w:i w:val="0"/>
          <w:iCs w:val="0"/>
          <w:color w:val="FFFFFF"/>
          <w:sz w:val="14"/>
          <w:szCs w:val="14"/>
        </w:rPr>
      </w:pPr>
      <w:r>
        <w:rPr>
          <w:rStyle w:val="7"/>
          <w:rFonts w:hint="default" w:ascii="sans-serif" w:hAnsi="sans-serif" w:eastAsia="sans-serif" w:cs="sans-serif"/>
          <w:b w:val="0"/>
          <w:bCs w:val="0"/>
          <w:i w:val="0"/>
          <w:iCs w:val="0"/>
          <w:color w:val="FFFFFF"/>
          <w:sz w:val="14"/>
          <w:szCs w:val="14"/>
        </w:rPr>
        <w:t xml:space="preserve">       </w:t>
      </w:r>
    </w:p>
    <w:p w14:paraId="41978D4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160" w:right="-160"/>
        <w:rPr>
          <w:rStyle w:val="7"/>
          <w:rFonts w:hint="default" w:ascii="sans-serif" w:hAnsi="sans-serif" w:eastAsia="sans-serif" w:cs="sans-serif"/>
          <w:b w:val="0"/>
          <w:bCs w:val="0"/>
          <w:i w:val="0"/>
          <w:iCs w:val="0"/>
          <w:color w:val="FFFFFF"/>
          <w:sz w:val="14"/>
          <w:szCs w:val="14"/>
        </w:rPr>
      </w:pPr>
      <w:r>
        <w:rPr>
          <w:rStyle w:val="7"/>
          <w:rFonts w:hint="default" w:ascii="sans-serif" w:hAnsi="sans-serif" w:eastAsia="sans-serif" w:cs="sans-serif"/>
          <w:b w:val="0"/>
          <w:bCs w:val="0"/>
          <w:i w:val="0"/>
          <w:iCs w:val="0"/>
          <w:color w:val="FFFFFF"/>
          <w:sz w:val="14"/>
          <w:szCs w:val="14"/>
        </w:rPr>
        <w:t xml:space="preserve">  [6-12 Month Provincial Pilot]  Run pilot programs across 3 distinct agro-ecological</w:t>
      </w:r>
    </w:p>
    <w:p w14:paraId="02FED36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160" w:right="-160"/>
        <w:rPr>
          <w:rStyle w:val="7"/>
          <w:rFonts w:hint="default" w:ascii="sans-serif" w:hAnsi="sans-serif" w:eastAsia="sans-serif" w:cs="sans-serif"/>
          <w:b w:val="0"/>
          <w:bCs w:val="0"/>
          <w:i w:val="0"/>
          <w:iCs w:val="0"/>
          <w:color w:val="FFFFFF"/>
          <w:sz w:val="14"/>
          <w:szCs w:val="14"/>
        </w:rPr>
      </w:pPr>
      <w:r>
        <w:rPr>
          <w:rStyle w:val="7"/>
          <w:rFonts w:hint="default" w:ascii="sans-serif" w:hAnsi="sans-serif" w:eastAsia="sans-serif" w:cs="sans-serif"/>
          <w:b w:val="0"/>
          <w:bCs w:val="0"/>
          <w:i w:val="0"/>
          <w:iCs w:val="0"/>
          <w:color w:val="FFFFFF"/>
          <w:sz w:val="14"/>
          <w:szCs w:val="14"/>
        </w:rPr>
        <w:t xml:space="preserve">                                zones (e.g., Regions II, IV, and V) alongside AGRITEX.</w:t>
      </w:r>
    </w:p>
    <w:p w14:paraId="5FCA815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160" w:right="-160"/>
        <w:rPr>
          <w:rStyle w:val="7"/>
          <w:rFonts w:hint="default" w:ascii="sans-serif" w:hAnsi="sans-serif" w:eastAsia="sans-serif" w:cs="sans-serif"/>
          <w:b w:val="0"/>
          <w:bCs w:val="0"/>
          <w:i w:val="0"/>
          <w:iCs w:val="0"/>
          <w:color w:val="FFFFFF"/>
          <w:sz w:val="14"/>
          <w:szCs w:val="14"/>
        </w:rPr>
      </w:pPr>
      <w:r>
        <w:rPr>
          <w:rStyle w:val="7"/>
          <w:rFonts w:hint="default" w:ascii="sans-serif" w:hAnsi="sans-serif" w:eastAsia="sans-serif" w:cs="sans-serif"/>
          <w:b w:val="0"/>
          <w:bCs w:val="0"/>
          <w:i w:val="0"/>
          <w:iCs w:val="0"/>
          <w:color w:val="FFFFFF"/>
          <w:sz w:val="14"/>
          <w:szCs w:val="14"/>
        </w:rPr>
        <w:t xml:space="preserve">  [Decision Support Framing]   Present outputs as advisory recommendations</w:t>
      </w:r>
    </w:p>
    <w:p w14:paraId="5F145B2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160" w:right="-160"/>
        <w:rPr>
          <w:rStyle w:val="7"/>
          <w:rFonts w:hint="default" w:ascii="sans-serif" w:hAnsi="sans-serif" w:eastAsia="sans-serif" w:cs="sans-serif"/>
          <w:b w:val="0"/>
          <w:bCs w:val="0"/>
          <w:i w:val="0"/>
          <w:iCs w:val="0"/>
          <w:color w:val="FFFFFF"/>
          <w:sz w:val="14"/>
          <w:szCs w:val="14"/>
        </w:rPr>
      </w:pPr>
      <w:r>
        <w:rPr>
          <w:rStyle w:val="7"/>
          <w:rFonts w:hint="default" w:ascii="sans-serif" w:hAnsi="sans-serif" w:eastAsia="sans-serif" w:cs="sans-serif"/>
          <w:b w:val="0"/>
          <w:bCs w:val="0"/>
          <w:i w:val="0"/>
          <w:iCs w:val="0"/>
          <w:color w:val="FFFFFF"/>
          <w:sz w:val="14"/>
          <w:szCs w:val="14"/>
        </w:rPr>
        <w:t xml:space="preserve">                               complete with visible confidence scores via WhatsApp/SMS.</w:t>
      </w:r>
    </w:p>
    <w:p w14:paraId="65FCDEA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160" w:right="-160"/>
        <w:rPr>
          <w:rStyle w:val="7"/>
          <w:rFonts w:hint="default" w:ascii="sans-serif" w:hAnsi="sans-serif" w:eastAsia="sans-serif" w:cs="sans-serif"/>
          <w:b w:val="0"/>
          <w:bCs w:val="0"/>
          <w:i w:val="0"/>
          <w:iCs w:val="0"/>
          <w:color w:val="FFFFFF"/>
          <w:sz w:val="14"/>
          <w:szCs w:val="14"/>
        </w:rPr>
      </w:pPr>
      <w:r>
        <w:rPr>
          <w:rStyle w:val="7"/>
          <w:rFonts w:hint="default" w:ascii="sans-serif" w:hAnsi="sans-serif" w:eastAsia="sans-serif" w:cs="sans-serif"/>
          <w:b w:val="0"/>
          <w:bCs w:val="0"/>
          <w:i w:val="0"/>
          <w:iCs w:val="0"/>
          <w:color w:val="FFFFFF"/>
          <w:sz w:val="14"/>
          <w:szCs w:val="14"/>
        </w:rPr>
        <w:t xml:space="preserve">  [Direct Extension Escalation] Include direct SMS/call contact links for local ward</w:t>
      </w:r>
    </w:p>
    <w:p w14:paraId="5AFDC53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160" w:right="-160"/>
        <w:rPr>
          <w:rStyle w:val="7"/>
          <w:rFonts w:hint="default" w:ascii="sans-serif" w:hAnsi="sans-serif" w:eastAsia="sans-serif" w:cs="sans-serif"/>
          <w:b w:val="0"/>
          <w:bCs w:val="0"/>
          <w:i w:val="0"/>
          <w:iCs w:val="0"/>
          <w:color w:val="FFFFFF"/>
          <w:sz w:val="14"/>
          <w:szCs w:val="14"/>
        </w:rPr>
      </w:pPr>
      <w:r>
        <w:rPr>
          <w:rStyle w:val="7"/>
          <w:rFonts w:hint="default" w:ascii="sans-serif" w:hAnsi="sans-serif" w:eastAsia="sans-serif" w:cs="sans-serif"/>
          <w:b w:val="0"/>
          <w:bCs w:val="0"/>
          <w:i w:val="0"/>
          <w:iCs w:val="0"/>
          <w:color w:val="FFFFFF"/>
          <w:sz w:val="14"/>
          <w:szCs w:val="14"/>
        </w:rPr>
        <w:t xml:space="preserve">                               extension officers for ambiguous or high-risk cases.</w:t>
      </w:r>
    </w:p>
    <w:p w14:paraId="5F1B4E4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160" w:right="-160"/>
        <w:rPr>
          <w:rStyle w:val="7"/>
          <w:rFonts w:hint="default" w:ascii="sans-serif" w:hAnsi="sans-serif" w:eastAsia="sans-serif" w:cs="sans-serif"/>
          <w:b w:val="0"/>
          <w:bCs w:val="0"/>
          <w:i w:val="0"/>
          <w:iCs w:val="0"/>
          <w:color w:val="FFFFFF"/>
          <w:sz w:val="14"/>
          <w:szCs w:val="14"/>
        </w:rPr>
      </w:pPr>
      <w:r>
        <w:rPr>
          <w:rStyle w:val="7"/>
          <w:rFonts w:hint="default" w:ascii="sans-serif" w:hAnsi="sans-serif" w:eastAsia="sans-serif" w:cs="sans-serif"/>
          <w:b w:val="0"/>
          <w:bCs w:val="0"/>
          <w:i w:val="0"/>
          <w:iCs w:val="0"/>
          <w:color w:val="FFFFFF"/>
          <w:sz w:val="14"/>
          <w:szCs w:val="14"/>
        </w:rPr>
        <w:t xml:space="preserve">  [Continuous Feedback Loop]   Feed extension officer overrides back into the system to</w:t>
      </w:r>
    </w:p>
    <w:p w14:paraId="6D16D07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160" w:right="-160"/>
        <w:rPr>
          <w:rFonts w:hint="default" w:ascii="sans-serif" w:hAnsi="sans-serif" w:eastAsia="sans-serif" w:cs="sans-serif"/>
          <w:color w:val="1F1F1F"/>
        </w:rPr>
      </w:pPr>
      <w:r>
        <w:rPr>
          <w:rStyle w:val="7"/>
          <w:rFonts w:hint="default" w:ascii="sans-serif" w:hAnsi="sans-serif" w:eastAsia="sans-serif" w:cs="sans-serif"/>
          <w:b w:val="0"/>
          <w:bCs w:val="0"/>
          <w:i w:val="0"/>
          <w:iCs w:val="0"/>
          <w:color w:val="FFFFFF"/>
          <w:sz w:val="14"/>
          <w:szCs w:val="14"/>
        </w:rPr>
        <w:t xml:space="preserve">                               refine local retrieval accuracy over time.</w:t>
      </w:r>
    </w:p>
    <w:p w14:paraId="182E725E">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lang w:val="en-US" w:eastAsia="zh-CN" w:bidi="ar"/>
        </w:rPr>
        <w:t xml:space="preserve">By deploying </w:t>
      </w:r>
      <w:r>
        <w:rPr>
          <w:rFonts w:hint="default" w:ascii="sans-serif" w:hAnsi="sans-serif" w:eastAsia="sans-serif" w:cs="sans-serif"/>
          <w:b/>
          <w:bCs/>
          <w:color w:val="1F1F1F"/>
          <w:kern w:val="0"/>
          <w:sz w:val="24"/>
          <w:szCs w:val="24"/>
          <w:lang w:val="en-US" w:eastAsia="zh-CN" w:bidi="ar"/>
        </w:rPr>
        <w:t>Hurudza Nzwisiso</w:t>
      </w:r>
      <w:r>
        <w:rPr>
          <w:rFonts w:hint="default" w:ascii="sans-serif" w:hAnsi="sans-serif" w:eastAsia="sans-serif" w:cs="sans-serif"/>
          <w:color w:val="1F1F1F"/>
          <w:kern w:val="0"/>
          <w:sz w:val="24"/>
          <w:szCs w:val="24"/>
          <w:lang w:val="en-US" w:eastAsia="zh-CN" w:bidi="ar"/>
        </w:rPr>
        <w:t xml:space="preserve"> with structured human oversight, the system provides accessible, research-backed guidance to Zimbabwean agricultural communities while maintaining operational and environmental safety.</w:t>
      </w:r>
    </w:p>
    <w:p w14:paraId="2BF6AC03"/>
    <w:p w14:paraId="0CC44159"/>
    <w:p w14:paraId="6D0314DA"/>
    <w:p w14:paraId="22DC4235">
      <w:r>
        <w:rPr>
          <w:rFonts w:hint="default"/>
        </w:rPr>
        <w:t>uvicorn app:app --reload --port 8000</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19BBD4A"/>
    <w:multiLevelType w:val="multilevel"/>
    <w:tmpl w:val="F19BBD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5C701521"/>
    <w:multiLevelType w:val="multilevel"/>
    <w:tmpl w:val="5C70152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66F3ED95"/>
    <w:multiLevelType w:val="multilevel"/>
    <w:tmpl w:val="66F3ED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DA3C07"/>
    <w:rsid w:val="0CDA3C07"/>
    <w:rsid w:val="28F538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2026-09-09T11:41:00Z</dcterms:created>
  <dc:creator>Mambo-Linco</dc:creator>
  <cp:lastModifiedBy>Mambo-Linco</cp:lastModifiedBy>
  <dcterms:modified xsi:type="dcterms:W3CDTF">2026-09-14T10:01:13Z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5F605E55C2A249D78F8266BBBE183053_11</vt:lpwstr>
  </property>
</Properties>
</file>