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2"/>
          <w:szCs w:val="22"/>
        </w:rPr>
        <w:t xml:space="preserve">MA2F AquaSachet</w:t>
      </w:r>
    </w:p>
    <w:p>
      <w:pPr>
        <w:spacing w:after="100"/>
      </w:pPr>
      <w:r>
        <w:rPr>
          <w:b/>
          <w:bCs/>
          <w:sz w:val="40"/>
          <w:szCs w:val="40"/>
        </w:rPr>
        <w:t xml:space="preserve">Étude du module Dépenses &amp; propositions de gestion</w:t>
      </w:r>
    </w:p>
    <w:p>
      <w:pPr>
        <w:spacing w:after="400"/>
      </w:pPr>
      <w:r>
        <w:rPr>
          <w:i/>
          <w:iCs/>
          <w:color w:val="555555"/>
          <w:sz w:val="20"/>
          <w:szCs w:val="20"/>
        </w:rPr>
        <w:t xml:space="preserve">Dakar, Sénégal — 8 août 2026</w:t>
      </w:r>
    </w:p>
    <w:p>
      <w:pPr>
        <w:pStyle w:val="Heading1"/>
        <w:spacing w:after="200" w:before="400"/>
      </w:pPr>
      <w:r>
        <w:t xml:space="preserve">1. Contexte et périmètre</w:t>
      </w:r>
    </w:p>
    <w:p>
      <w:pPr>
        <w:spacing w:after="150"/>
      </w:pPr>
      <w:r>
        <w:t xml:space="preserve">Cette étude porte sur le module « Dépenses » de l'application MA2F AquaSachet, utilisée pour la gestion commerciale d'une PME de production/vente de sachets d'eau à Dakar. Aucun jeu de données de production (montants réels dépensés) n'est disponible dans le dépôt de code analysé — les données vivent uniquement sur Firestore en production et n'ont pas été exportées pour cette étude. L'analyse porte donc sur la structure, les fonctionnalités et les limites du système de suivi des dépenses tel qu'implémenté dans le code, ainsi que sur des recommandations concrètes pour en améliorer la gestion.</w:t>
      </w:r>
    </w:p>
    <w:p>
      <w:pPr>
        <w:spacing w:after="150"/>
      </w:pPr>
      <w:r>
        <w:t xml:space="preserve">Pour obtenir une étude chiffrée (répartition réelle par catégorie, évolution mensuelle, postes les plus coûteux), il faudrait exporter les données Firestore de la collection dépenses — voir la section 5 pour une proposition en ce sens.</w:t>
      </w:r>
    </w:p>
    <w:p>
      <w:pPr>
        <w:pStyle w:val="Heading1"/>
        <w:spacing w:after="200" w:before="400"/>
      </w:pPr>
      <w:r>
        <w:t xml:space="preserve">2. État des lieux du module actuel</w:t>
      </w:r>
    </w:p>
    <w:p>
      <w:pPr>
        <w:pStyle w:val="Heading2"/>
        <w:spacing w:after="150" w:before="300"/>
      </w:pPr>
      <w:r>
        <w:t xml:space="preserve">2.1 Modèle de données</w:t>
      </w:r>
    </w:p>
    <w:p>
      <w:pPr>
        <w:spacing w:after="150"/>
      </w:pPr>
      <w:r>
        <w:t xml:space="preserve">Chaque dépense est enregistrée avec les champs suivants (interface Depense, client/src/lib/types.ts)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1F4E79" w:val="clear"/>
            <w:tcMar>
              <w:top w:type="dxa" w:w="80"/>
              <w:left w:type="dxa" w:w="100"/>
              <w:bottom w:type="dxa" w:w="80"/>
              <w:right w:type="dxa" w:w="100"/>
            </w:tcMar>
          </w:tcPr>
          <w:p>
            <w:pPr>
              <w:jc w:val="center"/>
            </w:pPr>
            <w:r>
              <w:rPr>
                <w:b/>
                <w:bCs/>
              </w:rPr>
              <w:t xml:space="preserve">Champ</w:t>
            </w:r>
          </w:p>
        </w:tc>
        <w:tc>
          <w:tcPr>
            <w:tcW w:type="dxa" w:w="3200"/>
            <w:shd w:fill="1F4E79" w:val="clear"/>
            <w:tcMar>
              <w:top w:type="dxa" w:w="80"/>
              <w:left w:type="dxa" w:w="100"/>
              <w:bottom w:type="dxa" w:w="80"/>
              <w:right w:type="dxa" w:w="100"/>
            </w:tcMar>
          </w:tcPr>
          <w:p>
            <w:pPr>
              <w:jc w:val="center"/>
            </w:pPr>
            <w:r>
              <w:rPr>
                <w:b/>
                <w:bCs/>
              </w:rPr>
              <w:t xml:space="preserve">Type</w:t>
            </w:r>
          </w:p>
        </w:tc>
        <w:tc>
          <w:tcPr>
            <w:tcW w:type="dxa" w:w="3100"/>
            <w:shd w:fill="1F4E79" w:val="clear"/>
            <w:tcMar>
              <w:top w:type="dxa" w:w="80"/>
              <w:left w:type="dxa" w:w="100"/>
              <w:bottom w:type="dxa" w:w="80"/>
              <w:right w:type="dxa" w:w="100"/>
            </w:tcMar>
          </w:tcPr>
          <w:p>
            <w:pPr>
              <w:jc w:val="center"/>
            </w:pPr>
            <w:r>
              <w:rPr>
                <w:b/>
                <w:bCs/>
              </w:rPr>
              <w:t xml:space="preserve">Statut</w:t>
            </w:r>
          </w:p>
        </w:tc>
      </w:tr>
      <w:tr>
        <w:tc>
          <w:tcPr>
            <w:tcW w:type="dxa" w:w="3200"/>
            <w:shd w:fill="F7FAFC" w:val="clear"/>
            <w:tcMar>
              <w:top w:type="dxa" w:w="80"/>
              <w:left w:type="dxa" w:w="100"/>
              <w:bottom w:type="dxa" w:w="80"/>
              <w:right w:type="dxa" w:w="100"/>
            </w:tcMar>
          </w:tcPr>
          <w:p>
            <w:pPr>
              <w:jc w:val="left"/>
            </w:pPr>
            <w:r>
              <w:rPr>
                <w:b w:val="false"/>
                <w:bCs w:val="false"/>
              </w:rPr>
              <w:t xml:space="preserve">date</w:t>
            </w:r>
          </w:p>
        </w:tc>
        <w:tc>
          <w:tcPr>
            <w:tcW w:type="dxa" w:w="3200"/>
            <w:shd w:fill="F7FAFC" w:val="clear"/>
            <w:tcMar>
              <w:top w:type="dxa" w:w="80"/>
              <w:left w:type="dxa" w:w="100"/>
              <w:bottom w:type="dxa" w:w="80"/>
              <w:right w:type="dxa" w:w="100"/>
            </w:tcMar>
          </w:tcPr>
          <w:p>
            <w:pPr>
              <w:jc w:val="left"/>
            </w:pPr>
            <w:r>
              <w:rPr>
                <w:b w:val="false"/>
                <w:bCs w:val="false"/>
              </w:rPr>
              <w:t xml:space="preserve">string</w:t>
            </w:r>
          </w:p>
        </w:tc>
        <w:tc>
          <w:tcPr>
            <w:tcW w:type="dxa" w:w="3100"/>
            <w:shd w:fill="F7FAFC" w:val="clear"/>
            <w:tcMar>
              <w:top w:type="dxa" w:w="80"/>
              <w:left w:type="dxa" w:w="100"/>
              <w:bottom w:type="dxa" w:w="80"/>
              <w:right w:type="dxa" w:w="100"/>
            </w:tcMar>
          </w:tcPr>
          <w:p>
            <w:pPr>
              <w:jc w:val="left"/>
            </w:pPr>
            <w:r>
              <w:rPr>
                <w:b w:val="false"/>
                <w:bCs w:val="false"/>
              </w:rPr>
              <w:t xml:space="preserve">Utilisé</w:t>
            </w:r>
          </w:p>
        </w:tc>
      </w:tr>
      <w:tr>
        <w:tc>
          <w:tcPr>
            <w:tcW w:type="dxa" w:w="3200"/>
            <w:shd w:fill="FFFFFF" w:val="clear"/>
            <w:tcMar>
              <w:top w:type="dxa" w:w="80"/>
              <w:left w:type="dxa" w:w="100"/>
              <w:bottom w:type="dxa" w:w="80"/>
              <w:right w:type="dxa" w:w="100"/>
            </w:tcMar>
          </w:tcPr>
          <w:p>
            <w:pPr>
              <w:jc w:val="left"/>
            </w:pPr>
            <w:r>
              <w:rPr>
                <w:b w:val="false"/>
                <w:bCs w:val="false"/>
              </w:rPr>
              <w:t xml:space="preserve">catégorie</w:t>
            </w:r>
          </w:p>
        </w:tc>
        <w:tc>
          <w:tcPr>
            <w:tcW w:type="dxa" w:w="3200"/>
            <w:shd w:fill="FFFFFF" w:val="clear"/>
            <w:tcMar>
              <w:top w:type="dxa" w:w="80"/>
              <w:left w:type="dxa" w:w="100"/>
              <w:bottom w:type="dxa" w:w="80"/>
              <w:right w:type="dxa" w:w="100"/>
            </w:tcMar>
          </w:tcPr>
          <w:p>
            <w:pPr>
              <w:jc w:val="left"/>
            </w:pPr>
            <w:r>
              <w:rPr>
                <w:b w:val="false"/>
                <w:bCs w:val="false"/>
              </w:rPr>
              <w:t xml:space="preserve">string (liste fixe)</w:t>
            </w:r>
          </w:p>
        </w:tc>
        <w:tc>
          <w:tcPr>
            <w:tcW w:type="dxa" w:w="3100"/>
            <w:shd w:fill="FFFFFF" w:val="clear"/>
            <w:tcMar>
              <w:top w:type="dxa" w:w="80"/>
              <w:left w:type="dxa" w:w="100"/>
              <w:bottom w:type="dxa" w:w="80"/>
              <w:right w:type="dxa" w:w="100"/>
            </w:tcMar>
          </w:tcPr>
          <w:p>
            <w:pPr>
              <w:jc w:val="left"/>
            </w:pPr>
            <w:r>
              <w:rPr>
                <w:b w:val="false"/>
                <w:bCs w:val="false"/>
              </w:rPr>
              <w:t xml:space="preserve">Utilisé</w:t>
            </w:r>
          </w:p>
        </w:tc>
      </w:tr>
      <w:tr>
        <w:tc>
          <w:tcPr>
            <w:tcW w:type="dxa" w:w="3200"/>
            <w:shd w:fill="F7FAFC" w:val="clear"/>
            <w:tcMar>
              <w:top w:type="dxa" w:w="80"/>
              <w:left w:type="dxa" w:w="100"/>
              <w:bottom w:type="dxa" w:w="80"/>
              <w:right w:type="dxa" w:w="100"/>
            </w:tcMar>
          </w:tcPr>
          <w:p>
            <w:pPr>
              <w:jc w:val="left"/>
            </w:pPr>
            <w:r>
              <w:rPr>
                <w:b w:val="false"/>
                <w:bCs w:val="false"/>
              </w:rPr>
              <w:t xml:space="preserve">libellé</w:t>
            </w:r>
          </w:p>
        </w:tc>
        <w:tc>
          <w:tcPr>
            <w:tcW w:type="dxa" w:w="3200"/>
            <w:shd w:fill="F7FAFC" w:val="clear"/>
            <w:tcMar>
              <w:top w:type="dxa" w:w="80"/>
              <w:left w:type="dxa" w:w="100"/>
              <w:bottom w:type="dxa" w:w="80"/>
              <w:right w:type="dxa" w:w="100"/>
            </w:tcMar>
          </w:tcPr>
          <w:p>
            <w:pPr>
              <w:jc w:val="left"/>
            </w:pPr>
            <w:r>
              <w:rPr>
                <w:b w:val="false"/>
                <w:bCs w:val="false"/>
              </w:rPr>
              <w:t xml:space="preserve">string</w:t>
            </w:r>
          </w:p>
        </w:tc>
        <w:tc>
          <w:tcPr>
            <w:tcW w:type="dxa" w:w="3100"/>
            <w:shd w:fill="F7FAFC" w:val="clear"/>
            <w:tcMar>
              <w:top w:type="dxa" w:w="80"/>
              <w:left w:type="dxa" w:w="100"/>
              <w:bottom w:type="dxa" w:w="80"/>
              <w:right w:type="dxa" w:w="100"/>
            </w:tcMar>
          </w:tcPr>
          <w:p>
            <w:pPr>
              <w:jc w:val="left"/>
            </w:pPr>
            <w:r>
              <w:rPr>
                <w:b w:val="false"/>
                <w:bCs w:val="false"/>
              </w:rPr>
              <w:t xml:space="preserve">Utilisé</w:t>
            </w:r>
          </w:p>
        </w:tc>
      </w:tr>
      <w:tr>
        <w:tc>
          <w:tcPr>
            <w:tcW w:type="dxa" w:w="3200"/>
            <w:shd w:fill="FFFFFF" w:val="clear"/>
            <w:tcMar>
              <w:top w:type="dxa" w:w="80"/>
              <w:left w:type="dxa" w:w="100"/>
              <w:bottom w:type="dxa" w:w="80"/>
              <w:right w:type="dxa" w:w="100"/>
            </w:tcMar>
          </w:tcPr>
          <w:p>
            <w:pPr>
              <w:jc w:val="left"/>
            </w:pPr>
            <w:r>
              <w:rPr>
                <w:b w:val="false"/>
                <w:bCs w:val="false"/>
              </w:rPr>
              <w:t xml:space="preserve">fournisseur</w:t>
            </w:r>
          </w:p>
        </w:tc>
        <w:tc>
          <w:tcPr>
            <w:tcW w:type="dxa" w:w="3200"/>
            <w:shd w:fill="FFFFFF" w:val="clear"/>
            <w:tcMar>
              <w:top w:type="dxa" w:w="80"/>
              <w:left w:type="dxa" w:w="100"/>
              <w:bottom w:type="dxa" w:w="80"/>
              <w:right w:type="dxa" w:w="100"/>
            </w:tcMar>
          </w:tcPr>
          <w:p>
            <w:pPr>
              <w:jc w:val="left"/>
            </w:pPr>
            <w:r>
              <w:rPr>
                <w:b w:val="false"/>
                <w:bCs w:val="false"/>
              </w:rPr>
              <w:t xml:space="preserve">string</w:t>
            </w:r>
          </w:p>
        </w:tc>
        <w:tc>
          <w:tcPr>
            <w:tcW w:type="dxa" w:w="3100"/>
            <w:shd w:fill="FFFFFF" w:val="clear"/>
            <w:tcMar>
              <w:top w:type="dxa" w:w="80"/>
              <w:left w:type="dxa" w:w="100"/>
              <w:bottom w:type="dxa" w:w="80"/>
              <w:right w:type="dxa" w:w="100"/>
            </w:tcMar>
          </w:tcPr>
          <w:p>
            <w:pPr>
              <w:jc w:val="left"/>
            </w:pPr>
            <w:r>
              <w:rPr>
                <w:b w:val="false"/>
                <w:bCs w:val="false"/>
              </w:rPr>
              <w:t xml:space="preserve">Utilisé (fait aussi office de justificatif)</w:t>
            </w:r>
          </w:p>
        </w:tc>
      </w:tr>
      <w:tr>
        <w:tc>
          <w:tcPr>
            <w:tcW w:type="dxa" w:w="3200"/>
            <w:shd w:fill="F7FAFC" w:val="clear"/>
            <w:tcMar>
              <w:top w:type="dxa" w:w="80"/>
              <w:left w:type="dxa" w:w="100"/>
              <w:bottom w:type="dxa" w:w="80"/>
              <w:right w:type="dxa" w:w="100"/>
            </w:tcMar>
          </w:tcPr>
          <w:p>
            <w:pPr>
              <w:jc w:val="left"/>
            </w:pPr>
            <w:r>
              <w:rPr>
                <w:b w:val="false"/>
                <w:bCs w:val="false"/>
              </w:rPr>
              <w:t xml:space="preserve">montant</w:t>
            </w:r>
          </w:p>
        </w:tc>
        <w:tc>
          <w:tcPr>
            <w:tcW w:type="dxa" w:w="3200"/>
            <w:shd w:fill="F7FAFC" w:val="clear"/>
            <w:tcMar>
              <w:top w:type="dxa" w:w="80"/>
              <w:left w:type="dxa" w:w="100"/>
              <w:bottom w:type="dxa" w:w="80"/>
              <w:right w:type="dxa" w:w="100"/>
            </w:tcMar>
          </w:tcPr>
          <w:p>
            <w:pPr>
              <w:jc w:val="left"/>
            </w:pPr>
            <w:r>
              <w:rPr>
                <w:b w:val="false"/>
                <w:bCs w:val="false"/>
              </w:rPr>
              <w:t xml:space="preserve">number</w:t>
            </w:r>
          </w:p>
        </w:tc>
        <w:tc>
          <w:tcPr>
            <w:tcW w:type="dxa" w:w="3100"/>
            <w:shd w:fill="F7FAFC" w:val="clear"/>
            <w:tcMar>
              <w:top w:type="dxa" w:w="80"/>
              <w:left w:type="dxa" w:w="100"/>
              <w:bottom w:type="dxa" w:w="80"/>
              <w:right w:type="dxa" w:w="100"/>
            </w:tcMar>
          </w:tcPr>
          <w:p>
            <w:pPr>
              <w:jc w:val="left"/>
            </w:pPr>
            <w:r>
              <w:rPr>
                <w:b w:val="false"/>
                <w:bCs w:val="false"/>
              </w:rPr>
              <w:t xml:space="preserve">Utilisé</w:t>
            </w:r>
          </w:p>
        </w:tc>
      </w:tr>
      <w:tr>
        <w:tc>
          <w:tcPr>
            <w:tcW w:type="dxa" w:w="3200"/>
            <w:shd w:fill="FFFFFF" w:val="clear"/>
            <w:tcMar>
              <w:top w:type="dxa" w:w="80"/>
              <w:left w:type="dxa" w:w="100"/>
              <w:bottom w:type="dxa" w:w="80"/>
              <w:right w:type="dxa" w:w="100"/>
            </w:tcMar>
          </w:tcPr>
          <w:p>
            <w:pPr>
              <w:jc w:val="left"/>
            </w:pPr>
            <w:r>
              <w:rPr>
                <w:b w:val="false"/>
                <w:bCs w:val="false"/>
              </w:rPr>
              <w:t xml:space="preserve">mode (paiement)</w:t>
            </w:r>
          </w:p>
        </w:tc>
        <w:tc>
          <w:tcPr>
            <w:tcW w:type="dxa" w:w="3200"/>
            <w:shd w:fill="FFFFFF" w:val="clear"/>
            <w:tcMar>
              <w:top w:type="dxa" w:w="80"/>
              <w:left w:type="dxa" w:w="100"/>
              <w:bottom w:type="dxa" w:w="80"/>
              <w:right w:type="dxa" w:w="100"/>
            </w:tcMar>
          </w:tcPr>
          <w:p>
            <w:pPr>
              <w:jc w:val="left"/>
            </w:pPr>
            <w:r>
              <w:rPr>
                <w:b w:val="false"/>
                <w:bCs w:val="false"/>
              </w:rPr>
              <w:t xml:space="preserve">string, optionnel</w:t>
            </w:r>
          </w:p>
        </w:tc>
        <w:tc>
          <w:tcPr>
            <w:tcW w:type="dxa" w:w="3100"/>
            <w:shd w:fill="FFFFFF" w:val="clear"/>
            <w:tcMar>
              <w:top w:type="dxa" w:w="80"/>
              <w:left w:type="dxa" w:w="100"/>
              <w:bottom w:type="dxa" w:w="80"/>
              <w:right w:type="dxa" w:w="100"/>
            </w:tcMar>
          </w:tcPr>
          <w:p>
            <w:pPr>
              <w:jc w:val="left"/>
            </w:pPr>
            <w:r>
              <w:rPr>
                <w:b w:val="false"/>
                <w:bCs w:val="false"/>
              </w:rPr>
              <w:t xml:space="preserve">Existe mais non saisissable dans le formulaire — quasi inutilisé</w:t>
            </w:r>
          </w:p>
        </w:tc>
      </w:tr>
      <w:tr>
        <w:tc>
          <w:tcPr>
            <w:tcW w:type="dxa" w:w="3200"/>
            <w:shd w:fill="F7FAFC" w:val="clear"/>
            <w:tcMar>
              <w:top w:type="dxa" w:w="80"/>
              <w:left w:type="dxa" w:w="100"/>
              <w:bottom w:type="dxa" w:w="80"/>
              <w:right w:type="dxa" w:w="100"/>
            </w:tcMar>
          </w:tcPr>
          <w:p>
            <w:pPr>
              <w:jc w:val="left"/>
            </w:pPr>
            <w:r>
              <w:rPr>
                <w:b w:val="false"/>
                <w:bCs w:val="false"/>
              </w:rPr>
              <w:t xml:space="preserve">notes</w:t>
            </w:r>
          </w:p>
        </w:tc>
        <w:tc>
          <w:tcPr>
            <w:tcW w:type="dxa" w:w="3200"/>
            <w:shd w:fill="F7FAFC" w:val="clear"/>
            <w:tcMar>
              <w:top w:type="dxa" w:w="80"/>
              <w:left w:type="dxa" w:w="100"/>
              <w:bottom w:type="dxa" w:w="80"/>
              <w:right w:type="dxa" w:w="100"/>
            </w:tcMar>
          </w:tcPr>
          <w:p>
            <w:pPr>
              <w:jc w:val="left"/>
            </w:pPr>
            <w:r>
              <w:rPr>
                <w:b w:val="false"/>
                <w:bCs w:val="false"/>
              </w:rPr>
              <w:t xml:space="preserve">string, optionnel</w:t>
            </w:r>
          </w:p>
        </w:tc>
        <w:tc>
          <w:tcPr>
            <w:tcW w:type="dxa" w:w="3100"/>
            <w:shd w:fill="F7FAFC" w:val="clear"/>
            <w:tcMar>
              <w:top w:type="dxa" w:w="80"/>
              <w:left w:type="dxa" w:w="100"/>
              <w:bottom w:type="dxa" w:w="80"/>
              <w:right w:type="dxa" w:w="100"/>
            </w:tcMar>
          </w:tcPr>
          <w:p>
            <w:pPr>
              <w:jc w:val="left"/>
            </w:pPr>
            <w:r>
              <w:rPr>
                <w:b w:val="false"/>
                <w:bCs w:val="false"/>
              </w:rPr>
              <w:t xml:space="preserve">Existe mais non saisissable dans le formulaire — inutilisé</w:t>
            </w:r>
          </w:p>
        </w:tc>
      </w:tr>
    </w:tbl>
    <w:p>
      <w:pPr>
        <w:pStyle w:val="Heading2"/>
        <w:spacing w:after="150" w:before="300"/>
      </w:pPr>
      <w:r>
        <w:t xml:space="preserve">2.2 Catégories de dépenses</w:t>
      </w:r>
    </w:p>
    <w:p>
      <w:pPr>
        <w:spacing w:after="150"/>
      </w:pPr>
      <w:r>
        <w:t xml:space="preserve">Dix catégories fixes, codées en dur dans le composant (non administrables sans modification du code) :</w:t>
      </w:r>
    </w:p>
    <w:p>
      <w:pPr>
        <w:pStyle w:val="ListParagraph"/>
        <w:numPr>
          <w:ilvl w:val="0"/>
          <w:numId w:val="2"/>
        </w:numPr>
        <w:spacing w:after="80"/>
      </w:pPr>
      <w:r>
        <w:t xml:space="preserve">Matière première, Énergie, Salaires, Transport, Emballage, Entretien, Loyer, Communication, Impôts, Divers</w:t>
      </w:r>
    </w:p>
    <w:p>
      <w:pPr>
        <w:spacing w:after="150"/>
      </w:pPr>
      <w:r>
        <w:t xml:space="preserve">Trois catégories supplémentaires sont générées automatiquement par d'autres modules (Véhicules, Maintenance, Livraisons) : Carburant véhicule, Maintenance véhicule, Maintenance machine. Elles ne sont pas sélectionnables directement dans le formulaire Dépenses.</w:t>
      </w:r>
    </w:p>
    <w:p>
      <w:pPr>
        <w:pStyle w:val="Heading2"/>
        <w:spacing w:after="150" w:before="300"/>
      </w:pPr>
      <w:r>
        <w:t xml:space="preserve">2.3 Fonctionnalités actuelles</w:t>
      </w:r>
    </w:p>
    <w:p>
      <w:pPr>
        <w:pStyle w:val="ListParagraph"/>
        <w:numPr>
          <w:ilvl w:val="0"/>
          <w:numId w:val="2"/>
        </w:numPr>
        <w:spacing w:after="80"/>
      </w:pPr>
      <w:r>
        <w:t xml:space="preserve">Création et suppression de dépenses (pas de modification/édition possible une fois créée)</w:t>
      </w:r>
    </w:p>
    <w:p>
      <w:pPr>
        <w:pStyle w:val="ListParagraph"/>
        <w:numPr>
          <w:ilvl w:val="0"/>
          <w:numId w:val="2"/>
        </w:numPr>
        <w:spacing w:after="80"/>
      </w:pPr>
      <w:r>
        <w:t xml:space="preserve">Import CSV avec détection automatique des colonnes et rapprochement flou des catégories</w:t>
      </w:r>
    </w:p>
    <w:p>
      <w:pPr>
        <w:pStyle w:val="ListParagraph"/>
        <w:numPr>
          <w:ilvl w:val="0"/>
          <w:numId w:val="2"/>
        </w:numPr>
        <w:spacing w:after="80"/>
      </w:pPr>
      <w:r>
        <w:t xml:space="preserve">Filtres par date, catégorie et recherche texte libre ; pagination 20 lignes/page</w:t>
      </w:r>
    </w:p>
    <w:p>
      <w:pPr>
        <w:pStyle w:val="ListParagraph"/>
        <w:numPr>
          <w:ilvl w:val="0"/>
          <w:numId w:val="2"/>
        </w:numPr>
        <w:spacing w:after="80"/>
      </w:pPr>
      <w:r>
        <w:t xml:space="preserve">KPI limités au total du mois et au total filtré (pas de moyenne, de tendance ni de comparaison au mois précédent)</w:t>
      </w:r>
    </w:p>
    <w:p>
      <w:pPr>
        <w:pStyle w:val="ListParagraph"/>
        <w:numPr>
          <w:ilvl w:val="0"/>
          <w:numId w:val="2"/>
        </w:numPr>
        <w:spacing w:after="80"/>
      </w:pPr>
      <w:r>
        <w:t xml:space="preserve">Historique des créations/suppressions et verrouillage après clôture de caisse</w:t>
      </w:r>
    </w:p>
    <w:p>
      <w:pPr>
        <w:pStyle w:val="ListParagraph"/>
        <w:numPr>
          <w:ilvl w:val="0"/>
          <w:numId w:val="2"/>
        </w:numPr>
        <w:spacing w:after="80"/>
      </w:pPr>
      <w:r>
        <w:t xml:space="preserve">Validation métier : libellé, montant (&gt;0 et &lt;50 M F CFA), catégorie et date obligatoires ; avertissement si le fournisseur est vide</w:t>
      </w:r>
    </w:p>
    <w:p>
      <w:pPr>
        <w:pStyle w:val="ListParagraph"/>
        <w:numPr>
          <w:ilvl w:val="0"/>
          <w:numId w:val="2"/>
        </w:numPr>
        <w:spacing w:after="80"/>
      </w:pPr>
      <w:r>
        <w:t xml:space="preserve">Intégration comptable SYSCOHADA : chaque dépense génère une écriture (charge / caisse) via un mapping catégorie → compte OHADA, avec repli sur « 658 – charges diverses » si la catégorie n'est pas reconnue</w:t>
      </w:r>
    </w:p>
    <w:p>
      <w:pPr>
        <w:pStyle w:val="ListParagraph"/>
        <w:numPr>
          <w:ilvl w:val="0"/>
          <w:numId w:val="2"/>
        </w:numPr>
        <w:spacing w:after="80"/>
      </w:pPr>
      <w:r>
        <w:t xml:space="preserve">Intégration dans le solde de caisse, le tableau de bord et le rapport journalier</w:t>
      </w:r>
    </w:p>
    <w:p>
      <w:pPr>
        <w:pStyle w:val="Heading1"/>
        <w:spacing w:after="200" w:before="400"/>
      </w:pPr>
      <w:r>
        <w:t xml:space="preserve">3. Constats et limites identifiés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1F4E79" w:val="clear"/>
            <w:tcMar>
              <w:top w:type="dxa" w:w="80"/>
              <w:left w:type="dxa" w:w="100"/>
              <w:bottom w:type="dxa" w:w="80"/>
              <w:right w:type="dxa" w:w="100"/>
            </w:tcMar>
          </w:tcPr>
          <w:p>
            <w:pPr>
              <w:jc w:val="center"/>
            </w:pPr>
            <w:r>
              <w:rPr>
                <w:b/>
                <w:bCs/>
              </w:rPr>
              <w:t xml:space="preserve">Constat</w:t>
            </w:r>
          </w:p>
        </w:tc>
        <w:tc>
          <w:tcPr>
            <w:tcW w:type="dxa" w:w="4900"/>
            <w:shd w:fill="1F4E79" w:val="clear"/>
            <w:tcMar>
              <w:top w:type="dxa" w:w="80"/>
              <w:left w:type="dxa" w:w="100"/>
              <w:bottom w:type="dxa" w:w="80"/>
              <w:right w:type="dxa" w:w="100"/>
            </w:tcMar>
          </w:tcPr>
          <w:p>
            <w:pPr>
              <w:jc w:val="center"/>
            </w:pPr>
            <w:r>
              <w:rPr>
                <w:b/>
                <w:bCs/>
              </w:rPr>
              <w:t xml:space="preserve">Impact</w:t>
            </w:r>
          </w:p>
        </w:tc>
      </w:tr>
      <w:tr>
        <w:tc>
          <w:tcPr>
            <w:tcW w:type="dxa" w:w="4600"/>
            <w:shd w:fill="F7FAFC" w:val="clear"/>
            <w:tcMar>
              <w:top w:type="dxa" w:w="80"/>
              <w:left w:type="dxa" w:w="100"/>
              <w:bottom w:type="dxa" w:w="80"/>
              <w:right w:type="dxa" w:w="100"/>
            </w:tcMar>
          </w:tcPr>
          <w:p>
            <w:pPr>
              <w:jc w:val="left"/>
            </w:pPr>
            <w:r>
              <w:rPr>
                <w:b w:val="false"/>
                <w:bCs w:val="false"/>
              </w:rPr>
              <w:t xml:space="preserve">Aucun budget ni plafond par catégorie</w:t>
            </w:r>
          </w:p>
        </w:tc>
        <w:tc>
          <w:tcPr>
            <w:tcW w:type="dxa" w:w="4900"/>
            <w:shd w:fill="F7FAFC" w:val="clear"/>
            <w:tcMar>
              <w:top w:type="dxa" w:w="80"/>
              <w:left w:type="dxa" w:w="100"/>
              <w:bottom w:type="dxa" w:w="80"/>
              <w:right w:type="dxa" w:w="100"/>
            </w:tcMar>
          </w:tcPr>
          <w:p>
            <w:pPr>
              <w:jc w:val="left"/>
            </w:pPr>
            <w:r>
              <w:rPr>
                <w:b w:val="false"/>
                <w:bCs w:val="false"/>
              </w:rPr>
              <w:t xml:space="preserve">Impossible de détecter un dépassement ou une dérive avant qu'elle ne soit visible dans le résultat global</w:t>
            </w:r>
          </w:p>
        </w:tc>
      </w:tr>
      <w:tr>
        <w:tc>
          <w:tcPr>
            <w:tcW w:type="dxa" w:w="4600"/>
            <w:shd w:fill="FFFFFF" w:val="clear"/>
            <w:tcMar>
              <w:top w:type="dxa" w:w="80"/>
              <w:left w:type="dxa" w:w="100"/>
              <w:bottom w:type="dxa" w:w="80"/>
              <w:right w:type="dxa" w:w="100"/>
            </w:tcMar>
          </w:tcPr>
          <w:p>
            <w:pPr>
              <w:jc w:val="left"/>
            </w:pPr>
            <w:r>
              <w:rPr>
                <w:b w:val="false"/>
                <w:bCs w:val="false"/>
              </w:rPr>
              <w:t xml:space="preserve">Aucune dépense récurrente automatisée (loyer, abonnements, salaires fixes)</w:t>
            </w:r>
          </w:p>
        </w:tc>
        <w:tc>
          <w:tcPr>
            <w:tcW w:type="dxa" w:w="4900"/>
            <w:shd w:fill="FFFFFF" w:val="clear"/>
            <w:tcMar>
              <w:top w:type="dxa" w:w="80"/>
              <w:left w:type="dxa" w:w="100"/>
              <w:bottom w:type="dxa" w:w="80"/>
              <w:right w:type="dxa" w:w="100"/>
            </w:tcMar>
          </w:tcPr>
          <w:p>
            <w:pPr>
              <w:jc w:val="left"/>
            </w:pPr>
            <w:r>
              <w:rPr>
                <w:b w:val="false"/>
                <w:bCs w:val="false"/>
              </w:rPr>
              <w:t xml:space="preserve">Ressaisie manuelle chaque mois, risque d'oubli ou de doublon</w:t>
            </w:r>
          </w:p>
        </w:tc>
      </w:tr>
      <w:tr>
        <w:tc>
          <w:tcPr>
            <w:tcW w:type="dxa" w:w="4600"/>
            <w:shd w:fill="F7FAFC" w:val="clear"/>
            <w:tcMar>
              <w:top w:type="dxa" w:w="80"/>
              <w:left w:type="dxa" w:w="100"/>
              <w:bottom w:type="dxa" w:w="80"/>
              <w:right w:type="dxa" w:w="100"/>
            </w:tcMar>
          </w:tcPr>
          <w:p>
            <w:pPr>
              <w:jc w:val="left"/>
            </w:pPr>
            <w:r>
              <w:rPr>
                <w:b w:val="false"/>
                <w:bCs w:val="false"/>
              </w:rPr>
              <w:t xml:space="preserve">Aucune modification possible après création</w:t>
            </w:r>
          </w:p>
        </w:tc>
        <w:tc>
          <w:tcPr>
            <w:tcW w:type="dxa" w:w="4900"/>
            <w:shd w:fill="F7FAFC" w:val="clear"/>
            <w:tcMar>
              <w:top w:type="dxa" w:w="80"/>
              <w:left w:type="dxa" w:w="100"/>
              <w:bottom w:type="dxa" w:w="80"/>
              <w:right w:type="dxa" w:w="100"/>
            </w:tcMar>
          </w:tcPr>
          <w:p>
            <w:pPr>
              <w:jc w:val="left"/>
            </w:pPr>
            <w:r>
              <w:rPr>
                <w:b w:val="false"/>
                <w:bCs w:val="false"/>
              </w:rPr>
              <w:t xml:space="preserve">Une erreur de saisie oblige à supprimer et recréer, avec perte de l'historique de la ligne d'origine</w:t>
            </w:r>
          </w:p>
        </w:tc>
      </w:tr>
      <w:tr>
        <w:tc>
          <w:tcPr>
            <w:tcW w:type="dxa" w:w="4600"/>
            <w:shd w:fill="FFFFFF" w:val="clear"/>
            <w:tcMar>
              <w:top w:type="dxa" w:w="80"/>
              <w:left w:type="dxa" w:w="100"/>
              <w:bottom w:type="dxa" w:w="80"/>
              <w:right w:type="dxa" w:w="100"/>
            </w:tcMar>
          </w:tcPr>
          <w:p>
            <w:pPr>
              <w:jc w:val="left"/>
            </w:pPr>
            <w:r>
              <w:rPr>
                <w:b w:val="false"/>
                <w:bCs w:val="false"/>
              </w:rPr>
              <w:t xml:space="preserve">Champs « mode de paiement » et « notes » présents dans le modèle mais absents du formulaire</w:t>
            </w:r>
          </w:p>
        </w:tc>
        <w:tc>
          <w:tcPr>
            <w:tcW w:type="dxa" w:w="4900"/>
            <w:shd w:fill="FFFFFF" w:val="clear"/>
            <w:tcMar>
              <w:top w:type="dxa" w:w="80"/>
              <w:left w:type="dxa" w:w="100"/>
              <w:bottom w:type="dxa" w:w="80"/>
              <w:right w:type="dxa" w:w="100"/>
            </w:tcMar>
          </w:tcPr>
          <w:p>
            <w:pPr>
              <w:jc w:val="left"/>
            </w:pPr>
            <w:r>
              <w:rPr>
                <w:b w:val="false"/>
                <w:bCs w:val="false"/>
              </w:rPr>
              <w:t xml:space="preserve">Donnée de traçabilité perdue alors que la structure existe déjà</w:t>
            </w:r>
          </w:p>
        </w:tc>
      </w:tr>
      <w:tr>
        <w:tc>
          <w:tcPr>
            <w:tcW w:type="dxa" w:w="4600"/>
            <w:shd w:fill="F7FAFC" w:val="clear"/>
            <w:tcMar>
              <w:top w:type="dxa" w:w="80"/>
              <w:left w:type="dxa" w:w="100"/>
              <w:bottom w:type="dxa" w:w="80"/>
              <w:right w:type="dxa" w:w="100"/>
            </w:tcMar>
          </w:tcPr>
          <w:p>
            <w:pPr>
              <w:jc w:val="left"/>
            </w:pPr>
            <w:r>
              <w:rPr>
                <w:b w:val="false"/>
                <w:bCs w:val="false"/>
              </w:rPr>
              <w:t xml:space="preserve">Pas de pièce justificative numérisée (facture, reçu)</w:t>
            </w:r>
          </w:p>
        </w:tc>
        <w:tc>
          <w:tcPr>
            <w:tcW w:type="dxa" w:w="4900"/>
            <w:shd w:fill="F7FAFC" w:val="clear"/>
            <w:tcMar>
              <w:top w:type="dxa" w:w="80"/>
              <w:left w:type="dxa" w:w="100"/>
              <w:bottom w:type="dxa" w:w="80"/>
              <w:right w:type="dxa" w:w="100"/>
            </w:tcMar>
          </w:tcPr>
          <w:p>
            <w:pPr>
              <w:jc w:val="left"/>
            </w:pPr>
            <w:r>
              <w:rPr>
                <w:b w:val="false"/>
                <w:bCs w:val="false"/>
              </w:rPr>
              <w:t xml:space="preserve">Le champ fournisseur sert de proxy, mais aucune preuve documentaire n'est rattachée à la dépense</w:t>
            </w:r>
          </w:p>
        </w:tc>
      </w:tr>
      <w:tr>
        <w:tc>
          <w:tcPr>
            <w:tcW w:type="dxa" w:w="4600"/>
            <w:shd w:fill="FFFFFF" w:val="clear"/>
            <w:tcMar>
              <w:top w:type="dxa" w:w="80"/>
              <w:left w:type="dxa" w:w="100"/>
              <w:bottom w:type="dxa" w:w="80"/>
              <w:right w:type="dxa" w:w="100"/>
            </w:tcMar>
          </w:tcPr>
          <w:p>
            <w:pPr>
              <w:jc w:val="left"/>
            </w:pPr>
            <w:r>
              <w:rPr>
                <w:b w:val="false"/>
                <w:bCs w:val="false"/>
              </w:rPr>
              <w:t xml:space="preserve">Aucun circuit d'approbation pour les dépenses (contrairement aux ventes à crédit ou versements, qui ont des seuils configurés)</w:t>
            </w:r>
          </w:p>
        </w:tc>
        <w:tc>
          <w:tcPr>
            <w:tcW w:type="dxa" w:w="4900"/>
            <w:shd w:fill="FFFFFF" w:val="clear"/>
            <w:tcMar>
              <w:top w:type="dxa" w:w="80"/>
              <w:left w:type="dxa" w:w="100"/>
              <w:bottom w:type="dxa" w:w="80"/>
              <w:right w:type="dxa" w:w="100"/>
            </w:tcMar>
          </w:tcPr>
          <w:p>
            <w:pPr>
              <w:jc w:val="left"/>
            </w:pPr>
            <w:r>
              <w:rPr>
                <w:b w:val="false"/>
                <w:bCs w:val="false"/>
              </w:rPr>
              <w:t xml:space="preserve">Une dépense de n'importe quel montant est enregistrée immédiatement, sans double contrôle</w:t>
            </w:r>
          </w:p>
        </w:tc>
      </w:tr>
      <w:tr>
        <w:tc>
          <w:tcPr>
            <w:tcW w:type="dxa" w:w="4600"/>
            <w:shd w:fill="F7FAFC" w:val="clear"/>
            <w:tcMar>
              <w:top w:type="dxa" w:w="80"/>
              <w:left w:type="dxa" w:w="100"/>
              <w:bottom w:type="dxa" w:w="80"/>
              <w:right w:type="dxa" w:w="100"/>
            </w:tcMar>
          </w:tcPr>
          <w:p>
            <w:pPr>
              <w:jc w:val="left"/>
            </w:pPr>
            <w:r>
              <w:rPr>
                <w:b w:val="false"/>
                <w:bCs w:val="false"/>
              </w:rPr>
              <w:t xml:space="preserve">Catégories figées dans le code, non administrables</w:t>
            </w:r>
          </w:p>
        </w:tc>
        <w:tc>
          <w:tcPr>
            <w:tcW w:type="dxa" w:w="4900"/>
            <w:shd w:fill="F7FAFC" w:val="clear"/>
            <w:tcMar>
              <w:top w:type="dxa" w:w="80"/>
              <w:left w:type="dxa" w:w="100"/>
              <w:bottom w:type="dxa" w:w="80"/>
              <w:right w:type="dxa" w:w="100"/>
            </w:tcMar>
          </w:tcPr>
          <w:p>
            <w:pPr>
              <w:jc w:val="left"/>
            </w:pPr>
            <w:r>
              <w:rPr>
                <w:b w:val="false"/>
                <w:bCs w:val="false"/>
              </w:rPr>
              <w:t xml:space="preserve">Toute évolution des catégories nécessite un déploiement technique</w:t>
            </w:r>
          </w:p>
        </w:tc>
      </w:tr>
      <w:tr>
        <w:tc>
          <w:tcPr>
            <w:tcW w:type="dxa" w:w="4600"/>
            <w:shd w:fill="FFFFFF" w:val="clear"/>
            <w:tcMar>
              <w:top w:type="dxa" w:w="80"/>
              <w:left w:type="dxa" w:w="100"/>
              <w:bottom w:type="dxa" w:w="80"/>
              <w:right w:type="dxa" w:w="100"/>
            </w:tcMar>
          </w:tcPr>
          <w:p>
            <w:pPr>
              <w:jc w:val="left"/>
            </w:pPr>
            <w:r>
              <w:rPr>
                <w:b w:val="false"/>
                <w:bCs w:val="false"/>
              </w:rPr>
              <w:t xml:space="preserve">Rôle « lecteur » voit le bouton de création mais ses écritures échouent silencieusement côté Firestore</w:t>
            </w:r>
          </w:p>
        </w:tc>
        <w:tc>
          <w:tcPr>
            <w:tcW w:type="dxa" w:w="4900"/>
            <w:shd w:fill="FFFFFF" w:val="clear"/>
            <w:tcMar>
              <w:top w:type="dxa" w:w="80"/>
              <w:left w:type="dxa" w:w="100"/>
              <w:bottom w:type="dxa" w:w="80"/>
              <w:right w:type="dxa" w:w="100"/>
            </w:tcMar>
          </w:tcPr>
          <w:p>
            <w:pPr>
              <w:jc w:val="left"/>
            </w:pPr>
            <w:r>
              <w:rPr>
                <w:b w:val="false"/>
                <w:bCs w:val="false"/>
              </w:rPr>
              <w:t xml:space="preserve">Risque de perte de saisie non signalée à l'utilisateur</w:t>
            </w:r>
          </w:p>
        </w:tc>
      </w:tr>
      <w:tr>
        <w:tc>
          <w:tcPr>
            <w:tcW w:type="dxa" w:w="4600"/>
            <w:shd w:fill="F7FAFC" w:val="clear"/>
            <w:tcMar>
              <w:top w:type="dxa" w:w="80"/>
              <w:left w:type="dxa" w:w="100"/>
              <w:bottom w:type="dxa" w:w="80"/>
              <w:right w:type="dxa" w:w="100"/>
            </w:tcMar>
          </w:tcPr>
          <w:p>
            <w:pPr>
              <w:jc w:val="left"/>
            </w:pPr>
            <w:r>
              <w:rPr>
                <w:b w:val="false"/>
                <w:bCs w:val="false"/>
              </w:rPr>
              <w:t xml:space="preserve">Pas de KPI d'analyse (répartition par catégorie, évolution, poste le plus coûteux)</w:t>
            </w:r>
          </w:p>
        </w:tc>
        <w:tc>
          <w:tcPr>
            <w:tcW w:type="dxa" w:w="4900"/>
            <w:shd w:fill="F7FAFC" w:val="clear"/>
            <w:tcMar>
              <w:top w:type="dxa" w:w="80"/>
              <w:left w:type="dxa" w:w="100"/>
              <w:bottom w:type="dxa" w:w="80"/>
              <w:right w:type="dxa" w:w="100"/>
            </w:tcMar>
          </w:tcPr>
          <w:p>
            <w:pPr>
              <w:jc w:val="left"/>
            </w:pPr>
            <w:r>
              <w:rPr>
                <w:b w:val="false"/>
                <w:bCs w:val="false"/>
              </w:rPr>
              <w:t xml:space="preserve">Aucune vision synthétique pour piloter les dépenses, seulement un total brut</w:t>
            </w:r>
          </w:p>
        </w:tc>
      </w:tr>
    </w:tbl>
    <w:p>
      <w:pPr>
        <w:pStyle w:val="Heading1"/>
        <w:spacing w:after="200" w:before="400"/>
      </w:pPr>
      <w:r>
        <w:t xml:space="preserve">4. Propositions de gestion</w:t>
      </w:r>
    </w:p>
    <w:p>
      <w:pPr>
        <w:spacing w:after="150"/>
      </w:pPr>
      <w:r>
        <w:t xml:space="preserve">Les propositions ci-dessous sont classées par ordre de priorité suggéré, en tenant compte de l'effort de mise en œuvre (le modèle de données Depense et l'architecture existante permettent déjà une bonne partie de ces évolutions sans refonte majeure).</w:t>
      </w:r>
    </w:p>
    <w:p>
      <w:pPr>
        <w:pStyle w:val="Heading2"/>
        <w:spacing w:after="150" w:before="300"/>
      </w:pPr>
      <w:r>
        <w:t xml:space="preserve">4.1 Court terme — gains rapides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200"/>
      </w:tblGrid>
      <w:tr>
        <w:trPr>
          <w:tblHeader/>
        </w:trPr>
        <w:tc>
          <w:tcPr>
            <w:tcW w:type="dxa" w:w="3900"/>
            <w:shd w:fill="1F4E79" w:val="clear"/>
            <w:tcMar>
              <w:top w:type="dxa" w:w="80"/>
              <w:left w:type="dxa" w:w="100"/>
              <w:bottom w:type="dxa" w:w="80"/>
              <w:right w:type="dxa" w:w="100"/>
            </w:tcMar>
          </w:tcPr>
          <w:p>
            <w:pPr>
              <w:jc w:val="center"/>
            </w:pPr>
            <w:r>
              <w:rPr>
                <w:b/>
                <w:bCs/>
              </w:rPr>
              <w:t xml:space="preserve">Proposition</w:t>
            </w:r>
          </w:p>
        </w:tc>
        <w:tc>
          <w:tcPr>
            <w:tcW w:type="dxa" w:w="3400"/>
            <w:shd w:fill="1F4E79" w:val="clear"/>
            <w:tcMar>
              <w:top w:type="dxa" w:w="80"/>
              <w:left w:type="dxa" w:w="100"/>
              <w:bottom w:type="dxa" w:w="80"/>
              <w:right w:type="dxa" w:w="100"/>
            </w:tcMar>
          </w:tcPr>
          <w:p>
            <w:pPr>
              <w:jc w:val="center"/>
            </w:pPr>
            <w:r>
              <w:rPr>
                <w:b/>
                <w:bCs/>
              </w:rPr>
              <w:t xml:space="preserve">Bénéfice attendu</w:t>
            </w:r>
          </w:p>
        </w:tc>
        <w:tc>
          <w:tcPr>
            <w:tcW w:type="dxa" w:w="2200"/>
            <w:shd w:fill="1F4E79" w:val="clear"/>
            <w:tcMar>
              <w:top w:type="dxa" w:w="80"/>
              <w:left w:type="dxa" w:w="100"/>
              <w:bottom w:type="dxa" w:w="80"/>
              <w:right w:type="dxa" w:w="100"/>
            </w:tcMar>
          </w:tcPr>
          <w:p>
            <w:pPr>
              <w:jc w:val="center"/>
            </w:pPr>
            <w:r>
              <w:rPr>
                <w:b/>
                <w:bCs/>
              </w:rPr>
              <w:t xml:space="preserve">Effort</w:t>
            </w:r>
          </w:p>
        </w:tc>
      </w:tr>
      <w:tr>
        <w:tc>
          <w:tcPr>
            <w:tcW w:type="dxa" w:w="3900"/>
            <w:shd w:fill="F7FAFC" w:val="clear"/>
            <w:tcMar>
              <w:top w:type="dxa" w:w="80"/>
              <w:left w:type="dxa" w:w="100"/>
              <w:bottom w:type="dxa" w:w="80"/>
              <w:right w:type="dxa" w:w="100"/>
            </w:tcMar>
          </w:tcPr>
          <w:p>
            <w:pPr>
              <w:jc w:val="left"/>
            </w:pPr>
            <w:r>
              <w:rPr>
                <w:b w:val="false"/>
                <w:bCs w:val="false"/>
              </w:rPr>
              <w:t xml:space="preserve">Ajouter l'édition d'une dépense existante (formulaire déjà en place pour la création)</w:t>
            </w:r>
          </w:p>
        </w:tc>
        <w:tc>
          <w:tcPr>
            <w:tcW w:type="dxa" w:w="3400"/>
            <w:shd w:fill="F7FAFC" w:val="clear"/>
            <w:tcMar>
              <w:top w:type="dxa" w:w="80"/>
              <w:left w:type="dxa" w:w="100"/>
              <w:bottom w:type="dxa" w:w="80"/>
              <w:right w:type="dxa" w:w="100"/>
            </w:tcMar>
          </w:tcPr>
          <w:p>
            <w:pPr>
              <w:jc w:val="left"/>
            </w:pPr>
            <w:r>
              <w:rPr>
                <w:b w:val="false"/>
                <w:bCs w:val="false"/>
              </w:rPr>
              <w:t xml:space="preserve">Corriger une erreur de saisie sans perdre l'historique</w:t>
            </w:r>
          </w:p>
        </w:tc>
        <w:tc>
          <w:tcPr>
            <w:tcW w:type="dxa" w:w="2200"/>
            <w:shd w:fill="F7FAFC" w:val="clear"/>
            <w:tcMar>
              <w:top w:type="dxa" w:w="80"/>
              <w:left w:type="dxa" w:w="100"/>
              <w:bottom w:type="dxa" w:w="80"/>
              <w:right w:type="dxa" w:w="100"/>
            </w:tcMar>
          </w:tcPr>
          <w:p>
            <w:pPr>
              <w:jc w:val="left"/>
            </w:pPr>
            <w:r>
              <w:rPr>
                <w:b w:val="false"/>
                <w:bCs w:val="false"/>
              </w:rPr>
              <w:t xml:space="preserve">Faible</w:t>
            </w:r>
          </w:p>
        </w:tc>
      </w:tr>
      <w:tr>
        <w:tc>
          <w:tcPr>
            <w:tcW w:type="dxa" w:w="3900"/>
            <w:shd w:fill="FFFFFF" w:val="clear"/>
            <w:tcMar>
              <w:top w:type="dxa" w:w="80"/>
              <w:left w:type="dxa" w:w="100"/>
              <w:bottom w:type="dxa" w:w="80"/>
              <w:right w:type="dxa" w:w="100"/>
            </w:tcMar>
          </w:tcPr>
          <w:p>
            <w:pPr>
              <w:jc w:val="left"/>
            </w:pPr>
            <w:r>
              <w:rPr>
                <w:b w:val="false"/>
                <w:bCs w:val="false"/>
              </w:rPr>
              <w:t xml:space="preserve">Exposer les champs « mode de paiement » et « notes » dans le formulaire</w:t>
            </w:r>
          </w:p>
        </w:tc>
        <w:tc>
          <w:tcPr>
            <w:tcW w:type="dxa" w:w="3400"/>
            <w:shd w:fill="FFFFFF" w:val="clear"/>
            <w:tcMar>
              <w:top w:type="dxa" w:w="80"/>
              <w:left w:type="dxa" w:w="100"/>
              <w:bottom w:type="dxa" w:w="80"/>
              <w:right w:type="dxa" w:w="100"/>
            </w:tcMar>
          </w:tcPr>
          <w:p>
            <w:pPr>
              <w:jc w:val="left"/>
            </w:pPr>
            <w:r>
              <w:rPr>
                <w:b w:val="false"/>
                <w:bCs w:val="false"/>
              </w:rPr>
              <w:t xml:space="preserve">Meilleure traçabilité (espèces / virement / mobile money) sans changement de modèle de données</w:t>
            </w:r>
          </w:p>
        </w:tc>
        <w:tc>
          <w:tcPr>
            <w:tcW w:type="dxa" w:w="2200"/>
            <w:shd w:fill="FFFFFF" w:val="clear"/>
            <w:tcMar>
              <w:top w:type="dxa" w:w="80"/>
              <w:left w:type="dxa" w:w="100"/>
              <w:bottom w:type="dxa" w:w="80"/>
              <w:right w:type="dxa" w:w="100"/>
            </w:tcMar>
          </w:tcPr>
          <w:p>
            <w:pPr>
              <w:jc w:val="left"/>
            </w:pPr>
            <w:r>
              <w:rPr>
                <w:b w:val="false"/>
                <w:bCs w:val="false"/>
              </w:rPr>
              <w:t xml:space="preserve">Faible</w:t>
            </w:r>
          </w:p>
        </w:tc>
      </w:tr>
      <w:tr>
        <w:tc>
          <w:tcPr>
            <w:tcW w:type="dxa" w:w="3900"/>
            <w:shd w:fill="F7FAFC" w:val="clear"/>
            <w:tcMar>
              <w:top w:type="dxa" w:w="80"/>
              <w:left w:type="dxa" w:w="100"/>
              <w:bottom w:type="dxa" w:w="80"/>
              <w:right w:type="dxa" w:w="100"/>
            </w:tcMar>
          </w:tcPr>
          <w:p>
            <w:pPr>
              <w:jc w:val="left"/>
            </w:pPr>
            <w:r>
              <w:rPr>
                <w:b w:val="false"/>
                <w:bCs w:val="false"/>
              </w:rPr>
              <w:t xml:space="preserve">Ajouter un tableau de répartition par catégorie (montant + % du total) sur la période filtrée</w:t>
            </w:r>
          </w:p>
        </w:tc>
        <w:tc>
          <w:tcPr>
            <w:tcW w:type="dxa" w:w="3400"/>
            <w:shd w:fill="F7FAFC" w:val="clear"/>
            <w:tcMar>
              <w:top w:type="dxa" w:w="80"/>
              <w:left w:type="dxa" w:w="100"/>
              <w:bottom w:type="dxa" w:w="80"/>
              <w:right w:type="dxa" w:w="100"/>
            </w:tcMar>
          </w:tcPr>
          <w:p>
            <w:pPr>
              <w:jc w:val="left"/>
            </w:pPr>
            <w:r>
              <w:rPr>
                <w:b w:val="false"/>
                <w:bCs w:val="false"/>
              </w:rPr>
              <w:t xml:space="preserve">Visibilité immédiate sur les postes qui pèsent le plus</w:t>
            </w:r>
          </w:p>
        </w:tc>
        <w:tc>
          <w:tcPr>
            <w:tcW w:type="dxa" w:w="2200"/>
            <w:shd w:fill="F7FAFC" w:val="clear"/>
            <w:tcMar>
              <w:top w:type="dxa" w:w="80"/>
              <w:left w:type="dxa" w:w="100"/>
              <w:bottom w:type="dxa" w:w="80"/>
              <w:right w:type="dxa" w:w="100"/>
            </w:tcMar>
          </w:tcPr>
          <w:p>
            <w:pPr>
              <w:jc w:val="left"/>
            </w:pPr>
            <w:r>
              <w:rPr>
                <w:b w:val="false"/>
                <w:bCs w:val="false"/>
              </w:rPr>
              <w:t xml:space="preserve">Faible à moyen</w:t>
            </w:r>
          </w:p>
        </w:tc>
      </w:tr>
      <w:tr>
        <w:tc>
          <w:tcPr>
            <w:tcW w:type="dxa" w:w="3900"/>
            <w:shd w:fill="FFFFFF" w:val="clear"/>
            <w:tcMar>
              <w:top w:type="dxa" w:w="80"/>
              <w:left w:type="dxa" w:w="100"/>
              <w:bottom w:type="dxa" w:w="80"/>
              <w:right w:type="dxa" w:w="100"/>
            </w:tcMar>
          </w:tcPr>
          <w:p>
            <w:pPr>
              <w:jc w:val="left"/>
            </w:pPr>
            <w:r>
              <w:rPr>
                <w:b w:val="false"/>
                <w:bCs w:val="false"/>
              </w:rPr>
              <w:t xml:space="preserve">Ajouter une comparaison « ce mois vs mois précédent » sur le total des dépenses</w:t>
            </w:r>
          </w:p>
        </w:tc>
        <w:tc>
          <w:tcPr>
            <w:tcW w:type="dxa" w:w="3400"/>
            <w:shd w:fill="FFFFFF" w:val="clear"/>
            <w:tcMar>
              <w:top w:type="dxa" w:w="80"/>
              <w:left w:type="dxa" w:w="100"/>
              <w:bottom w:type="dxa" w:w="80"/>
              <w:right w:type="dxa" w:w="100"/>
            </w:tcMar>
          </w:tcPr>
          <w:p>
            <w:pPr>
              <w:jc w:val="left"/>
            </w:pPr>
            <w:r>
              <w:rPr>
                <w:b w:val="false"/>
                <w:bCs w:val="false"/>
              </w:rPr>
              <w:t xml:space="preserve">Détecter une dérive rapidement, dans l'esprit du principe balance/flux déjà appliqué ailleurs dans l'app</w:t>
            </w:r>
          </w:p>
        </w:tc>
        <w:tc>
          <w:tcPr>
            <w:tcW w:type="dxa" w:w="2200"/>
            <w:shd w:fill="FFFFFF" w:val="clear"/>
            <w:tcMar>
              <w:top w:type="dxa" w:w="80"/>
              <w:left w:type="dxa" w:w="100"/>
              <w:bottom w:type="dxa" w:w="80"/>
              <w:right w:type="dxa" w:w="100"/>
            </w:tcMar>
          </w:tcPr>
          <w:p>
            <w:pPr>
              <w:jc w:val="left"/>
            </w:pPr>
            <w:r>
              <w:rPr>
                <w:b w:val="false"/>
                <w:bCs w:val="false"/>
              </w:rPr>
              <w:t xml:space="preserve">Faible</w:t>
            </w:r>
          </w:p>
        </w:tc>
      </w:tr>
    </w:tbl>
    <w:p>
      <w:pPr>
        <w:pStyle w:val="Heading2"/>
        <w:spacing w:after="150" w:before="300"/>
      </w:pPr>
      <w:r>
        <w:t xml:space="preserve">4.2 Moyen terme — pilotage budgétaire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200"/>
      </w:tblGrid>
      <w:tr>
        <w:trPr>
          <w:tblHeader/>
        </w:trPr>
        <w:tc>
          <w:tcPr>
            <w:tcW w:type="dxa" w:w="3900"/>
            <w:shd w:fill="1F4E79" w:val="clear"/>
            <w:tcMar>
              <w:top w:type="dxa" w:w="80"/>
              <w:left w:type="dxa" w:w="100"/>
              <w:bottom w:type="dxa" w:w="80"/>
              <w:right w:type="dxa" w:w="100"/>
            </w:tcMar>
          </w:tcPr>
          <w:p>
            <w:pPr>
              <w:jc w:val="center"/>
            </w:pPr>
            <w:r>
              <w:rPr>
                <w:b/>
                <w:bCs/>
              </w:rPr>
              <w:t xml:space="preserve">Proposition</w:t>
            </w:r>
          </w:p>
        </w:tc>
        <w:tc>
          <w:tcPr>
            <w:tcW w:type="dxa" w:w="3400"/>
            <w:shd w:fill="1F4E79" w:val="clear"/>
            <w:tcMar>
              <w:top w:type="dxa" w:w="80"/>
              <w:left w:type="dxa" w:w="100"/>
              <w:bottom w:type="dxa" w:w="80"/>
              <w:right w:type="dxa" w:w="100"/>
            </w:tcMar>
          </w:tcPr>
          <w:p>
            <w:pPr>
              <w:jc w:val="center"/>
            </w:pPr>
            <w:r>
              <w:rPr>
                <w:b/>
                <w:bCs/>
              </w:rPr>
              <w:t xml:space="preserve">Bénéfice attendu</w:t>
            </w:r>
          </w:p>
        </w:tc>
        <w:tc>
          <w:tcPr>
            <w:tcW w:type="dxa" w:w="2200"/>
            <w:shd w:fill="1F4E79" w:val="clear"/>
            <w:tcMar>
              <w:top w:type="dxa" w:w="80"/>
              <w:left w:type="dxa" w:w="100"/>
              <w:bottom w:type="dxa" w:w="80"/>
              <w:right w:type="dxa" w:w="100"/>
            </w:tcMar>
          </w:tcPr>
          <w:p>
            <w:pPr>
              <w:jc w:val="center"/>
            </w:pPr>
            <w:r>
              <w:rPr>
                <w:b/>
                <w:bCs/>
              </w:rPr>
              <w:t xml:space="preserve">Effort</w:t>
            </w:r>
          </w:p>
        </w:tc>
      </w:tr>
      <w:tr>
        <w:tc>
          <w:tcPr>
            <w:tcW w:type="dxa" w:w="3900"/>
            <w:shd w:fill="F7FAFC" w:val="clear"/>
            <w:tcMar>
              <w:top w:type="dxa" w:w="80"/>
              <w:left w:type="dxa" w:w="100"/>
              <w:bottom w:type="dxa" w:w="80"/>
              <w:right w:type="dxa" w:w="100"/>
            </w:tcMar>
          </w:tcPr>
          <w:p>
            <w:pPr>
              <w:jc w:val="left"/>
            </w:pPr>
            <w:r>
              <w:rPr>
                <w:b w:val="false"/>
                <w:bCs w:val="false"/>
              </w:rPr>
              <w:t xml:space="preserve">Introduire un budget mensuel par catégorie (champ configurable dans les paramètres) avec alerte visuelle en cas de dépassement</w:t>
            </w:r>
          </w:p>
        </w:tc>
        <w:tc>
          <w:tcPr>
            <w:tcW w:type="dxa" w:w="3400"/>
            <w:shd w:fill="F7FAFC" w:val="clear"/>
            <w:tcMar>
              <w:top w:type="dxa" w:w="80"/>
              <w:left w:type="dxa" w:w="100"/>
              <w:bottom w:type="dxa" w:w="80"/>
              <w:right w:type="dxa" w:w="100"/>
            </w:tcMar>
          </w:tcPr>
          <w:p>
            <w:pPr>
              <w:jc w:val="left"/>
            </w:pPr>
            <w:r>
              <w:rPr>
                <w:b w:val="false"/>
                <w:bCs w:val="false"/>
              </w:rPr>
              <w:t xml:space="preserve">Anticiper les dérives au lieu de les constater a posteriori</w:t>
            </w:r>
          </w:p>
        </w:tc>
        <w:tc>
          <w:tcPr>
            <w:tcW w:type="dxa" w:w="2200"/>
            <w:shd w:fill="F7FAFC" w:val="clear"/>
            <w:tcMar>
              <w:top w:type="dxa" w:w="80"/>
              <w:left w:type="dxa" w:w="100"/>
              <w:bottom w:type="dxa" w:w="80"/>
              <w:right w:type="dxa" w:w="100"/>
            </w:tcMar>
          </w:tcPr>
          <w:p>
            <w:pPr>
              <w:jc w:val="left"/>
            </w:pPr>
            <w:r>
              <w:rPr>
                <w:b w:val="false"/>
                <w:bCs w:val="false"/>
              </w:rPr>
              <w:t xml:space="preserve">Moyen</w:t>
            </w:r>
          </w:p>
        </w:tc>
      </w:tr>
      <w:tr>
        <w:tc>
          <w:tcPr>
            <w:tcW w:type="dxa" w:w="3900"/>
            <w:shd w:fill="FFFFFF" w:val="clear"/>
            <w:tcMar>
              <w:top w:type="dxa" w:w="80"/>
              <w:left w:type="dxa" w:w="100"/>
              <w:bottom w:type="dxa" w:w="80"/>
              <w:right w:type="dxa" w:w="100"/>
            </w:tcMar>
          </w:tcPr>
          <w:p>
            <w:pPr>
              <w:jc w:val="left"/>
            </w:pPr>
            <w:r>
              <w:rPr>
                <w:b w:val="false"/>
                <w:bCs w:val="false"/>
              </w:rPr>
              <w:t xml:space="preserve">Ajouter un mécanisme de dépense récurrente (loyer, abonnements) qui génère automatiquement l'écriture chaque mois</w:t>
            </w:r>
          </w:p>
        </w:tc>
        <w:tc>
          <w:tcPr>
            <w:tcW w:type="dxa" w:w="3400"/>
            <w:shd w:fill="FFFFFF" w:val="clear"/>
            <w:tcMar>
              <w:top w:type="dxa" w:w="80"/>
              <w:left w:type="dxa" w:w="100"/>
              <w:bottom w:type="dxa" w:w="80"/>
              <w:right w:type="dxa" w:w="100"/>
            </w:tcMar>
          </w:tcPr>
          <w:p>
            <w:pPr>
              <w:jc w:val="left"/>
            </w:pPr>
            <w:r>
              <w:rPr>
                <w:b w:val="false"/>
                <w:bCs w:val="false"/>
              </w:rPr>
              <w:t xml:space="preserve">Fiabiliser les charges fixes et réduire la saisie manuelle</w:t>
            </w:r>
          </w:p>
        </w:tc>
        <w:tc>
          <w:tcPr>
            <w:tcW w:type="dxa" w:w="2200"/>
            <w:shd w:fill="FFFFFF" w:val="clear"/>
            <w:tcMar>
              <w:top w:type="dxa" w:w="80"/>
              <w:left w:type="dxa" w:w="100"/>
              <w:bottom w:type="dxa" w:w="80"/>
              <w:right w:type="dxa" w:w="100"/>
            </w:tcMar>
          </w:tcPr>
          <w:p>
            <w:pPr>
              <w:jc w:val="left"/>
            </w:pPr>
            <w:r>
              <w:rPr>
                <w:b w:val="false"/>
                <w:bCs w:val="false"/>
              </w:rPr>
              <w:t xml:space="preserve">Moyen</w:t>
            </w:r>
          </w:p>
        </w:tc>
      </w:tr>
      <w:tr>
        <w:tc>
          <w:tcPr>
            <w:tcW w:type="dxa" w:w="3900"/>
            <w:shd w:fill="F7FAFC" w:val="clear"/>
            <w:tcMar>
              <w:top w:type="dxa" w:w="80"/>
              <w:left w:type="dxa" w:w="100"/>
              <w:bottom w:type="dxa" w:w="80"/>
              <w:right w:type="dxa" w:w="100"/>
            </w:tcMar>
          </w:tcPr>
          <w:p>
            <w:pPr>
              <w:jc w:val="left"/>
            </w:pPr>
            <w:r>
              <w:rPr>
                <w:b w:val="false"/>
                <w:bCs w:val="false"/>
              </w:rPr>
              <w:t xml:space="preserve">Rendre les catégories administrables (écran de gestion dans Paramètres) au lieu d'une liste codée en dur</w:t>
            </w:r>
          </w:p>
        </w:tc>
        <w:tc>
          <w:tcPr>
            <w:tcW w:type="dxa" w:w="3400"/>
            <w:shd w:fill="F7FAFC" w:val="clear"/>
            <w:tcMar>
              <w:top w:type="dxa" w:w="80"/>
              <w:left w:type="dxa" w:w="100"/>
              <w:bottom w:type="dxa" w:w="80"/>
              <w:right w:type="dxa" w:w="100"/>
            </w:tcMar>
          </w:tcPr>
          <w:p>
            <w:pPr>
              <w:jc w:val="left"/>
            </w:pPr>
            <w:r>
              <w:rPr>
                <w:b w:val="false"/>
                <w:bCs w:val="false"/>
              </w:rPr>
              <w:t xml:space="preserve">Faire évoluer les catégories sans intervention technique, garder le mapping comptable synchronisé</w:t>
            </w:r>
          </w:p>
        </w:tc>
        <w:tc>
          <w:tcPr>
            <w:tcW w:type="dxa" w:w="2200"/>
            <w:shd w:fill="F7FAFC" w:val="clear"/>
            <w:tcMar>
              <w:top w:type="dxa" w:w="80"/>
              <w:left w:type="dxa" w:w="100"/>
              <w:bottom w:type="dxa" w:w="80"/>
              <w:right w:type="dxa" w:w="100"/>
            </w:tcMar>
          </w:tcPr>
          <w:p>
            <w:pPr>
              <w:jc w:val="left"/>
            </w:pPr>
            <w:r>
              <w:rPr>
                <w:b w:val="false"/>
                <w:bCs w:val="false"/>
              </w:rPr>
              <w:t xml:space="preserve">Moyen</w:t>
            </w:r>
          </w:p>
        </w:tc>
      </w:tr>
      <w:tr>
        <w:tc>
          <w:tcPr>
            <w:tcW w:type="dxa" w:w="3900"/>
            <w:shd w:fill="FFFFFF" w:val="clear"/>
            <w:tcMar>
              <w:top w:type="dxa" w:w="80"/>
              <w:left w:type="dxa" w:w="100"/>
              <w:bottom w:type="dxa" w:w="80"/>
              <w:right w:type="dxa" w:w="100"/>
            </w:tcMar>
          </w:tcPr>
          <w:p>
            <w:pPr>
              <w:jc w:val="left"/>
            </w:pPr>
            <w:r>
              <w:rPr>
                <w:b w:val="false"/>
                <w:bCs w:val="false"/>
              </w:rPr>
              <w:t xml:space="preserve">Ajouter un seuil d'approbation pour les dépenses au-delà d'un montant donné, en réutilisant le mécanisme déjà existant dans ApprobationsSection</w:t>
            </w:r>
          </w:p>
        </w:tc>
        <w:tc>
          <w:tcPr>
            <w:tcW w:type="dxa" w:w="3400"/>
            <w:shd w:fill="FFFFFF" w:val="clear"/>
            <w:tcMar>
              <w:top w:type="dxa" w:w="80"/>
              <w:left w:type="dxa" w:w="100"/>
              <w:bottom w:type="dxa" w:w="80"/>
              <w:right w:type="dxa" w:w="100"/>
            </w:tcMar>
          </w:tcPr>
          <w:p>
            <w:pPr>
              <w:jc w:val="left"/>
            </w:pPr>
            <w:r>
              <w:rPr>
                <w:b w:val="false"/>
                <w:bCs w:val="false"/>
              </w:rPr>
              <w:t xml:space="preserve">Double contrôle sur les dépenses importantes, cohérent avec ce qui existe déjà pour les ventes à crédit</w:t>
            </w:r>
          </w:p>
        </w:tc>
        <w:tc>
          <w:tcPr>
            <w:tcW w:type="dxa" w:w="2200"/>
            <w:shd w:fill="FFFFFF" w:val="clear"/>
            <w:tcMar>
              <w:top w:type="dxa" w:w="80"/>
              <w:left w:type="dxa" w:w="100"/>
              <w:bottom w:type="dxa" w:w="80"/>
              <w:right w:type="dxa" w:w="100"/>
            </w:tcMar>
          </w:tcPr>
          <w:p>
            <w:pPr>
              <w:jc w:val="left"/>
            </w:pPr>
            <w:r>
              <w:rPr>
                <w:b w:val="false"/>
                <w:bCs w:val="false"/>
              </w:rPr>
              <w:t xml:space="preserve">Moyen</w:t>
            </w:r>
          </w:p>
        </w:tc>
      </w:tr>
    </w:tbl>
    <w:p>
      <w:pPr>
        <w:pStyle w:val="Heading2"/>
        <w:spacing w:after="150" w:before="300"/>
      </w:pPr>
      <w:r>
        <w:t xml:space="preserve">4.3 Plus structurant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200"/>
      </w:tblGrid>
      <w:tr>
        <w:trPr>
          <w:tblHeader/>
        </w:trPr>
        <w:tc>
          <w:tcPr>
            <w:tcW w:type="dxa" w:w="3900"/>
            <w:shd w:fill="1F4E79" w:val="clear"/>
            <w:tcMar>
              <w:top w:type="dxa" w:w="80"/>
              <w:left w:type="dxa" w:w="100"/>
              <w:bottom w:type="dxa" w:w="80"/>
              <w:right w:type="dxa" w:w="100"/>
            </w:tcMar>
          </w:tcPr>
          <w:p>
            <w:pPr>
              <w:jc w:val="center"/>
            </w:pPr>
            <w:r>
              <w:rPr>
                <w:b/>
                <w:bCs/>
              </w:rPr>
              <w:t xml:space="preserve">Proposition</w:t>
            </w:r>
          </w:p>
        </w:tc>
        <w:tc>
          <w:tcPr>
            <w:tcW w:type="dxa" w:w="3400"/>
            <w:shd w:fill="1F4E79" w:val="clear"/>
            <w:tcMar>
              <w:top w:type="dxa" w:w="80"/>
              <w:left w:type="dxa" w:w="100"/>
              <w:bottom w:type="dxa" w:w="80"/>
              <w:right w:type="dxa" w:w="100"/>
            </w:tcMar>
          </w:tcPr>
          <w:p>
            <w:pPr>
              <w:jc w:val="center"/>
            </w:pPr>
            <w:r>
              <w:rPr>
                <w:b/>
                <w:bCs/>
              </w:rPr>
              <w:t xml:space="preserve">Bénéfice attendu</w:t>
            </w:r>
          </w:p>
        </w:tc>
        <w:tc>
          <w:tcPr>
            <w:tcW w:type="dxa" w:w="2200"/>
            <w:shd w:fill="1F4E79" w:val="clear"/>
            <w:tcMar>
              <w:top w:type="dxa" w:w="80"/>
              <w:left w:type="dxa" w:w="100"/>
              <w:bottom w:type="dxa" w:w="80"/>
              <w:right w:type="dxa" w:w="100"/>
            </w:tcMar>
          </w:tcPr>
          <w:p>
            <w:pPr>
              <w:jc w:val="center"/>
            </w:pPr>
            <w:r>
              <w:rPr>
                <w:b/>
                <w:bCs/>
              </w:rPr>
              <w:t xml:space="preserve">Effort</w:t>
            </w:r>
          </w:p>
        </w:tc>
      </w:tr>
      <w:tr>
        <w:tc>
          <w:tcPr>
            <w:tcW w:type="dxa" w:w="3900"/>
            <w:shd w:fill="F7FAFC" w:val="clear"/>
            <w:tcMar>
              <w:top w:type="dxa" w:w="80"/>
              <w:left w:type="dxa" w:w="100"/>
              <w:bottom w:type="dxa" w:w="80"/>
              <w:right w:type="dxa" w:w="100"/>
            </w:tcMar>
          </w:tcPr>
          <w:p>
            <w:pPr>
              <w:jc w:val="left"/>
            </w:pPr>
            <w:r>
              <w:rPr>
                <w:b w:val="false"/>
                <w:bCs w:val="false"/>
              </w:rPr>
              <w:t xml:space="preserve">Justificatif numérisé (photo/PDF de facture attaché à la dépense, stocké sur Cloud Storage)</w:t>
            </w:r>
          </w:p>
        </w:tc>
        <w:tc>
          <w:tcPr>
            <w:tcW w:type="dxa" w:w="3400"/>
            <w:shd w:fill="F7FAFC" w:val="clear"/>
            <w:tcMar>
              <w:top w:type="dxa" w:w="80"/>
              <w:left w:type="dxa" w:w="100"/>
              <w:bottom w:type="dxa" w:w="80"/>
              <w:right w:type="dxa" w:w="100"/>
            </w:tcMar>
          </w:tcPr>
          <w:p>
            <w:pPr>
              <w:jc w:val="left"/>
            </w:pPr>
            <w:r>
              <w:rPr>
                <w:b w:val="false"/>
                <w:bCs w:val="false"/>
              </w:rPr>
              <w:t xml:space="preserve">Traçabilité complète, utile en cas de contrôle fiscal ou d'audit interne</w:t>
            </w:r>
          </w:p>
        </w:tc>
        <w:tc>
          <w:tcPr>
            <w:tcW w:type="dxa" w:w="2200"/>
            <w:shd w:fill="F7FAFC" w:val="clear"/>
            <w:tcMar>
              <w:top w:type="dxa" w:w="80"/>
              <w:left w:type="dxa" w:w="100"/>
              <w:bottom w:type="dxa" w:w="80"/>
              <w:right w:type="dxa" w:w="100"/>
            </w:tcMar>
          </w:tcPr>
          <w:p>
            <w:pPr>
              <w:jc w:val="left"/>
            </w:pPr>
            <w:r>
              <w:rPr>
                <w:b w:val="false"/>
                <w:bCs w:val="false"/>
              </w:rPr>
              <w:t xml:space="preserve">Élevé</w:t>
            </w:r>
          </w:p>
        </w:tc>
      </w:tr>
      <w:tr>
        <w:tc>
          <w:tcPr>
            <w:tcW w:type="dxa" w:w="3900"/>
            <w:shd w:fill="FFFFFF" w:val="clear"/>
            <w:tcMar>
              <w:top w:type="dxa" w:w="80"/>
              <w:left w:type="dxa" w:w="100"/>
              <w:bottom w:type="dxa" w:w="80"/>
              <w:right w:type="dxa" w:w="100"/>
            </w:tcMar>
          </w:tcPr>
          <w:p>
            <w:pPr>
              <w:jc w:val="left"/>
            </w:pPr>
            <w:r>
              <w:rPr>
                <w:b w:val="false"/>
                <w:bCs w:val="false"/>
              </w:rPr>
              <w:t xml:space="preserve">Corriger l'incohérence de rôle « lecteur » (accès en écriture visible mais refusé silencieusement) : soit retirer le bouton de création pour ce rôle, soit afficher une erreur explicite en cas d'échec de synchronisation</w:t>
            </w:r>
          </w:p>
        </w:tc>
        <w:tc>
          <w:tcPr>
            <w:tcW w:type="dxa" w:w="3400"/>
            <w:shd w:fill="FFFFFF" w:val="clear"/>
            <w:tcMar>
              <w:top w:type="dxa" w:w="80"/>
              <w:left w:type="dxa" w:w="100"/>
              <w:bottom w:type="dxa" w:w="80"/>
              <w:right w:type="dxa" w:w="100"/>
            </w:tcMar>
          </w:tcPr>
          <w:p>
            <w:pPr>
              <w:jc w:val="left"/>
            </w:pPr>
            <w:r>
              <w:rPr>
                <w:b w:val="false"/>
                <w:bCs w:val="false"/>
              </w:rPr>
              <w:t xml:space="preserve">Éviter la perte de saisie non signalée, cohérent avec la remarque déjà documentée dans CLAUDE.md sur les échecs de sync silencieux</w:t>
            </w:r>
          </w:p>
        </w:tc>
        <w:tc>
          <w:tcPr>
            <w:tcW w:type="dxa" w:w="2200"/>
            <w:shd w:fill="FFFFFF" w:val="clear"/>
            <w:tcMar>
              <w:top w:type="dxa" w:w="80"/>
              <w:left w:type="dxa" w:w="100"/>
              <w:bottom w:type="dxa" w:w="80"/>
              <w:right w:type="dxa" w:w="100"/>
            </w:tcMar>
          </w:tcPr>
          <w:p>
            <w:pPr>
              <w:jc w:val="left"/>
            </w:pPr>
            <w:r>
              <w:rPr>
                <w:b w:val="false"/>
                <w:bCs w:val="false"/>
              </w:rPr>
              <w:t xml:space="preserve">Faible (UI) mais nécessite une décision produit</w:t>
            </w:r>
          </w:p>
        </w:tc>
      </w:tr>
      <w:tr>
        <w:tc>
          <w:tcPr>
            <w:tcW w:type="dxa" w:w="3900"/>
            <w:shd w:fill="F7FAFC" w:val="clear"/>
            <w:tcMar>
              <w:top w:type="dxa" w:w="80"/>
              <w:left w:type="dxa" w:w="100"/>
              <w:bottom w:type="dxa" w:w="80"/>
              <w:right w:type="dxa" w:w="100"/>
            </w:tcMar>
          </w:tcPr>
          <w:p>
            <w:pPr>
              <w:jc w:val="left"/>
            </w:pPr>
            <w:r>
              <w:rPr>
                <w:b w:val="false"/>
                <w:bCs w:val="false"/>
              </w:rPr>
              <w:t xml:space="preserve">Export périodique des données Firestore de dépenses pour analyse chiffrée réelle (répartition, tendances, comparaison budget/réel)</w:t>
            </w:r>
          </w:p>
        </w:tc>
        <w:tc>
          <w:tcPr>
            <w:tcW w:type="dxa" w:w="3400"/>
            <w:shd w:fill="F7FAFC" w:val="clear"/>
            <w:tcMar>
              <w:top w:type="dxa" w:w="80"/>
              <w:left w:type="dxa" w:w="100"/>
              <w:bottom w:type="dxa" w:w="80"/>
              <w:right w:type="dxa" w:w="100"/>
            </w:tcMar>
          </w:tcPr>
          <w:p>
            <w:pPr>
              <w:jc w:val="left"/>
            </w:pPr>
            <w:r>
              <w:rPr>
                <w:b w:val="false"/>
                <w:bCs w:val="false"/>
              </w:rPr>
              <w:t xml:space="preserve">Permet enfin une étude chiffrée réelle des dépenses de l'entreprise, actuellement impossible faute de données exportées</w:t>
            </w:r>
          </w:p>
        </w:tc>
        <w:tc>
          <w:tcPr>
            <w:tcW w:type="dxa" w:w="2200"/>
            <w:shd w:fill="F7FAFC" w:val="clear"/>
            <w:tcMar>
              <w:top w:type="dxa" w:w="80"/>
              <w:left w:type="dxa" w:w="100"/>
              <w:bottom w:type="dxa" w:w="80"/>
              <w:right w:type="dxa" w:w="100"/>
            </w:tcMar>
          </w:tcPr>
          <w:p>
            <w:pPr>
              <w:jc w:val="left"/>
            </w:pPr>
            <w:r>
              <w:rPr>
                <w:b w:val="false"/>
                <w:bCs w:val="false"/>
              </w:rPr>
              <w:t xml:space="preserve">Faible à moyen</w:t>
            </w:r>
          </w:p>
        </w:tc>
      </w:tr>
    </w:tbl>
    <w:p>
      <w:pPr>
        <w:pStyle w:val="Heading1"/>
        <w:spacing w:after="200" w:before="400"/>
      </w:pPr>
      <w:r>
        <w:t xml:space="preserve">5. Prochaine étape recommandée</w:t>
      </w:r>
    </w:p>
    <w:p>
      <w:pPr>
        <w:spacing w:after="150"/>
      </w:pPr>
      <w:r>
        <w:t xml:space="preserve">Cette étude porte sur le système, pas encore sur les montants réels. Pour aller plus loin avec une analyse chiffrée (postes les plus coûteux, tendance sur 6-12 mois, écart entre catégories), il faudrait :</w:t>
      </w:r>
    </w:p>
    <w:p>
      <w:pPr>
        <w:pStyle w:val="ListParagraph"/>
        <w:numPr>
          <w:ilvl w:val="0"/>
          <w:numId w:val="2"/>
        </w:numPr>
        <w:spacing w:after="80"/>
      </w:pPr>
      <w:r>
        <w:t xml:space="preserve">Exporter la collection Firestore « depenses » (ou utiliser l'export Excel déjà présent dans BackupsSection) sur la période souhaitée</w:t>
      </w:r>
    </w:p>
    <w:p>
      <w:pPr>
        <w:pStyle w:val="ListParagraph"/>
        <w:numPr>
          <w:ilvl w:val="0"/>
          <w:numId w:val="2"/>
        </w:numPr>
        <w:spacing w:after="80"/>
      </w:pPr>
      <w:r>
        <w:t xml:space="preserve">Me fournir ce fichier, ou me donner un accès en lecture au projet Firebase pour requêter directement les données</w:t>
      </w:r>
    </w:p>
    <w:p>
      <w:pPr>
        <w:spacing w:after="150"/>
      </w:pPr>
      <w:r>
        <w:t xml:space="preserve">Je peux alors produire une deuxième étude, chiffrée cette fois, avec répartition par catégorie, évolution mensuelle et recommandations de réduction de coûts basées sur les postes réels de l'entreprise.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lvl w:ilvl="1" w15:tentative="1">
      <w:start w:val="1"/>
      <w:numFmt w:val="bullet"/>
      <w:lvlText w:val="◦"/>
      <w:lvlJc w:val="left"/>
      <w:pPr>
        <w:ind w:left="8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2026-08-08T02:18:49.246Z</dcterms:created>
  <dcterms:modified xsi:type="dcterms:W3CDTF">2026-08-08T02:18:49.246Z</dcterms:modified>
</cp:coreProperties>
</file>

<file path=docProps/custom.xml><?xml version="1.0" encoding="utf-8"?>
<Properties xmlns="http://schemas.openxmlformats.org/officeDocument/2006/custom-properties" xmlns:vt="http://schemas.openxmlformats.org/officeDocument/2006/docPropsVTypes"/>
</file>