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85FA5"/>
          <w:sz w:val="44"/>
          <w:szCs w:val="44"/>
        </w:rPr>
        <w:t xml:space="preserve">MA2F AquaSachet</w:t>
      </w:r>
    </w:p>
    <w:p>
      <w:pPr>
        <w:spacing w:after="40"/>
      </w:pPr>
      <w:r>
        <w:rPr>
          <w:b/>
          <w:bCs/>
          <w:color w:val="1E293B"/>
          <w:sz w:val="30"/>
          <w:szCs w:val="30"/>
        </w:rPr>
        <w:t xml:space="preserve">Stratégie &amp; conseil — mise à jour Août 2026</w:t>
      </w:r>
    </w:p>
    <w:p>
      <w:pPr>
        <w:pBdr>
          <w:bottom w:val="single" w:color="185FA5" w:sz="6" w:space="8"/>
        </w:pBdr>
        <w:spacing w:after="300"/>
      </w:pPr>
      <w:r>
        <w:rPr>
          <w:i/>
          <w:iCs/>
          <w:color w:val="64748B"/>
          <w:sz w:val="20"/>
          <w:szCs w:val="20"/>
        </w:rPr>
        <w:t xml:space="preserve">Dakar, Sénégal — 20 août 2026</w:t>
      </w:r>
    </w:p>
    <w:p>
      <w:pPr>
        <w:pStyle w:val="Heading1"/>
        <w:spacing w:after="160" w:before="320"/>
      </w:pPr>
      <w:r>
        <w:t xml:space="preserve">Résumé exécutif</w:t>
      </w:r>
    </w:p>
    <w:p>
      <w:pPr>
        <w:spacing w:after="160"/>
        <w:jc w:val="both"/>
      </w:pPr>
      <w:r>
        <w:t xml:space="preserve">En trois semaines (fin juillet – mi-août 2026), l'outil de gestion de MA2F a été profondément transformé : fiabilisation de la synchronisation des données, nouveau module de prise de commandes avec dispatching automatique des tournées, système de primes sur objectifs pour l'équipe commerciale, paiement mobile Wave, et rubrique Employés pour la paie. Ces évolutions techniques ont une portée stratégique réelle — elles retirent trois freins concrets à la croissance : la capacité logistique, le pilotage de l'équipe terrain, et la friction sur les encaissements.</w:t>
      </w:r>
    </w:p>
    <w:p>
      <w:pPr>
        <w:spacing w:after="160"/>
        <w:jc w:val="both"/>
      </w:pPr>
      <w:r>
        <w:t xml:space="preserve">Mais deux correctifs déjà écrits pour protéger les données de l'entreprise (la sauvegarde cloud et l'attribution des droits d'accès) ne sont pas encore mis en service. C'est le point le plus urgent à traiter avant toute autre priorité : tant qu'ils ne sont pas déployés, la sauvegarde quotidienne reste largement illusoire. Ce document propose une lecture business de ces évolutions et un plan d'action priorisé.</w:t>
      </w:r>
    </w:p>
    <w:p>
      <w:pPr>
        <w:pStyle w:val="Heading1"/>
        <w:spacing w:after="160" w:before="320"/>
      </w:pPr>
      <w:r>
        <w:t xml:space="preserve">1. Où en est MA2F aujourd'hui</w:t>
      </w:r>
    </w:p>
    <w:p>
      <w:pPr>
        <w:spacing w:after="160"/>
        <w:jc w:val="both"/>
      </w:pPr>
      <w:r>
        <w:t xml:space="preserve">MA2F produit et vend des sachets d'eau à Keur Massar (Dakar), pour un volume actuel d'environ 3 000 packs par mois. L'équipe commerciale compte 6 commerciaux, appuyés par des livreurs, avec une commission de 50 FCFA par pack collecté. L'activité est pilotée au quotidien via l'application web MA2F AquaSachet (Firebase), utilisée par les commerciaux, les caissiers et l'administration pour les ventes, la production, les clients, la caisse, les créances, le stock, les véhicules et désormais la paie.</w:t>
      </w:r>
    </w:p>
    <w:p>
      <w:pPr>
        <w:pStyle w:val="Heading1"/>
        <w:spacing w:after="160" w:before="320"/>
      </w:pPr>
      <w:r>
        <w:t xml:space="preserve">2. Ce qui a évolué — les nouveaux éléments</w:t>
      </w:r>
    </w:p>
    <w:p>
      <w:pPr>
        <w:spacing w:after="160"/>
        <w:jc w:val="both"/>
      </w:pPr>
      <w:r>
        <w:t xml:space="preserve">Quatre chantiers menés depuis fin juillet 2026 changent ce que l'outil permet de faire :</w:t>
      </w:r>
    </w:p>
    <w:p>
      <w:pPr>
        <w:pStyle w:val="Heading2"/>
        <w:spacing w:after="100" w:before="240"/>
      </w:pPr>
      <w:r>
        <w:t xml:space="preserve">a) Fiabilité des données</w:t>
      </w:r>
    </w:p>
    <w:p>
      <w:pPr>
        <w:spacing w:after="160"/>
        <w:jc w:val="both"/>
      </w:pPr>
      <w:r>
        <w:t xml:space="preserve">Plusieurs bugs critiques de synchronisation ont provoqué des pertes silencieuses de données (clients, livraisons, commandes) ces dernières semaines. Ils ont été identifiés et corrigés dans le code. C'est une évolution défensive indispensable : sans données fiables, aucune décision commerciale prise à partir de l'app n'est fiable non plus.</w:t>
      </w:r>
    </w:p>
    <w:p>
      <w:pPr>
        <w:pStyle w:val="Heading2"/>
        <w:spacing w:after="100" w:before="240"/>
      </w:pPr>
      <w:r>
        <w:t xml:space="preserve">b) Prise de commandes &amp; logistique</w:t>
      </w:r>
    </w:p>
    <w:p>
      <w:pPr>
        <w:spacing w:after="160"/>
        <w:jc w:val="both"/>
      </w:pPr>
      <w:r>
        <w:t xml:space="preserve">Nouveau module « Commandes » qui capte un appel client avant la vente, avec un suivi de statut (en attente → assignée → en livraison → livrée) et un dispatching automatique des tournées par zone — affiné depuis le 15 août avec un calcul d'itinéraire réel (Google Maps), et un suivi des retards de livraison. C'est un changement structurant : MA2F passe d'un mode « vente puis organisation » à un mode où la logistique peut être planifiée et mesurée avant même que le camion ne parte.</w:t>
      </w:r>
    </w:p>
    <w:p>
      <w:pPr>
        <w:pStyle w:val="Heading2"/>
        <w:spacing w:after="100" w:before="240"/>
      </w:pPr>
      <w:r>
        <w:t xml:space="preserve">c) Pilotage de l'équipe</w:t>
      </w:r>
    </w:p>
    <w:p>
      <w:pPr>
        <w:spacing w:after="160"/>
        <w:jc w:val="both"/>
      </w:pPr>
      <w:r>
        <w:t xml:space="preserve">Module Objectifs &amp; primes (barème de primes progressif par palier d'objectif, pour commerciaux et livreurs) et nouvelle rubrique Employés pour formaliser la paie — auparavant, un simple champ de texte libre servait à identifier qui était payé, rendant tout récapitulatif de salaires peu fiable. Deux briques qui donnent un vrai levier de pilotage de l'équipe, au-delà du seul salaire fixe.</w:t>
      </w:r>
    </w:p>
    <w:p>
      <w:pPr>
        <w:pStyle w:val="Heading2"/>
        <w:spacing w:after="100" w:before="240"/>
      </w:pPr>
      <w:r>
        <w:t xml:space="preserve">d) Paiement et sauvegarde</w:t>
      </w:r>
    </w:p>
    <w:p>
      <w:pPr>
        <w:spacing w:after="160"/>
        <w:jc w:val="both"/>
      </w:pPr>
      <w:r>
        <w:t xml:space="preserve">Intégration du paiement mobile Wave, qui permet l'encaissement à distance des créances sans manipulation d'espèces, et mise en place d'une sauvegarde cloud quotidienne. Ce dernier point mérite un bémol important : un bug faisait que la sauvegarde tournait « avec succès » chaque jour depuis des mois sans réellement sauvegarder les ventes, la production, les dépenses, les clients ni les livraisons — seuls les paramètres généraux étaient sauvegardés. Le correctif existe dans le code mais n'est pas encore mis en service (voir section 4).</w:t>
      </w:r>
    </w:p>
    <w:p>
      <w:pPr>
        <w:pStyle w:val="Heading1"/>
        <w:spacing w:after="160" w:before="320"/>
      </w:pPr>
      <w:r>
        <w:t xml:space="preserve">3. Ce que cela change stratégiquement</w:t>
      </w:r>
    </w:p>
    <w:p>
      <w:pPr>
        <w:spacing w:after="160"/>
        <w:jc w:val="both"/>
      </w:pPr>
      <w:r>
        <w:t xml:space="preserve">Ensemble, ces évolutions retirent trois freins concrets à la croissance de MA2F : la capacité logistique (le dispatching peut absorber davantage de commandes sans que l'organisation des tournées ne devienne le facteur limitant), la motivation et la structuration de l'équipe terrain (primes sur objectifs, paie formalisée), et la friction sur les encaissements (paiement mobile). Cela ouvre la possibilité d'envisager sérieusement une extension des zones de livraison ou du volume de commandes, sans que l'outil de gestion soit lui-même le goulot d'étranglement.</w:t>
      </w:r>
    </w:p>
    <w:p>
      <w:pPr>
        <w:spacing w:after="160"/>
        <w:jc w:val="both"/>
      </w:pPr>
      <w:r>
        <w:t xml:space="preserve">Ce potentiel reste toutefois conditionné à la résolution des risques ci-dessous : à volume plus élevé, un problème de données ou de droits d'accès coûterait beaucoup plus cher qu'aujourd'hui.</w:t>
      </w:r>
    </w:p>
    <w:p>
      <w:pPr>
        <w:pStyle w:val="Heading1"/>
        <w:spacing w:after="160" w:before="320"/>
      </w:pPr>
      <w:r>
        <w:t xml:space="preserve">4. Risques à traiter avant de continuer à croître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800"/>
      </w:tblGrid>
      <w:tr>
        <w:trPr>
          <w:tblHeader/>
        </w:trPr>
        <w:tc>
          <w:tcPr>
            <w:tcW w:type="dxa" w:w="2000"/>
            <w:shd w:fill="185FA5" w:val="clear"/>
            <w:tcMar>
              <w:top w:type="dxa" w:w="100"/>
              <w:left w:type="dxa" w:w="120"/>
              <w:bottom w:type="dxa" w:w="100"/>
              <w:right w:type="dxa" w:w="120"/>
            </w:tcMar>
          </w:tcPr>
          <w:p>
            <w:r>
              <w:rPr>
                <w:b/>
                <w:bCs/>
                <w:color w:val="FFFFFF"/>
                <w:sz w:val="20"/>
                <w:szCs w:val="20"/>
              </w:rPr>
              <w:t xml:space="preserve">Priorité</w:t>
            </w:r>
          </w:p>
        </w:tc>
        <w:tc>
          <w:tcPr>
            <w:tcW w:type="dxa" w:w="4200"/>
            <w:shd w:fill="185FA5" w:val="clear"/>
            <w:tcMar>
              <w:top w:type="dxa" w:w="100"/>
              <w:left w:type="dxa" w:w="120"/>
              <w:bottom w:type="dxa" w:w="100"/>
              <w:right w:type="dxa" w:w="120"/>
            </w:tcMar>
          </w:tcPr>
          <w:p>
            <w:r>
              <w:rPr>
                <w:b/>
                <w:bCs/>
                <w:color w:val="FFFFFF"/>
                <w:sz w:val="20"/>
                <w:szCs w:val="20"/>
              </w:rPr>
              <w:t xml:space="preserve">Risque</w:t>
            </w:r>
          </w:p>
        </w:tc>
        <w:tc>
          <w:tcPr>
            <w:tcW w:type="dxa" w:w="3800"/>
            <w:shd w:fill="185FA5" w:val="clear"/>
            <w:tcMar>
              <w:top w:type="dxa" w:w="100"/>
              <w:left w:type="dxa" w:w="120"/>
              <w:bottom w:type="dxa" w:w="100"/>
              <w:right w:type="dxa" w:w="120"/>
            </w:tcMar>
          </w:tcPr>
          <w:p>
            <w:r>
              <w:rPr>
                <w:b/>
                <w:bCs/>
                <w:color w:val="FFFFFF"/>
                <w:sz w:val="20"/>
                <w:szCs w:val="20"/>
              </w:rPr>
              <w:t xml:space="preserve">Pourquoi c'est important</w:t>
            </w:r>
          </w:p>
        </w:tc>
      </w:tr>
      <w:tr>
        <w:tc>
          <w:tcPr>
            <w:tcW w:type="dxa" w:w="2000"/>
            <w:tcMar>
              <w:top w:type="dxa" w:w="100"/>
              <w:left w:type="dxa" w:w="120"/>
              <w:bottom w:type="dxa" w:w="100"/>
              <w:right w:type="dxa" w:w="120"/>
            </w:tcMar>
          </w:tcPr>
          <w:p>
            <w:r>
              <w:rPr>
                <w:b w:val="false"/>
                <w:bCs w:val="false"/>
                <w:color w:val="1E293B"/>
                <w:sz w:val="20"/>
                <w:szCs w:val="20"/>
              </w:rPr>
              <w:t xml:space="preserve">Urgent — cette semaine</w:t>
            </w:r>
          </w:p>
        </w:tc>
        <w:tc>
          <w:tcPr>
            <w:tcW w:type="dxa" w:w="4200"/>
            <w:tcMar>
              <w:top w:type="dxa" w:w="100"/>
              <w:left w:type="dxa" w:w="120"/>
              <w:bottom w:type="dxa" w:w="100"/>
              <w:right w:type="dxa" w:w="120"/>
            </w:tcMar>
          </w:tcPr>
          <w:p>
            <w:r>
              <w:rPr>
                <w:b w:val="false"/>
                <w:bCs w:val="false"/>
                <w:color w:val="1E293B"/>
                <w:sz w:val="20"/>
                <w:szCs w:val="20"/>
              </w:rPr>
              <w:t xml:space="preserve">Deux correctifs déjà écrits ne sont pas déployés : (1) la sauvegarde cloud quasi vide depuis des mois, (2) un bug qui pouvait effacer silencieusement le rôle d'un utilisateur nouvellement créé.</w:t>
            </w:r>
          </w:p>
        </w:tc>
        <w:tc>
          <w:tcPr>
            <w:tcW w:type="dxa" w:w="3800"/>
            <w:tcMar>
              <w:top w:type="dxa" w:w="100"/>
              <w:left w:type="dxa" w:w="120"/>
              <w:bottom w:type="dxa" w:w="100"/>
              <w:right w:type="dxa" w:w="120"/>
            </w:tcMar>
          </w:tcPr>
          <w:p>
            <w:r>
              <w:rPr>
                <w:b w:val="false"/>
                <w:bCs w:val="false"/>
                <w:color w:val="1E293B"/>
                <w:sz w:val="20"/>
                <w:szCs w:val="20"/>
              </w:rPr>
              <w:t xml:space="preserve">Tant qu'ils ne sont pas déployés, la sauvegarde reste illusoire, et un nouveau compte (caissier, commercial) peut perdre ses droits d'écriture sans que personne ne le remarque.</w:t>
            </w:r>
          </w:p>
        </w:tc>
      </w:tr>
      <w:tr>
        <w:tc>
          <w:tcPr>
            <w:tcW w:type="dxa" w:w="2000"/>
            <w:tcMar>
              <w:top w:type="dxa" w:w="100"/>
              <w:left w:type="dxa" w:w="120"/>
              <w:bottom w:type="dxa" w:w="100"/>
              <w:right w:type="dxa" w:w="120"/>
            </w:tcMar>
          </w:tcPr>
          <w:p>
            <w:r>
              <w:rPr>
                <w:b w:val="false"/>
                <w:bCs w:val="false"/>
                <w:color w:val="1E293B"/>
                <w:sz w:val="20"/>
                <w:szCs w:val="20"/>
              </w:rPr>
              <w:t xml:space="preserve">Court terme — ce mois</w:t>
            </w:r>
          </w:p>
        </w:tc>
        <w:tc>
          <w:tcPr>
            <w:tcW w:type="dxa" w:w="4200"/>
            <w:tcMar>
              <w:top w:type="dxa" w:w="100"/>
              <w:left w:type="dxa" w:w="120"/>
              <w:bottom w:type="dxa" w:w="100"/>
              <w:right w:type="dxa" w:w="120"/>
            </w:tcMar>
          </w:tcPr>
          <w:p>
            <w:r>
              <w:rPr>
                <w:b w:val="false"/>
                <w:bCs w:val="false"/>
                <w:color w:val="1E293B"/>
                <w:sz w:val="20"/>
                <w:szCs w:val="20"/>
              </w:rPr>
              <w:t xml:space="preserve">Le module Dépenses n'a ni budget par catégorie, ni contrôle, ni possibilité de corriger une saisie erronée.</w:t>
            </w:r>
          </w:p>
        </w:tc>
        <w:tc>
          <w:tcPr>
            <w:tcW w:type="dxa" w:w="3800"/>
            <w:tcMar>
              <w:top w:type="dxa" w:w="100"/>
              <w:left w:type="dxa" w:w="120"/>
              <w:bottom w:type="dxa" w:w="100"/>
              <w:right w:type="dxa" w:w="120"/>
            </w:tcMar>
          </w:tcPr>
          <w:p>
            <w:r>
              <w:rPr>
                <w:b w:val="false"/>
                <w:bCs w:val="false"/>
                <w:color w:val="1E293B"/>
                <w:sz w:val="20"/>
                <w:szCs w:val="20"/>
              </w:rPr>
              <w:t xml:space="preserve">Impossible de détecter une dérive de charges avant qu'elle ne pèse sur le résultat — une étude dédiée existe déjà avec des correctifs rapides identifiés.</w:t>
            </w:r>
          </w:p>
        </w:tc>
      </w:tr>
      <w:tr>
        <w:tc>
          <w:tcPr>
            <w:tcW w:type="dxa" w:w="2000"/>
            <w:tcMar>
              <w:top w:type="dxa" w:w="100"/>
              <w:left w:type="dxa" w:w="120"/>
              <w:bottom w:type="dxa" w:w="100"/>
              <w:right w:type="dxa" w:w="120"/>
            </w:tcMar>
          </w:tcPr>
          <w:p>
            <w:r>
              <w:rPr>
                <w:b w:val="false"/>
                <w:bCs w:val="false"/>
                <w:color w:val="1E293B"/>
                <w:sz w:val="20"/>
                <w:szCs w:val="20"/>
              </w:rPr>
              <w:t xml:space="preserve">Moyen terme</w:t>
            </w:r>
          </w:p>
        </w:tc>
        <w:tc>
          <w:tcPr>
            <w:tcW w:type="dxa" w:w="4200"/>
            <w:tcMar>
              <w:top w:type="dxa" w:w="100"/>
              <w:left w:type="dxa" w:w="120"/>
              <w:bottom w:type="dxa" w:w="100"/>
              <w:right w:type="dxa" w:w="120"/>
            </w:tcMar>
          </w:tcPr>
          <w:p>
            <w:r>
              <w:rPr>
                <w:b w:val="false"/>
                <w:bCs w:val="false"/>
                <w:color w:val="1E293B"/>
                <w:sz w:val="20"/>
                <w:szCs w:val="20"/>
              </w:rPr>
              <w:t xml:space="preserve">Le prix par pack (600 FCFA) et le barème de primes ne sont pas confirmés comme stabilisés en production.</w:t>
            </w:r>
          </w:p>
        </w:tc>
        <w:tc>
          <w:tcPr>
            <w:tcW w:type="dxa" w:w="3800"/>
            <w:tcMar>
              <w:top w:type="dxa" w:w="100"/>
              <w:left w:type="dxa" w:w="120"/>
              <w:bottom w:type="dxa" w:w="100"/>
              <w:right w:type="dxa" w:w="120"/>
            </w:tcMar>
          </w:tcPr>
          <w:p>
            <w:r>
              <w:rPr>
                <w:b w:val="false"/>
                <w:bCs w:val="false"/>
                <w:color w:val="1E293B"/>
                <w:sz w:val="20"/>
                <w:szCs w:val="20"/>
              </w:rPr>
              <w:t xml:space="preserve">Un écart entre le prix voulu et le prix réellement appliqué aux commerciaux fausse directement les marges.</w:t>
            </w:r>
          </w:p>
        </w:tc>
      </w:tr>
      <w:tr>
        <w:tc>
          <w:tcPr>
            <w:tcW w:type="dxa" w:w="2000"/>
            <w:tcMar>
              <w:top w:type="dxa" w:w="100"/>
              <w:left w:type="dxa" w:w="120"/>
              <w:bottom w:type="dxa" w:w="100"/>
              <w:right w:type="dxa" w:w="120"/>
            </w:tcMar>
          </w:tcPr>
          <w:p>
            <w:r>
              <w:rPr>
                <w:b w:val="false"/>
                <w:bCs w:val="false"/>
                <w:color w:val="1E293B"/>
                <w:sz w:val="20"/>
                <w:szCs w:val="20"/>
              </w:rPr>
              <w:t xml:space="preserve">Structurant</w:t>
            </w:r>
          </w:p>
        </w:tc>
        <w:tc>
          <w:tcPr>
            <w:tcW w:type="dxa" w:w="4200"/>
            <w:tcMar>
              <w:top w:type="dxa" w:w="100"/>
              <w:left w:type="dxa" w:w="120"/>
              <w:bottom w:type="dxa" w:w="100"/>
              <w:right w:type="dxa" w:w="120"/>
            </w:tcMar>
          </w:tcPr>
          <w:p>
            <w:r>
              <w:rPr>
                <w:b w:val="false"/>
                <w:bCs w:val="false"/>
                <w:color w:val="1E293B"/>
                <w:sz w:val="20"/>
                <w:szCs w:val="20"/>
              </w:rPr>
              <w:t xml:space="preserve">Aucun seuil d'approbation ni justificatif numérisé pour les dépenses, contrairement aux ventes à crédit.</w:t>
            </w:r>
          </w:p>
        </w:tc>
        <w:tc>
          <w:tcPr>
            <w:tcW w:type="dxa" w:w="3800"/>
            <w:tcMar>
              <w:top w:type="dxa" w:w="100"/>
              <w:left w:type="dxa" w:w="120"/>
              <w:bottom w:type="dxa" w:w="100"/>
              <w:right w:type="dxa" w:w="120"/>
            </w:tcMar>
          </w:tcPr>
          <w:p>
            <w:r>
              <w:rPr>
                <w:b w:val="false"/>
                <w:bCs w:val="false"/>
                <w:color w:val="1E293B"/>
                <w:sz w:val="20"/>
                <w:szCs w:val="20"/>
              </w:rPr>
              <w:t xml:space="preserve">Aujourd'hui, une dépense de n'importe quel montant est enregistrée sans double contrôle.</w:t>
            </w:r>
          </w:p>
        </w:tc>
      </w:tr>
    </w:tbl>
    <w:p>
      <w:pPr>
        <w:pStyle w:val="Heading1"/>
        <w:spacing w:after="160" w:before="320"/>
      </w:pPr>
      <w:r>
        <w:t xml:space="preserve">5. Plan d'action recommandé</w:t>
      </w:r>
    </w:p>
    <w:p>
      <w:pPr>
        <w:pStyle w:val="Heading2"/>
        <w:spacing w:after="100" w:before="240"/>
      </w:pPr>
      <w:r>
        <w:t xml:space="preserve">Court terme — gains rapides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900"/>
        <w:gridCol w:w="5100"/>
      </w:tblGrid>
      <w:tr>
        <w:trPr>
          <w:tblHeader/>
        </w:trPr>
        <w:tc>
          <w:tcPr>
            <w:tcW w:type="dxa" w:w="4900"/>
            <w:shd w:fill="185FA5" w:val="clear"/>
            <w:tcMar>
              <w:top w:type="dxa" w:w="100"/>
              <w:left w:type="dxa" w:w="120"/>
              <w:bottom w:type="dxa" w:w="100"/>
              <w:right w:type="dxa" w:w="120"/>
            </w:tcMar>
          </w:tcPr>
          <w:p>
            <w:r>
              <w:rPr>
                <w:b/>
                <w:bCs/>
                <w:color w:val="FFFFFF"/>
                <w:sz w:val="20"/>
                <w:szCs w:val="20"/>
              </w:rPr>
              <w:t xml:space="preserve">Action</w:t>
            </w:r>
          </w:p>
        </w:tc>
        <w:tc>
          <w:tcPr>
            <w:tcW w:type="dxa" w:w="5100"/>
            <w:shd w:fill="185FA5" w:val="clear"/>
            <w:tcMar>
              <w:top w:type="dxa" w:w="100"/>
              <w:left w:type="dxa" w:w="120"/>
              <w:bottom w:type="dxa" w:w="100"/>
              <w:right w:type="dxa" w:w="120"/>
            </w:tcMar>
          </w:tcPr>
          <w:p>
            <w:r>
              <w:rPr>
                <w:b/>
                <w:bCs/>
                <w:color w:val="FFFFFF"/>
                <w:sz w:val="20"/>
                <w:szCs w:val="20"/>
              </w:rPr>
              <w:t xml:space="preserve">Bénéfice attendu</w:t>
            </w:r>
          </w:p>
        </w:tc>
      </w:tr>
      <w:tr>
        <w:tc>
          <w:tcPr>
            <w:tcW w:type="dxa" w:w="4900"/>
            <w:tcMar>
              <w:top w:type="dxa" w:w="100"/>
              <w:left w:type="dxa" w:w="120"/>
              <w:bottom w:type="dxa" w:w="100"/>
              <w:right w:type="dxa" w:w="120"/>
            </w:tcMar>
          </w:tcPr>
          <w:p>
            <w:r>
              <w:rPr>
                <w:b w:val="false"/>
                <w:bCs w:val="false"/>
                <w:color w:val="1E293B"/>
                <w:sz w:val="20"/>
                <w:szCs w:val="20"/>
              </w:rPr>
              <w:t xml:space="preserve">Déployer les 2 correctifs déjà écrits (sauvegarde, rôles utilisateurs)</w:t>
            </w:r>
          </w:p>
        </w:tc>
        <w:tc>
          <w:tcPr>
            <w:tcW w:type="dxa" w:w="5100"/>
            <w:tcMar>
              <w:top w:type="dxa" w:w="100"/>
              <w:left w:type="dxa" w:w="120"/>
              <w:bottom w:type="dxa" w:w="100"/>
              <w:right w:type="dxa" w:w="120"/>
            </w:tcMar>
          </w:tcPr>
          <w:p>
            <w:r>
              <w:rPr>
                <w:b w:val="false"/>
                <w:bCs w:val="false"/>
                <w:color w:val="1E293B"/>
                <w:sz w:val="20"/>
                <w:szCs w:val="20"/>
              </w:rPr>
              <w:t xml:space="preserve">Sécurise enfin les données de l'entreprise et l'accès des nouveaux comptes</w:t>
            </w:r>
          </w:p>
        </w:tc>
      </w:tr>
      <w:tr>
        <w:tc>
          <w:tcPr>
            <w:tcW w:type="dxa" w:w="4900"/>
            <w:tcMar>
              <w:top w:type="dxa" w:w="100"/>
              <w:left w:type="dxa" w:w="120"/>
              <w:bottom w:type="dxa" w:w="100"/>
              <w:right w:type="dxa" w:w="120"/>
            </w:tcMar>
          </w:tcPr>
          <w:p>
            <w:r>
              <w:rPr>
                <w:b w:val="false"/>
                <w:bCs w:val="false"/>
                <w:color w:val="1E293B"/>
                <w:sz w:val="20"/>
                <w:szCs w:val="20"/>
              </w:rPr>
              <w:t xml:space="preserve">Vérifier en production le prix par défaut du pack et le barème de primes</w:t>
            </w:r>
          </w:p>
        </w:tc>
        <w:tc>
          <w:tcPr>
            <w:tcW w:type="dxa" w:w="5100"/>
            <w:tcMar>
              <w:top w:type="dxa" w:w="100"/>
              <w:left w:type="dxa" w:w="120"/>
              <w:bottom w:type="dxa" w:w="100"/>
              <w:right w:type="dxa" w:w="120"/>
            </w:tcMar>
          </w:tcPr>
          <w:p>
            <w:r>
              <w:rPr>
                <w:b w:val="false"/>
                <w:bCs w:val="false"/>
                <w:color w:val="1E293B"/>
                <w:sz w:val="20"/>
                <w:szCs w:val="20"/>
              </w:rPr>
              <w:t xml:space="preserve">Élimine un risque d'écart entre ce qui est voulu et ce qui est réellement appliqué</w:t>
            </w:r>
          </w:p>
        </w:tc>
      </w:tr>
      <w:tr>
        <w:tc>
          <w:tcPr>
            <w:tcW w:type="dxa" w:w="4900"/>
            <w:tcMar>
              <w:top w:type="dxa" w:w="100"/>
              <w:left w:type="dxa" w:w="120"/>
              <w:bottom w:type="dxa" w:w="100"/>
              <w:right w:type="dxa" w:w="120"/>
            </w:tcMar>
          </w:tcPr>
          <w:p>
            <w:r>
              <w:rPr>
                <w:b w:val="false"/>
                <w:bCs w:val="false"/>
                <w:color w:val="1E293B"/>
                <w:sz w:val="20"/>
                <w:szCs w:val="20"/>
              </w:rPr>
              <w:t xml:space="preserve">Permettre la correction d'une dépense mal saisie, sans devoir la supprimer</w:t>
            </w:r>
          </w:p>
        </w:tc>
        <w:tc>
          <w:tcPr>
            <w:tcW w:type="dxa" w:w="5100"/>
            <w:tcMar>
              <w:top w:type="dxa" w:w="100"/>
              <w:left w:type="dxa" w:w="120"/>
              <w:bottom w:type="dxa" w:w="100"/>
              <w:right w:type="dxa" w:w="120"/>
            </w:tcMar>
          </w:tcPr>
          <w:p>
            <w:r>
              <w:rPr>
                <w:b w:val="false"/>
                <w:bCs w:val="false"/>
                <w:color w:val="1E293B"/>
                <w:sz w:val="20"/>
                <w:szCs w:val="20"/>
              </w:rPr>
              <w:t xml:space="preserve">Évite la perte d'historique sur une simple erreur de frappe</w:t>
            </w:r>
          </w:p>
        </w:tc>
      </w:tr>
    </w:tbl>
    <w:p>
      <w:pPr>
        <w:pStyle w:val="Heading2"/>
        <w:spacing w:after="100" w:before="240"/>
      </w:pPr>
      <w:r>
        <w:t xml:space="preserve">Moyen terme — pilotage budgétaire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900"/>
        <w:gridCol w:w="5100"/>
      </w:tblGrid>
      <w:tr>
        <w:trPr>
          <w:tblHeader/>
        </w:trPr>
        <w:tc>
          <w:tcPr>
            <w:tcW w:type="dxa" w:w="4900"/>
            <w:shd w:fill="185FA5" w:val="clear"/>
            <w:tcMar>
              <w:top w:type="dxa" w:w="100"/>
              <w:left w:type="dxa" w:w="120"/>
              <w:bottom w:type="dxa" w:w="100"/>
              <w:right w:type="dxa" w:w="120"/>
            </w:tcMar>
          </w:tcPr>
          <w:p>
            <w:r>
              <w:rPr>
                <w:b/>
                <w:bCs/>
                <w:color w:val="FFFFFF"/>
                <w:sz w:val="20"/>
                <w:szCs w:val="20"/>
              </w:rPr>
              <w:t xml:space="preserve">Action</w:t>
            </w:r>
          </w:p>
        </w:tc>
        <w:tc>
          <w:tcPr>
            <w:tcW w:type="dxa" w:w="5100"/>
            <w:shd w:fill="185FA5" w:val="clear"/>
            <w:tcMar>
              <w:top w:type="dxa" w:w="100"/>
              <w:left w:type="dxa" w:w="120"/>
              <w:bottom w:type="dxa" w:w="100"/>
              <w:right w:type="dxa" w:w="120"/>
            </w:tcMar>
          </w:tcPr>
          <w:p>
            <w:r>
              <w:rPr>
                <w:b/>
                <w:bCs/>
                <w:color w:val="FFFFFF"/>
                <w:sz w:val="20"/>
                <w:szCs w:val="20"/>
              </w:rPr>
              <w:t xml:space="preserve">Bénéfice attendu</w:t>
            </w:r>
          </w:p>
        </w:tc>
      </w:tr>
      <w:tr>
        <w:tc>
          <w:tcPr>
            <w:tcW w:type="dxa" w:w="4900"/>
            <w:tcMar>
              <w:top w:type="dxa" w:w="100"/>
              <w:left w:type="dxa" w:w="120"/>
              <w:bottom w:type="dxa" w:w="100"/>
              <w:right w:type="dxa" w:w="120"/>
            </w:tcMar>
          </w:tcPr>
          <w:p>
            <w:r>
              <w:rPr>
                <w:b w:val="false"/>
                <w:bCs w:val="false"/>
                <w:color w:val="1E293B"/>
                <w:sz w:val="20"/>
                <w:szCs w:val="20"/>
              </w:rPr>
              <w:t xml:space="preserve">Ajouter un budget mensuel par catégorie de dépense, avec alerte en cas de dépassement</w:t>
            </w:r>
          </w:p>
        </w:tc>
        <w:tc>
          <w:tcPr>
            <w:tcW w:type="dxa" w:w="5100"/>
            <w:tcMar>
              <w:top w:type="dxa" w:w="100"/>
              <w:left w:type="dxa" w:w="120"/>
              <w:bottom w:type="dxa" w:w="100"/>
              <w:right w:type="dxa" w:w="120"/>
            </w:tcMar>
          </w:tcPr>
          <w:p>
            <w:r>
              <w:rPr>
                <w:b w:val="false"/>
                <w:bCs w:val="false"/>
                <w:color w:val="1E293B"/>
                <w:sz w:val="20"/>
                <w:szCs w:val="20"/>
              </w:rPr>
              <w:t xml:space="preserve">Anticiper une dérive de charges au lieu de la constater après coup</w:t>
            </w:r>
          </w:p>
        </w:tc>
      </w:tr>
      <w:tr>
        <w:tc>
          <w:tcPr>
            <w:tcW w:type="dxa" w:w="4900"/>
            <w:tcMar>
              <w:top w:type="dxa" w:w="100"/>
              <w:left w:type="dxa" w:w="120"/>
              <w:bottom w:type="dxa" w:w="100"/>
              <w:right w:type="dxa" w:w="120"/>
            </w:tcMar>
          </w:tcPr>
          <w:p>
            <w:r>
              <w:rPr>
                <w:b w:val="false"/>
                <w:bCs w:val="false"/>
                <w:color w:val="1E293B"/>
                <w:sz w:val="20"/>
                <w:szCs w:val="20"/>
              </w:rPr>
              <w:t xml:space="preserve">Ajouter un seuil d'approbation pour les dépenses importantes (comme pour les ventes à crédit)</w:t>
            </w:r>
          </w:p>
        </w:tc>
        <w:tc>
          <w:tcPr>
            <w:tcW w:type="dxa" w:w="5100"/>
            <w:tcMar>
              <w:top w:type="dxa" w:w="100"/>
              <w:left w:type="dxa" w:w="120"/>
              <w:bottom w:type="dxa" w:w="100"/>
              <w:right w:type="dxa" w:w="120"/>
            </w:tcMar>
          </w:tcPr>
          <w:p>
            <w:r>
              <w:rPr>
                <w:b w:val="false"/>
                <w:bCs w:val="false"/>
                <w:color w:val="1E293B"/>
                <w:sz w:val="20"/>
                <w:szCs w:val="20"/>
              </w:rPr>
              <w:t xml:space="preserve">Un double contrôle cohérent avec ce qui existe déjà ailleurs dans l'app</w:t>
            </w:r>
          </w:p>
        </w:tc>
      </w:tr>
      <w:tr>
        <w:tc>
          <w:tcPr>
            <w:tcW w:type="dxa" w:w="4900"/>
            <w:tcMar>
              <w:top w:type="dxa" w:w="100"/>
              <w:left w:type="dxa" w:w="120"/>
              <w:bottom w:type="dxa" w:w="100"/>
              <w:right w:type="dxa" w:w="120"/>
            </w:tcMar>
          </w:tcPr>
          <w:p>
            <w:r>
              <w:rPr>
                <w:b w:val="false"/>
                <w:bCs w:val="false"/>
                <w:color w:val="1E293B"/>
                <w:sz w:val="20"/>
                <w:szCs w:val="20"/>
              </w:rPr>
              <w:t xml:space="preserve">Suivre dans le temps le taux de retard de livraison et le volume par zone (déjà mesurés par l'app)</w:t>
            </w:r>
          </w:p>
        </w:tc>
        <w:tc>
          <w:tcPr>
            <w:tcW w:type="dxa" w:w="5100"/>
            <w:tcMar>
              <w:top w:type="dxa" w:w="100"/>
              <w:left w:type="dxa" w:w="120"/>
              <w:bottom w:type="dxa" w:w="100"/>
              <w:right w:type="dxa" w:w="120"/>
            </w:tcMar>
          </w:tcPr>
          <w:p>
            <w:r>
              <w:rPr>
                <w:b w:val="false"/>
                <w:bCs w:val="false"/>
                <w:color w:val="1E293B"/>
                <w:sz w:val="20"/>
                <w:szCs w:val="20"/>
              </w:rPr>
              <w:t xml:space="preserve">Objectiver les décisions d'extension de zone ou de recrutement d'un livreur supplémentaire</w:t>
            </w:r>
          </w:p>
        </w:tc>
      </w:tr>
    </w:tbl>
    <w:p>
      <w:pPr>
        <w:pStyle w:val="Heading2"/>
        <w:spacing w:after="100" w:before="240"/>
      </w:pPr>
      <w:r>
        <w:t xml:space="preserve">Structurant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900"/>
        <w:gridCol w:w="5100"/>
      </w:tblGrid>
      <w:tr>
        <w:trPr>
          <w:tblHeader/>
        </w:trPr>
        <w:tc>
          <w:tcPr>
            <w:tcW w:type="dxa" w:w="4900"/>
            <w:shd w:fill="185FA5" w:val="clear"/>
            <w:tcMar>
              <w:top w:type="dxa" w:w="100"/>
              <w:left w:type="dxa" w:w="120"/>
              <w:bottom w:type="dxa" w:w="100"/>
              <w:right w:type="dxa" w:w="120"/>
            </w:tcMar>
          </w:tcPr>
          <w:p>
            <w:r>
              <w:rPr>
                <w:b/>
                <w:bCs/>
                <w:color w:val="FFFFFF"/>
                <w:sz w:val="20"/>
                <w:szCs w:val="20"/>
              </w:rPr>
              <w:t xml:space="preserve">Action</w:t>
            </w:r>
          </w:p>
        </w:tc>
        <w:tc>
          <w:tcPr>
            <w:tcW w:type="dxa" w:w="5100"/>
            <w:shd w:fill="185FA5" w:val="clear"/>
            <w:tcMar>
              <w:top w:type="dxa" w:w="100"/>
              <w:left w:type="dxa" w:w="120"/>
              <w:bottom w:type="dxa" w:w="100"/>
              <w:right w:type="dxa" w:w="120"/>
            </w:tcMar>
          </w:tcPr>
          <w:p>
            <w:r>
              <w:rPr>
                <w:b/>
                <w:bCs/>
                <w:color w:val="FFFFFF"/>
                <w:sz w:val="20"/>
                <w:szCs w:val="20"/>
              </w:rPr>
              <w:t xml:space="preserve">Bénéfice attendu</w:t>
            </w:r>
          </w:p>
        </w:tc>
      </w:tr>
      <w:tr>
        <w:tc>
          <w:tcPr>
            <w:tcW w:type="dxa" w:w="4900"/>
            <w:tcMar>
              <w:top w:type="dxa" w:w="100"/>
              <w:left w:type="dxa" w:w="120"/>
              <w:bottom w:type="dxa" w:w="100"/>
              <w:right w:type="dxa" w:w="120"/>
            </w:tcMar>
          </w:tcPr>
          <w:p>
            <w:r>
              <w:rPr>
                <w:b w:val="false"/>
                <w:bCs w:val="false"/>
                <w:color w:val="1E293B"/>
                <w:sz w:val="20"/>
                <w:szCs w:val="20"/>
              </w:rPr>
              <w:t xml:space="preserve">Justificatif numérisé (photo/PDF) attaché à chaque dépense</w:t>
            </w:r>
          </w:p>
        </w:tc>
        <w:tc>
          <w:tcPr>
            <w:tcW w:type="dxa" w:w="5100"/>
            <w:tcMar>
              <w:top w:type="dxa" w:w="100"/>
              <w:left w:type="dxa" w:w="120"/>
              <w:bottom w:type="dxa" w:w="100"/>
              <w:right w:type="dxa" w:w="120"/>
            </w:tcMar>
          </w:tcPr>
          <w:p>
            <w:r>
              <w:rPr>
                <w:b w:val="false"/>
                <w:bCs w:val="false"/>
                <w:color w:val="1E293B"/>
                <w:sz w:val="20"/>
                <w:szCs w:val="20"/>
              </w:rPr>
              <w:t xml:space="preserve">Traçabilité complète, utile en cas de contrôle fiscal ou d'audit interne</w:t>
            </w:r>
          </w:p>
        </w:tc>
      </w:tr>
      <w:tr>
        <w:tc>
          <w:tcPr>
            <w:tcW w:type="dxa" w:w="4900"/>
            <w:tcMar>
              <w:top w:type="dxa" w:w="100"/>
              <w:left w:type="dxa" w:w="120"/>
              <w:bottom w:type="dxa" w:w="100"/>
              <w:right w:type="dxa" w:w="120"/>
            </w:tcMar>
          </w:tcPr>
          <w:p>
            <w:r>
              <w:rPr>
                <w:b w:val="false"/>
                <w:bCs w:val="false"/>
                <w:color w:val="1E293B"/>
                <w:sz w:val="20"/>
                <w:szCs w:val="20"/>
              </w:rPr>
              <w:t xml:space="preserve">Exporter régulièrement les données pour une analyse chiffrée réelle des dépenses (répartition, tendance)</w:t>
            </w:r>
          </w:p>
        </w:tc>
        <w:tc>
          <w:tcPr>
            <w:tcW w:type="dxa" w:w="5100"/>
            <w:tcMar>
              <w:top w:type="dxa" w:w="100"/>
              <w:left w:type="dxa" w:w="120"/>
              <w:bottom w:type="dxa" w:w="100"/>
              <w:right w:type="dxa" w:w="120"/>
            </w:tcMar>
          </w:tcPr>
          <w:p>
            <w:r>
              <w:rPr>
                <w:b w:val="false"/>
                <w:bCs w:val="false"/>
                <w:color w:val="1E293B"/>
                <w:sz w:val="20"/>
                <w:szCs w:val="20"/>
              </w:rPr>
              <w:t xml:space="preserve">Passe d'un total brut à une vraie lecture des postes qui pèsent le plus</w:t>
            </w:r>
          </w:p>
        </w:tc>
      </w:tr>
    </w:tbl>
    <w:p>
      <w:pPr>
        <w:pStyle w:val="Heading1"/>
        <w:spacing w:after="160" w:before="320"/>
      </w:pPr>
      <w:r>
        <w:t xml:space="preserve">6. Prochaines étapes</w:t>
      </w:r>
    </w:p>
    <w:p>
      <w:pPr>
        <w:spacing w:after="160"/>
        <w:jc w:val="both"/>
      </w:pPr>
      <w:r>
        <w:t xml:space="preserve">Quatre décisions à prendre maintenant, par ordre de priorité :</w:t>
      </w:r>
    </w:p>
    <w:p>
      <w:pPr>
        <w:spacing w:after="120"/>
      </w:pPr>
      <w:r>
        <w:rPr>
          <w:b w:val="false"/>
          <w:bCs w:val="false"/>
        </w:rPr>
        <w:t xml:space="preserve">1. Faire déployer cette semaine les 2 correctifs critiques (sauvegarde et rôles) — c'est la priorité absolue.</w:t>
      </w:r>
    </w:p>
    <w:p>
      <w:pPr>
        <w:spacing w:after="120"/>
      </w:pPr>
      <w:r>
        <w:rPr>
          <w:b w:val="false"/>
          <w:bCs w:val="false"/>
        </w:rPr>
        <w:t xml:space="preserve">2. Vérifier en production le prix du pack et le barème de primes objectifs.</w:t>
      </w:r>
    </w:p>
    <w:p>
      <w:pPr>
        <w:spacing w:after="120"/>
      </w:pPr>
      <w:r>
        <w:rPr>
          <w:b w:val="false"/>
          <w:bCs w:val="false"/>
        </w:rPr>
        <w:t xml:space="preserve">3. Traiter les correctifs rapides du module Dépenses (édition, répartition par catégorie).</w:t>
      </w:r>
    </w:p>
    <w:p>
      <w:pPr>
        <w:spacing w:after="200"/>
      </w:pPr>
      <w:r>
        <w:rPr>
          <w:b w:val="false"/>
          <w:bCs w:val="false"/>
        </w:rPr>
        <w:t xml:space="preserve">4. Me dire si vous voulez que je prépare le budget par catégorie et le seuil d'approbation des dépenses.</w:t>
      </w:r>
    </w:p>
    <w:p>
      <w:pPr>
        <w:pBdr>
          <w:top w:val="single" w:color="CBD5E1" w:sz="4" w:space="8"/>
        </w:pBdr>
        <w:spacing w:before="200"/>
      </w:pPr>
      <w:r>
        <w:rPr>
          <w:i/>
          <w:iCs/>
          <w:color w:val="64748B"/>
          <w:sz w:val="18"/>
          <w:szCs w:val="18"/>
        </w:rPr>
        <w:t xml:space="preserve">Document préparé à partir de l'historique de développement (CLAUDE.md), de l'étude Dépenses du 8 août 2026, et du profil d'activité de MA2F.</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2026-08-20T21:54:04.534Z</dcterms:created>
  <dcterms:modified xsi:type="dcterms:W3CDTF">2026-08-20T21:54:04.550Z</dcterms:modified>
</cp:coreProperties>
</file>

<file path=docProps/custom.xml><?xml version="1.0" encoding="utf-8"?>
<Properties xmlns="http://schemas.openxmlformats.org/officeDocument/2006/custom-properties" xmlns:vt="http://schemas.openxmlformats.org/officeDocument/2006/docPropsVTypes"/>
</file>