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4B5563"/>
          <w:sz w:val="26"/>
        </w:rPr>
        <w:t>SINAXE</w:t>
      </w:r>
    </w:p>
    <w:p>
      <w:pPr>
        <w:pStyle w:val="Title"/>
        <w:jc w:val="center"/>
      </w:pPr>
      <w:r>
        <w:t>Canadian Corporate Tax</w:t>
        <w:br/>
        <w:t>Workflow Portfolio</w:t>
      </w:r>
    </w:p>
    <w:p>
      <w:pPr>
        <w:jc w:val="center"/>
      </w:pPr>
      <w:r>
        <w:rPr>
          <w:color w:val="4B5563"/>
          <w:sz w:val="28"/>
        </w:rPr>
        <w:t>Product map for standardized, manager-level tax execution at scale</w:t>
      </w:r>
    </w:p>
    <w:p>
      <w:pPr>
        <w:pStyle w:val="Callout"/>
        <w:jc w:val="center"/>
      </w:pPr>
      <w:r>
        <w:t>Sinaxe productizes the tax methodology itself: preconfigured workflows, deterministic engines, professional judgment checkpoints, evidence lineage and portfolio-level execution across clients, entities and taxation years.</w:t>
      </w:r>
    </w:p>
    <w:p>
      <w:pPr>
        <w:spacing w:before="2400"/>
        <w:jc w:val="center"/>
      </w:pPr>
      <w:r>
        <w:rPr>
          <w:color w:val="6B7280"/>
          <w:sz w:val="18"/>
        </w:rPr>
        <w:t>Prepared July 2026</w:t>
      </w:r>
    </w:p>
    <w:p>
      <w:r>
        <w:br w:type="page"/>
      </w:r>
    </w:p>
    <w:p>
      <w:pPr>
        <w:pStyle w:val="Heading1"/>
      </w:pPr>
      <w:r>
        <w:t>Executive Summary</w:t>
      </w:r>
    </w:p>
    <w:p>
      <w:r>
        <w:t>Sinaxe should prioritize tax workflows that recur across many clients, depend on standardized inputs, contain a deterministic calculation or validation core, require controlled professional judgment, and produce a recognizable manager-reviewable deliverable. The strongest initial opportunity is not ad hoc tax research. It is the execution of recurring tax work across an entire portfolio, with professionals reviewing exceptions rather than rebuilding processes client by client.</w:t>
      </w:r>
    </w:p>
    <w:p>
      <w:pPr>
        <w:pStyle w:val="Callout"/>
      </w:pPr>
      <w:r>
        <w:t>Target operating model: run every applicable T1134, FAPI, surplus, T106, EIFEL and T2 workflow across the portfolio; surface only exceptions requiring professional judgment; and produce a manager-ready workpaper for each entity.</w:t>
      </w:r>
    </w:p>
    <w:p>
      <w:pPr>
        <w:pStyle w:val="Heading2"/>
      </w:pPr>
      <w:r>
        <w:t>Recommended product sequence</w:t>
      </w:r>
    </w:p>
    <w:p>
      <w:pPr>
        <w:spacing w:after="40"/>
        <w:ind w:left="403" w:hanging="317"/>
      </w:pPr>
      <w:r>
        <w:rPr>
          <w:b/>
        </w:rPr>
        <w:t xml:space="preserve">1.  </w:t>
      </w:r>
      <w:r>
        <w:t>International tax execution: T1134, FAPI, foreign affiliate surplus, T106 and the shared foreign affiliate ownership graph.</w:t>
      </w:r>
    </w:p>
    <w:p>
      <w:pPr>
        <w:spacing w:after="40"/>
        <w:ind w:left="403" w:hanging="317"/>
      </w:pPr>
      <w:r>
        <w:rPr>
          <w:b/>
        </w:rPr>
        <w:t xml:space="preserve">2.  </w:t>
      </w:r>
      <w:r>
        <w:t>Enterprise corporate compliance: trial balance normalization, Schedule 1, Schedule 8, losses, provincial allocation, full T2 assembly and assessment reconciliation.</w:t>
      </w:r>
    </w:p>
    <w:p>
      <w:pPr>
        <w:spacing w:after="40"/>
        <w:ind w:left="403" w:hanging="317"/>
      </w:pPr>
      <w:r>
        <w:rPr>
          <w:b/>
        </w:rPr>
        <w:t xml:space="preserve">3.  </w:t>
      </w:r>
      <w:r>
        <w:t>Group-wide complex calculations: EIFEL, tax provision, country-by-country reporting, Pillar Two and withholding tax.</w:t>
      </w:r>
    </w:p>
    <w:p>
      <w:pPr>
        <w:spacing w:after="40"/>
        <w:ind w:left="403" w:hanging="317"/>
      </w:pPr>
      <w:r>
        <w:rPr>
          <w:b/>
        </w:rPr>
        <w:t xml:space="preserve">4.  </w:t>
      </w:r>
      <w:r>
        <w:t>Specialty modules: SR&amp;ED, clean-economy credits, transactions, reorganizations, private-company tax and controversy support.</w:t>
      </w:r>
    </w:p>
    <w:p>
      <w:pPr>
        <w:pStyle w:val="Heading2"/>
      </w:pPr>
      <w:r>
        <w:t>Portfolio at a glance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11827"/>
            <w:tcMar>
              <w:top w:w="80" w:type="dxa"/>
              <w:start w:w="80" w:type="dxa"/>
              <w:bottom w:w="80" w:type="dxa"/>
              <w:end w:w="80" w:type="dxa"/>
            </w:tcMar>
          </w:tcPr>
          <w:p>
            <w:r/>
            <w:r>
              <w:rPr>
                <w:b/>
                <w:color w:val="FFFFFF"/>
                <w:sz w:val="16"/>
              </w:rPr>
              <w:t>Workflow</w:t>
            </w:r>
          </w:p>
        </w:tc>
        <w:tc>
          <w:tcPr>
            <w:tcW w:type="dxa" w:w="2541"/>
            <w:vAlign w:val="center"/>
            <w:shd w:fill="111827"/>
            <w:tcMar>
              <w:top w:w="80" w:type="dxa"/>
              <w:start w:w="80" w:type="dxa"/>
              <w:bottom w:w="80" w:type="dxa"/>
              <w:end w:w="80" w:type="dxa"/>
            </w:tcMar>
          </w:tcPr>
          <w:p>
            <w:r/>
            <w:r>
              <w:rPr>
                <w:b/>
                <w:color w:val="FFFFFF"/>
                <w:sz w:val="16"/>
              </w:rPr>
              <w:t>Classification</w:t>
            </w:r>
          </w:p>
        </w:tc>
        <w:tc>
          <w:tcPr>
            <w:tcW w:type="dxa" w:w="2541"/>
            <w:vAlign w:val="center"/>
            <w:shd w:fill="111827"/>
            <w:tcMar>
              <w:top w:w="80" w:type="dxa"/>
              <w:start w:w="80" w:type="dxa"/>
              <w:bottom w:w="80" w:type="dxa"/>
              <w:end w:w="80" w:type="dxa"/>
            </w:tcMar>
          </w:tcPr>
          <w:p>
            <w:r/>
            <w:r>
              <w:rPr>
                <w:b/>
                <w:color w:val="FFFFFF"/>
                <w:sz w:val="16"/>
              </w:rPr>
              <w:t>Scale</w:t>
            </w:r>
          </w:p>
        </w:tc>
        <w:tc>
          <w:tcPr>
            <w:tcW w:type="dxa" w:w="2541"/>
            <w:vAlign w:val="center"/>
            <w:shd w:fill="111827"/>
            <w:tcMar>
              <w:top w:w="80" w:type="dxa"/>
              <w:start w:w="80" w:type="dxa"/>
              <w:bottom w:w="80" w:type="dxa"/>
              <w:end w:w="80" w:type="dxa"/>
            </w:tcMar>
          </w:tcPr>
          <w:p>
            <w:r/>
            <w:r>
              <w:rPr>
                <w:b/>
                <w:color w:val="FFFFFF"/>
                <w:sz w:val="16"/>
              </w:rPr>
              <w:t>Primary value</w:t>
            </w:r>
          </w:p>
        </w:tc>
      </w:tr>
      <w:tr>
        <w:tc>
          <w:tcPr>
            <w:tcW w:type="dxa" w:w="2541"/>
            <w:vAlign w:val="center"/>
            <w:tcMar>
              <w:top w:w="80" w:type="dxa"/>
              <w:start w:w="80" w:type="dxa"/>
              <w:bottom w:w="80" w:type="dxa"/>
              <w:end w:w="80" w:type="dxa"/>
            </w:tcMar>
          </w:tcPr>
          <w:p>
            <w:r/>
            <w:r>
              <w:rPr>
                <w:b w:val="0"/>
                <w:sz w:val="16"/>
              </w:rPr>
              <w:t>Foreign affiliate ownership graph</w:t>
            </w:r>
          </w:p>
        </w:tc>
        <w:tc>
          <w:tcPr>
            <w:tcW w:type="dxa" w:w="2541"/>
            <w:vAlign w:val="center"/>
            <w:tcMar>
              <w:top w:w="80" w:type="dxa"/>
              <w:start w:w="80" w:type="dxa"/>
              <w:bottom w:w="80" w:type="dxa"/>
              <w:end w:w="80" w:type="dxa"/>
            </w:tcMar>
          </w:tcPr>
          <w:p>
            <w:r/>
            <w:r>
              <w:rPr>
                <w:b w:val="0"/>
                <w:sz w:val="16"/>
              </w:rPr>
              <w:t>Foundation</w:t>
            </w:r>
          </w:p>
        </w:tc>
        <w:tc>
          <w:tcPr>
            <w:tcW w:type="dxa" w:w="2541"/>
            <w:vAlign w:val="center"/>
            <w:tcMar>
              <w:top w:w="80" w:type="dxa"/>
              <w:start w:w="80" w:type="dxa"/>
              <w:bottom w:w="80" w:type="dxa"/>
              <w:end w:w="80" w:type="dxa"/>
            </w:tcMar>
          </w:tcPr>
          <w:p>
            <w:r/>
            <w:r>
              <w:rPr>
                <w:b w:val="0"/>
                <w:sz w:val="16"/>
              </w:rPr>
              <w:t>Extremely high</w:t>
            </w:r>
          </w:p>
        </w:tc>
        <w:tc>
          <w:tcPr>
            <w:tcW w:type="dxa" w:w="2541"/>
            <w:vAlign w:val="center"/>
            <w:tcMar>
              <w:top w:w="80" w:type="dxa"/>
              <w:start w:w="80" w:type="dxa"/>
              <w:bottom w:w="80" w:type="dxa"/>
              <w:end w:w="80" w:type="dxa"/>
            </w:tcMar>
          </w:tcPr>
          <w:p>
            <w:r/>
            <w:r>
              <w:rPr>
                <w:b w:val="0"/>
                <w:sz w:val="16"/>
              </w:rPr>
              <w:t>Shared infrastructure for T1134, FAPI, surplus, CbCR and Pillar Two</w:t>
            </w:r>
          </w:p>
        </w:tc>
      </w:tr>
      <w:tr>
        <w:tc>
          <w:tcPr>
            <w:tcW w:type="dxa" w:w="2541"/>
            <w:vAlign w:val="center"/>
            <w:tcMar>
              <w:top w:w="80" w:type="dxa"/>
              <w:start w:w="80" w:type="dxa"/>
              <w:bottom w:w="80" w:type="dxa"/>
              <w:end w:w="80" w:type="dxa"/>
            </w:tcMar>
          </w:tcPr>
          <w:p>
            <w:r/>
            <w:r>
              <w:rPr>
                <w:b w:val="0"/>
                <w:sz w:val="16"/>
              </w:rPr>
              <w:t>T1134</w:t>
            </w:r>
          </w:p>
        </w:tc>
        <w:tc>
          <w:tcPr>
            <w:tcW w:type="dxa" w:w="2541"/>
            <w:vAlign w:val="center"/>
            <w:tcMar>
              <w:top w:w="80" w:type="dxa"/>
              <w:start w:w="80" w:type="dxa"/>
              <w:bottom w:w="80" w:type="dxa"/>
              <w:end w:w="80" w:type="dxa"/>
            </w:tcMar>
            <w:shd w:fill="E5E7EB"/>
          </w:tcPr>
          <w:p>
            <w:r/>
            <w:r>
              <w:rPr>
                <w:b w:val="0"/>
                <w:sz w:val="16"/>
              </w:rPr>
              <w:t>Tier 1</w:t>
            </w:r>
          </w:p>
        </w:tc>
        <w:tc>
          <w:tcPr>
            <w:tcW w:type="dxa" w:w="2541"/>
            <w:vAlign w:val="center"/>
            <w:tcMar>
              <w:top w:w="80" w:type="dxa"/>
              <w:start w:w="80" w:type="dxa"/>
              <w:bottom w:w="80" w:type="dxa"/>
              <w:end w:w="80" w:type="dxa"/>
            </w:tcMar>
          </w:tcPr>
          <w:p>
            <w:r/>
            <w:r>
              <w:rPr>
                <w:b w:val="0"/>
                <w:sz w:val="16"/>
              </w:rPr>
              <w:t>Extremely high</w:t>
            </w:r>
          </w:p>
        </w:tc>
        <w:tc>
          <w:tcPr>
            <w:tcW w:type="dxa" w:w="2541"/>
            <w:vAlign w:val="center"/>
            <w:tcMar>
              <w:top w:w="80" w:type="dxa"/>
              <w:start w:w="80" w:type="dxa"/>
              <w:bottom w:w="80" w:type="dxa"/>
              <w:end w:w="80" w:type="dxa"/>
            </w:tcMar>
          </w:tcPr>
          <w:p>
            <w:r/>
            <w:r>
              <w:rPr>
                <w:b w:val="0"/>
                <w:sz w:val="16"/>
              </w:rPr>
              <w:t>Foreign affiliate information reporting and review</w:t>
            </w:r>
          </w:p>
        </w:tc>
      </w:tr>
      <w:tr>
        <w:tc>
          <w:tcPr>
            <w:tcW w:type="dxa" w:w="2541"/>
            <w:vAlign w:val="center"/>
            <w:tcMar>
              <w:top w:w="80" w:type="dxa"/>
              <w:start w:w="80" w:type="dxa"/>
              <w:bottom w:w="80" w:type="dxa"/>
              <w:end w:w="80" w:type="dxa"/>
            </w:tcMar>
          </w:tcPr>
          <w:p>
            <w:r/>
            <w:r>
              <w:rPr>
                <w:b w:val="0"/>
                <w:sz w:val="16"/>
              </w:rPr>
              <w:t>FAPI</w:t>
            </w:r>
          </w:p>
        </w:tc>
        <w:tc>
          <w:tcPr>
            <w:tcW w:type="dxa" w:w="2541"/>
            <w:vAlign w:val="center"/>
            <w:tcMar>
              <w:top w:w="80" w:type="dxa"/>
              <w:start w:w="80" w:type="dxa"/>
              <w:bottom w:w="80" w:type="dxa"/>
              <w:end w:w="80" w:type="dxa"/>
            </w:tcMar>
            <w:shd w:fill="E5E7EB"/>
          </w:tcPr>
          <w:p>
            <w:r/>
            <w:r>
              <w:rPr>
                <w:b w:val="0"/>
                <w:sz w:val="16"/>
              </w:rPr>
              <w:t>Tier 1</w:t>
            </w:r>
          </w:p>
        </w:tc>
        <w:tc>
          <w:tcPr>
            <w:tcW w:type="dxa" w:w="2541"/>
            <w:vAlign w:val="center"/>
            <w:tcMar>
              <w:top w:w="80" w:type="dxa"/>
              <w:start w:w="80" w:type="dxa"/>
              <w:bottom w:w="80" w:type="dxa"/>
              <w:end w:w="80" w:type="dxa"/>
            </w:tcMar>
          </w:tcPr>
          <w:p>
            <w:r/>
            <w:r>
              <w:rPr>
                <w:b w:val="0"/>
                <w:sz w:val="16"/>
              </w:rPr>
              <w:t>Extremely high</w:t>
            </w:r>
          </w:p>
        </w:tc>
        <w:tc>
          <w:tcPr>
            <w:tcW w:type="dxa" w:w="2541"/>
            <w:vAlign w:val="center"/>
            <w:tcMar>
              <w:top w:w="80" w:type="dxa"/>
              <w:start w:w="80" w:type="dxa"/>
              <w:bottom w:w="80" w:type="dxa"/>
              <w:end w:w="80" w:type="dxa"/>
            </w:tcMar>
          </w:tcPr>
          <w:p>
            <w:r/>
            <w:r>
              <w:rPr>
                <w:b w:val="0"/>
                <w:sz w:val="16"/>
              </w:rPr>
              <w:t>Deterministic international tax calculation</w:t>
            </w:r>
          </w:p>
        </w:tc>
      </w:tr>
      <w:tr>
        <w:tc>
          <w:tcPr>
            <w:tcW w:type="dxa" w:w="2541"/>
            <w:vAlign w:val="center"/>
            <w:tcMar>
              <w:top w:w="80" w:type="dxa"/>
              <w:start w:w="80" w:type="dxa"/>
              <w:bottom w:w="80" w:type="dxa"/>
              <w:end w:w="80" w:type="dxa"/>
            </w:tcMar>
          </w:tcPr>
          <w:p>
            <w:r/>
            <w:r>
              <w:rPr>
                <w:b w:val="0"/>
                <w:sz w:val="16"/>
              </w:rPr>
              <w:t>Foreign affiliate surplus</w:t>
            </w:r>
          </w:p>
        </w:tc>
        <w:tc>
          <w:tcPr>
            <w:tcW w:type="dxa" w:w="2541"/>
            <w:vAlign w:val="center"/>
            <w:tcMar>
              <w:top w:w="80" w:type="dxa"/>
              <w:start w:w="80" w:type="dxa"/>
              <w:bottom w:w="80" w:type="dxa"/>
              <w:end w:w="80" w:type="dxa"/>
            </w:tcMar>
            <w:shd w:fill="E5E7EB"/>
          </w:tcPr>
          <w:p>
            <w:r/>
            <w:r>
              <w:rPr>
                <w:b w:val="0"/>
                <w:sz w:val="16"/>
              </w:rPr>
              <w:t>Tier 1</w:t>
            </w:r>
          </w:p>
        </w:tc>
        <w:tc>
          <w:tcPr>
            <w:tcW w:type="dxa" w:w="2541"/>
            <w:vAlign w:val="center"/>
            <w:tcMar>
              <w:top w:w="80" w:type="dxa"/>
              <w:start w:w="80" w:type="dxa"/>
              <w:bottom w:w="80" w:type="dxa"/>
              <w:end w:w="80" w:type="dxa"/>
            </w:tcMar>
          </w:tcPr>
          <w:p>
            <w:r/>
            <w:r>
              <w:rPr>
                <w:b w:val="0"/>
                <w:sz w:val="16"/>
              </w:rPr>
              <w:t>Extremely high</w:t>
            </w:r>
          </w:p>
        </w:tc>
        <w:tc>
          <w:tcPr>
            <w:tcW w:type="dxa" w:w="2541"/>
            <w:vAlign w:val="center"/>
            <w:tcMar>
              <w:top w:w="80" w:type="dxa"/>
              <w:start w:w="80" w:type="dxa"/>
              <w:bottom w:w="80" w:type="dxa"/>
              <w:end w:w="80" w:type="dxa"/>
            </w:tcMar>
          </w:tcPr>
          <w:p>
            <w:r/>
            <w:r>
              <w:rPr>
                <w:b w:val="0"/>
                <w:sz w:val="16"/>
              </w:rPr>
              <w:t>Persistent longitudinal tax ledger</w:t>
            </w:r>
          </w:p>
        </w:tc>
      </w:tr>
      <w:tr>
        <w:tc>
          <w:tcPr>
            <w:tcW w:type="dxa" w:w="2541"/>
            <w:vAlign w:val="center"/>
            <w:tcMar>
              <w:top w:w="80" w:type="dxa"/>
              <w:start w:w="80" w:type="dxa"/>
              <w:bottom w:w="80" w:type="dxa"/>
              <w:end w:w="80" w:type="dxa"/>
            </w:tcMar>
          </w:tcPr>
          <w:p>
            <w:r/>
            <w:r>
              <w:rPr>
                <w:b w:val="0"/>
                <w:sz w:val="16"/>
              </w:rPr>
              <w:t>T106</w:t>
            </w:r>
          </w:p>
        </w:tc>
        <w:tc>
          <w:tcPr>
            <w:tcW w:type="dxa" w:w="2541"/>
            <w:vAlign w:val="center"/>
            <w:tcMar>
              <w:top w:w="80" w:type="dxa"/>
              <w:start w:w="80" w:type="dxa"/>
              <w:bottom w:w="80" w:type="dxa"/>
              <w:end w:w="80" w:type="dxa"/>
            </w:tcMar>
            <w:shd w:fill="E5E7EB"/>
          </w:tcPr>
          <w:p>
            <w:r/>
            <w:r>
              <w:rPr>
                <w:b w:val="0"/>
                <w:sz w:val="16"/>
              </w:rPr>
              <w:t>Tier 1</w:t>
            </w:r>
          </w:p>
        </w:tc>
        <w:tc>
          <w:tcPr>
            <w:tcW w:type="dxa" w:w="2541"/>
            <w:vAlign w:val="center"/>
            <w:tcMar>
              <w:top w:w="80" w:type="dxa"/>
              <w:start w:w="80" w:type="dxa"/>
              <w:bottom w:w="80" w:type="dxa"/>
              <w:end w:w="80" w:type="dxa"/>
            </w:tcMar>
          </w:tcPr>
          <w:p>
            <w:r/>
            <w:r>
              <w:rPr>
                <w:b w:val="0"/>
                <w:sz w:val="16"/>
              </w:rPr>
              <w:t>Extremely high</w:t>
            </w:r>
          </w:p>
        </w:tc>
        <w:tc>
          <w:tcPr>
            <w:tcW w:type="dxa" w:w="2541"/>
            <w:vAlign w:val="center"/>
            <w:tcMar>
              <w:top w:w="80" w:type="dxa"/>
              <w:start w:w="80" w:type="dxa"/>
              <w:bottom w:w="80" w:type="dxa"/>
              <w:end w:w="80" w:type="dxa"/>
            </w:tcMar>
          </w:tcPr>
          <w:p>
            <w:r/>
            <w:r>
              <w:rPr>
                <w:b w:val="0"/>
                <w:sz w:val="16"/>
              </w:rPr>
              <w:t>Related-party transaction reporting and reconciliation</w:t>
            </w:r>
          </w:p>
        </w:tc>
      </w:tr>
      <w:tr>
        <w:tc>
          <w:tcPr>
            <w:tcW w:type="dxa" w:w="2541"/>
            <w:vAlign w:val="center"/>
            <w:tcMar>
              <w:top w:w="80" w:type="dxa"/>
              <w:start w:w="80" w:type="dxa"/>
              <w:bottom w:w="80" w:type="dxa"/>
              <w:end w:w="80" w:type="dxa"/>
            </w:tcMar>
          </w:tcPr>
          <w:p>
            <w:r/>
            <w:r>
              <w:rPr>
                <w:b w:val="0"/>
                <w:sz w:val="16"/>
              </w:rPr>
              <w:t>EIFEL</w:t>
            </w:r>
          </w:p>
        </w:tc>
        <w:tc>
          <w:tcPr>
            <w:tcW w:type="dxa" w:w="2541"/>
            <w:vAlign w:val="center"/>
            <w:tcMar>
              <w:top w:w="80" w:type="dxa"/>
              <w:start w:w="80" w:type="dxa"/>
              <w:bottom w:w="80" w:type="dxa"/>
              <w:end w:w="80" w:type="dxa"/>
            </w:tcMar>
            <w:shd w:fill="E5E7EB"/>
          </w:tcPr>
          <w:p>
            <w:r/>
            <w:r>
              <w:rPr>
                <w:b w:val="0"/>
                <w:sz w:val="16"/>
              </w:rPr>
              <w:t>Tier 1</w:t>
            </w:r>
          </w:p>
        </w:tc>
        <w:tc>
          <w:tcPr>
            <w:tcW w:type="dxa" w:w="2541"/>
            <w:vAlign w:val="center"/>
            <w:tcMar>
              <w:top w:w="80" w:type="dxa"/>
              <w:start w:w="80" w:type="dxa"/>
              <w:bottom w:w="80" w:type="dxa"/>
              <w:end w:w="80" w:type="dxa"/>
            </w:tcMar>
          </w:tcPr>
          <w:p>
            <w:r/>
            <w:r>
              <w:rPr>
                <w:b w:val="0"/>
                <w:sz w:val="16"/>
              </w:rPr>
              <w:t>Extremely high</w:t>
            </w:r>
          </w:p>
        </w:tc>
        <w:tc>
          <w:tcPr>
            <w:tcW w:type="dxa" w:w="2541"/>
            <w:vAlign w:val="center"/>
            <w:tcMar>
              <w:top w:w="80" w:type="dxa"/>
              <w:start w:w="80" w:type="dxa"/>
              <w:bottom w:w="80" w:type="dxa"/>
              <w:end w:w="80" w:type="dxa"/>
            </w:tcMar>
          </w:tcPr>
          <w:p>
            <w:r/>
            <w:r>
              <w:rPr>
                <w:b w:val="0"/>
                <w:sz w:val="16"/>
              </w:rPr>
              <w:t>Group-wide interest limitation calculation and allocation</w:t>
            </w:r>
          </w:p>
        </w:tc>
      </w:tr>
      <w:tr>
        <w:tc>
          <w:tcPr>
            <w:tcW w:type="dxa" w:w="2541"/>
            <w:vAlign w:val="center"/>
            <w:tcMar>
              <w:top w:w="80" w:type="dxa"/>
              <w:start w:w="80" w:type="dxa"/>
              <w:bottom w:w="80" w:type="dxa"/>
              <w:end w:w="80" w:type="dxa"/>
            </w:tcMar>
          </w:tcPr>
          <w:p>
            <w:r/>
            <w:r>
              <w:rPr>
                <w:b w:val="0"/>
                <w:sz w:val="16"/>
              </w:rPr>
              <w:t>T2 compliance suite</w:t>
            </w:r>
          </w:p>
        </w:tc>
        <w:tc>
          <w:tcPr>
            <w:tcW w:type="dxa" w:w="2541"/>
            <w:vAlign w:val="center"/>
            <w:tcMar>
              <w:top w:w="80" w:type="dxa"/>
              <w:start w:w="80" w:type="dxa"/>
              <w:bottom w:w="80" w:type="dxa"/>
              <w:end w:w="80" w:type="dxa"/>
            </w:tcMar>
            <w:shd w:fill="E5E7EB"/>
          </w:tcPr>
          <w:p>
            <w:r/>
            <w:r>
              <w:rPr>
                <w:b w:val="0"/>
                <w:sz w:val="16"/>
              </w:rPr>
              <w:t>Tier 1</w:t>
            </w:r>
          </w:p>
        </w:tc>
        <w:tc>
          <w:tcPr>
            <w:tcW w:type="dxa" w:w="2541"/>
            <w:vAlign w:val="center"/>
            <w:tcMar>
              <w:top w:w="80" w:type="dxa"/>
              <w:start w:w="80" w:type="dxa"/>
              <w:bottom w:w="80" w:type="dxa"/>
              <w:end w:w="80" w:type="dxa"/>
            </w:tcMar>
          </w:tcPr>
          <w:p>
            <w:r/>
            <w:r>
              <w:rPr>
                <w:b w:val="0"/>
                <w:sz w:val="16"/>
              </w:rPr>
              <w:t>Extremely high</w:t>
            </w:r>
          </w:p>
        </w:tc>
        <w:tc>
          <w:tcPr>
            <w:tcW w:type="dxa" w:w="2541"/>
            <w:vAlign w:val="center"/>
            <w:tcMar>
              <w:top w:w="80" w:type="dxa"/>
              <w:start w:w="80" w:type="dxa"/>
              <w:bottom w:w="80" w:type="dxa"/>
              <w:end w:w="80" w:type="dxa"/>
            </w:tcMar>
          </w:tcPr>
          <w:p>
            <w:r/>
            <w:r>
              <w:rPr>
                <w:b w:val="0"/>
                <w:sz w:val="16"/>
              </w:rPr>
              <w:t>Core corporate tax compliance operating system</w:t>
            </w:r>
          </w:p>
        </w:tc>
      </w:tr>
      <w:tr>
        <w:tc>
          <w:tcPr>
            <w:tcW w:type="dxa" w:w="2541"/>
            <w:vAlign w:val="center"/>
            <w:tcMar>
              <w:top w:w="80" w:type="dxa"/>
              <w:start w:w="80" w:type="dxa"/>
              <w:bottom w:w="80" w:type="dxa"/>
              <w:end w:w="80" w:type="dxa"/>
            </w:tcMar>
          </w:tcPr>
          <w:p>
            <w:r/>
            <w:r>
              <w:rPr>
                <w:b w:val="0"/>
                <w:sz w:val="16"/>
              </w:rPr>
              <w:t>Tax provision</w:t>
            </w:r>
          </w:p>
        </w:tc>
        <w:tc>
          <w:tcPr>
            <w:tcW w:type="dxa" w:w="2541"/>
            <w:vAlign w:val="center"/>
            <w:tcMar>
              <w:top w:w="80" w:type="dxa"/>
              <w:start w:w="80" w:type="dxa"/>
              <w:bottom w:w="80" w:type="dxa"/>
              <w:end w:w="80" w:type="dxa"/>
            </w:tcMar>
            <w:shd w:fill="E5E7EB"/>
          </w:tcPr>
          <w:p>
            <w:r/>
            <w:r>
              <w:rPr>
                <w:b w:val="0"/>
                <w:sz w:val="16"/>
              </w:rPr>
              <w:t>Tier 1</w:t>
            </w:r>
          </w:p>
        </w:tc>
        <w:tc>
          <w:tcPr>
            <w:tcW w:type="dxa" w:w="2541"/>
            <w:vAlign w:val="center"/>
            <w:tcMar>
              <w:top w:w="80" w:type="dxa"/>
              <w:start w:w="80" w:type="dxa"/>
              <w:bottom w:w="80" w:type="dxa"/>
              <w:end w:w="80" w:type="dxa"/>
            </w:tcMar>
          </w:tcPr>
          <w:p>
            <w:r/>
            <w:r>
              <w:rPr>
                <w:b w:val="0"/>
                <w:sz w:val="16"/>
              </w:rPr>
              <w:t>Extremely high</w:t>
            </w:r>
          </w:p>
        </w:tc>
        <w:tc>
          <w:tcPr>
            <w:tcW w:type="dxa" w:w="2541"/>
            <w:vAlign w:val="center"/>
            <w:tcMar>
              <w:top w:w="80" w:type="dxa"/>
              <w:start w:w="80" w:type="dxa"/>
              <w:bottom w:w="80" w:type="dxa"/>
              <w:end w:w="80" w:type="dxa"/>
            </w:tcMar>
          </w:tcPr>
          <w:p>
            <w:r/>
            <w:r>
              <w:rPr>
                <w:b w:val="0"/>
                <w:sz w:val="16"/>
              </w:rPr>
              <w:t>Quarterly and annual current tax execution</w:t>
            </w:r>
          </w:p>
        </w:tc>
      </w:tr>
      <w:tr>
        <w:tc>
          <w:tcPr>
            <w:tcW w:type="dxa" w:w="2541"/>
            <w:vAlign w:val="center"/>
            <w:tcMar>
              <w:top w:w="80" w:type="dxa"/>
              <w:start w:w="80" w:type="dxa"/>
              <w:bottom w:w="80" w:type="dxa"/>
              <w:end w:w="80" w:type="dxa"/>
            </w:tcMar>
          </w:tcPr>
          <w:p>
            <w:r/>
            <w:r>
              <w:rPr>
                <w:b w:val="0"/>
                <w:sz w:val="16"/>
              </w:rPr>
              <w:t>Tax attribute ledgers</w:t>
            </w:r>
          </w:p>
        </w:tc>
        <w:tc>
          <w:tcPr>
            <w:tcW w:type="dxa" w:w="2541"/>
            <w:vAlign w:val="center"/>
            <w:tcMar>
              <w:top w:w="80" w:type="dxa"/>
              <w:start w:w="80" w:type="dxa"/>
              <w:bottom w:w="80" w:type="dxa"/>
              <w:end w:w="80" w:type="dxa"/>
            </w:tcMar>
          </w:tcPr>
          <w:p>
            <w:r/>
            <w:r>
              <w:rPr>
                <w:b w:val="0"/>
                <w:sz w:val="16"/>
              </w:rPr>
              <w:t>Foundation</w:t>
            </w:r>
          </w:p>
        </w:tc>
        <w:tc>
          <w:tcPr>
            <w:tcW w:type="dxa" w:w="2541"/>
            <w:vAlign w:val="center"/>
            <w:tcMar>
              <w:top w:w="80" w:type="dxa"/>
              <w:start w:w="80" w:type="dxa"/>
              <w:bottom w:w="80" w:type="dxa"/>
              <w:end w:w="80" w:type="dxa"/>
            </w:tcMar>
          </w:tcPr>
          <w:p>
            <w:r/>
            <w:r>
              <w:rPr>
                <w:b w:val="0"/>
                <w:sz w:val="16"/>
              </w:rPr>
              <w:t>Extremely high</w:t>
            </w:r>
          </w:p>
        </w:tc>
        <w:tc>
          <w:tcPr>
            <w:tcW w:type="dxa" w:w="2541"/>
            <w:vAlign w:val="center"/>
            <w:tcMar>
              <w:top w:w="80" w:type="dxa"/>
              <w:start w:w="80" w:type="dxa"/>
              <w:bottom w:w="80" w:type="dxa"/>
              <w:end w:w="80" w:type="dxa"/>
            </w:tcMar>
          </w:tcPr>
          <w:p>
            <w:r/>
            <w:r>
              <w:rPr>
                <w:b w:val="0"/>
                <w:sz w:val="16"/>
              </w:rPr>
              <w:t>Persistent reusable tax data layer</w:t>
            </w:r>
          </w:p>
        </w:tc>
      </w:tr>
      <w:tr>
        <w:tc>
          <w:tcPr>
            <w:tcW w:type="dxa" w:w="2541"/>
            <w:vAlign w:val="center"/>
            <w:tcMar>
              <w:top w:w="80" w:type="dxa"/>
              <w:start w:w="80" w:type="dxa"/>
              <w:bottom w:w="80" w:type="dxa"/>
              <w:end w:w="80" w:type="dxa"/>
            </w:tcMar>
          </w:tcPr>
          <w:p>
            <w:r/>
            <w:r>
              <w:rPr>
                <w:b w:val="0"/>
                <w:sz w:val="16"/>
              </w:rPr>
              <w:t>Part XIII withholding</w:t>
            </w:r>
          </w:p>
        </w:tc>
        <w:tc>
          <w:tcPr>
            <w:tcW w:type="dxa" w:w="2541"/>
            <w:vAlign w:val="center"/>
            <w:tcMar>
              <w:top w:w="80" w:type="dxa"/>
              <w:start w:w="80" w:type="dxa"/>
              <w:bottom w:w="80" w:type="dxa"/>
              <w:end w:w="80" w:type="dxa"/>
            </w:tcMar>
            <w:shd w:fill="E5E7EB"/>
          </w:tcPr>
          <w:p>
            <w:r/>
            <w:r>
              <w:rPr>
                <w:b w:val="0"/>
                <w:sz w:val="16"/>
              </w:rPr>
              <w:t>Tier 1</w:t>
            </w:r>
          </w:p>
        </w:tc>
        <w:tc>
          <w:tcPr>
            <w:tcW w:type="dxa" w:w="2541"/>
            <w:vAlign w:val="center"/>
            <w:tcMar>
              <w:top w:w="80" w:type="dxa"/>
              <w:start w:w="80" w:type="dxa"/>
              <w:bottom w:w="80" w:type="dxa"/>
              <w:end w:w="80" w:type="dxa"/>
            </w:tcMar>
          </w:tcPr>
          <w:p>
            <w:r/>
            <w:r>
              <w:rPr>
                <w:b w:val="0"/>
                <w:sz w:val="16"/>
              </w:rPr>
              <w:t>Extremely high</w:t>
            </w:r>
          </w:p>
        </w:tc>
        <w:tc>
          <w:tcPr>
            <w:tcW w:type="dxa" w:w="2541"/>
            <w:vAlign w:val="center"/>
            <w:tcMar>
              <w:top w:w="80" w:type="dxa"/>
              <w:start w:w="80" w:type="dxa"/>
              <w:bottom w:w="80" w:type="dxa"/>
              <w:end w:w="80" w:type="dxa"/>
            </w:tcMar>
          </w:tcPr>
          <w:p>
            <w:r/>
            <w:r>
              <w:rPr>
                <w:b w:val="0"/>
                <w:sz w:val="16"/>
              </w:rPr>
              <w:t>Recurring cross-border payment compliance</w:t>
            </w:r>
          </w:p>
        </w:tc>
      </w:tr>
      <w:tr>
        <w:tc>
          <w:tcPr>
            <w:tcW w:type="dxa" w:w="2541"/>
            <w:vAlign w:val="center"/>
            <w:tcMar>
              <w:top w:w="80" w:type="dxa"/>
              <w:start w:w="80" w:type="dxa"/>
              <w:bottom w:w="80" w:type="dxa"/>
              <w:end w:w="80" w:type="dxa"/>
            </w:tcMar>
          </w:tcPr>
          <w:p>
            <w:r/>
            <w:r>
              <w:rPr>
                <w:b w:val="0"/>
                <w:sz w:val="16"/>
              </w:rPr>
              <w:t>Tax calendar, requests and review</w:t>
            </w:r>
          </w:p>
        </w:tc>
        <w:tc>
          <w:tcPr>
            <w:tcW w:type="dxa" w:w="2541"/>
            <w:vAlign w:val="center"/>
            <w:tcMar>
              <w:top w:w="80" w:type="dxa"/>
              <w:start w:w="80" w:type="dxa"/>
              <w:bottom w:w="80" w:type="dxa"/>
              <w:end w:w="80" w:type="dxa"/>
            </w:tcMar>
          </w:tcPr>
          <w:p>
            <w:r/>
            <w:r>
              <w:rPr>
                <w:b w:val="0"/>
                <w:sz w:val="16"/>
              </w:rPr>
              <w:t>Foundation</w:t>
            </w:r>
          </w:p>
        </w:tc>
        <w:tc>
          <w:tcPr>
            <w:tcW w:type="dxa" w:w="2541"/>
            <w:vAlign w:val="center"/>
            <w:tcMar>
              <w:top w:w="80" w:type="dxa"/>
              <w:start w:w="80" w:type="dxa"/>
              <w:bottom w:w="80" w:type="dxa"/>
              <w:end w:w="80" w:type="dxa"/>
            </w:tcMar>
          </w:tcPr>
          <w:p>
            <w:r/>
            <w:r>
              <w:rPr>
                <w:b w:val="0"/>
                <w:sz w:val="16"/>
              </w:rPr>
              <w:t>Extremely high</w:t>
            </w:r>
          </w:p>
        </w:tc>
        <w:tc>
          <w:tcPr>
            <w:tcW w:type="dxa" w:w="2541"/>
            <w:vAlign w:val="center"/>
            <w:tcMar>
              <w:top w:w="80" w:type="dxa"/>
              <w:start w:w="80" w:type="dxa"/>
              <w:bottom w:w="80" w:type="dxa"/>
              <w:end w:w="80" w:type="dxa"/>
            </w:tcMar>
          </w:tcPr>
          <w:p>
            <w:r/>
            <w:r>
              <w:rPr>
                <w:b w:val="0"/>
                <w:sz w:val="16"/>
              </w:rPr>
              <w:t>Portfolio-wide execution and exception management</w:t>
            </w:r>
          </w:p>
        </w:tc>
      </w:tr>
    </w:tbl>
    <w:p>
      <w:r>
        <w:br w:type="page"/>
      </w:r>
    </w:p>
    <w:p>
      <w:pPr>
        <w:pStyle w:val="Heading1"/>
      </w:pPr>
      <w:r>
        <w:t>1. Shared Building Blocks</w:t>
      </w:r>
    </w:p>
    <w:p>
      <w:r>
        <w:t>Sinaxe should not implement each tax workflow as an isolated application. The product should expose common execution services that are reused across workflows. This lowers build cost, creates consistency and allows information produced in one workflow to become an input to another.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11827"/>
            <w:tcMar>
              <w:top w:w="80" w:type="dxa"/>
              <w:start w:w="80" w:type="dxa"/>
              <w:bottom w:w="80" w:type="dxa"/>
              <w:end w:w="80" w:type="dxa"/>
            </w:tcMar>
          </w:tcPr>
          <w:p>
            <w:r/>
            <w:r>
              <w:rPr>
                <w:b/>
                <w:color w:val="FFFFFF"/>
                <w:sz w:val="16"/>
              </w:rPr>
              <w:t>Building block</w:t>
            </w:r>
          </w:p>
        </w:tc>
        <w:tc>
          <w:tcPr>
            <w:tcW w:type="dxa" w:w="5083"/>
            <w:vAlign w:val="center"/>
            <w:shd w:fill="111827"/>
            <w:tcMar>
              <w:top w:w="80" w:type="dxa"/>
              <w:start w:w="80" w:type="dxa"/>
              <w:bottom w:w="80" w:type="dxa"/>
              <w:end w:w="80" w:type="dxa"/>
            </w:tcMar>
          </w:tcPr>
          <w:p>
            <w:r/>
            <w:r>
              <w:rPr>
                <w:b/>
                <w:color w:val="FFFFFF"/>
                <w:sz w:val="16"/>
              </w:rPr>
              <w:t>Purpose</w:t>
            </w:r>
          </w:p>
        </w:tc>
      </w:tr>
      <w:tr>
        <w:tc>
          <w:tcPr>
            <w:tcW w:type="dxa" w:w="5083"/>
            <w:vAlign w:val="center"/>
            <w:tcMar>
              <w:top w:w="80" w:type="dxa"/>
              <w:start w:w="80" w:type="dxa"/>
              <w:bottom w:w="80" w:type="dxa"/>
              <w:end w:w="80" w:type="dxa"/>
            </w:tcMar>
          </w:tcPr>
          <w:p>
            <w:r/>
            <w:r>
              <w:rPr>
                <w:b/>
                <w:sz w:val="16"/>
              </w:rPr>
              <w:t>Legal entity and ownership graph</w:t>
            </w:r>
          </w:p>
        </w:tc>
        <w:tc>
          <w:tcPr>
            <w:tcW w:type="dxa" w:w="5083"/>
            <w:vAlign w:val="center"/>
            <w:tcMar>
              <w:top w:w="80" w:type="dxa"/>
              <w:start w:w="80" w:type="dxa"/>
              <w:bottom w:w="80" w:type="dxa"/>
              <w:end w:w="80" w:type="dxa"/>
            </w:tcMar>
          </w:tcPr>
          <w:p>
            <w:r/>
            <w:r>
              <w:rPr>
                <w:b w:val="0"/>
                <w:sz w:val="16"/>
              </w:rPr>
              <w:t>Entities, jurisdictions, tax residence, direct and indirect ownership, control status, effective dates and reorganizations.</w:t>
            </w:r>
          </w:p>
        </w:tc>
      </w:tr>
      <w:tr>
        <w:tc>
          <w:tcPr>
            <w:tcW w:type="dxa" w:w="5083"/>
            <w:vAlign w:val="center"/>
            <w:tcMar>
              <w:top w:w="80" w:type="dxa"/>
              <w:start w:w="80" w:type="dxa"/>
              <w:bottom w:w="80" w:type="dxa"/>
              <w:end w:w="80" w:type="dxa"/>
            </w:tcMar>
          </w:tcPr>
          <w:p>
            <w:r/>
            <w:r>
              <w:rPr>
                <w:b/>
                <w:sz w:val="16"/>
              </w:rPr>
              <w:t>Trial balance and account-mapping engine</w:t>
            </w:r>
          </w:p>
        </w:tc>
        <w:tc>
          <w:tcPr>
            <w:tcW w:type="dxa" w:w="5083"/>
            <w:vAlign w:val="center"/>
            <w:tcMar>
              <w:top w:w="80" w:type="dxa"/>
              <w:start w:w="80" w:type="dxa"/>
              <w:bottom w:w="80" w:type="dxa"/>
              <w:end w:w="80" w:type="dxa"/>
            </w:tcMar>
          </w:tcPr>
          <w:p>
            <w:r/>
            <w:r>
              <w:rPr>
                <w:b w:val="0"/>
                <w:sz w:val="16"/>
              </w:rPr>
              <w:t>Structured ingestion, chart-of-accounts normalization, prior-year mappings, mapping confidence, exceptions and reconciliation.</w:t>
            </w:r>
          </w:p>
        </w:tc>
      </w:tr>
      <w:tr>
        <w:tc>
          <w:tcPr>
            <w:tcW w:type="dxa" w:w="5083"/>
            <w:vAlign w:val="center"/>
            <w:tcMar>
              <w:top w:w="80" w:type="dxa"/>
              <w:start w:w="80" w:type="dxa"/>
              <w:bottom w:w="80" w:type="dxa"/>
              <w:end w:w="80" w:type="dxa"/>
            </w:tcMar>
          </w:tcPr>
          <w:p>
            <w:r/>
            <w:r>
              <w:rPr>
                <w:b/>
                <w:sz w:val="16"/>
              </w:rPr>
              <w:t>Document extraction and evidence service</w:t>
            </w:r>
          </w:p>
        </w:tc>
        <w:tc>
          <w:tcPr>
            <w:tcW w:type="dxa" w:w="5083"/>
            <w:vAlign w:val="center"/>
            <w:tcMar>
              <w:top w:w="80" w:type="dxa"/>
              <w:start w:w="80" w:type="dxa"/>
              <w:bottom w:w="80" w:type="dxa"/>
              <w:end w:w="80" w:type="dxa"/>
            </w:tcMar>
          </w:tcPr>
          <w:p>
            <w:r/>
            <w:r>
              <w:rPr>
                <w:b w:val="0"/>
                <w:sz w:val="16"/>
              </w:rPr>
              <w:t>Extraction from financial statements, tax returns, agreements, emails and client responses, with page-level evidence links.</w:t>
            </w:r>
          </w:p>
        </w:tc>
      </w:tr>
      <w:tr>
        <w:tc>
          <w:tcPr>
            <w:tcW w:type="dxa" w:w="5083"/>
            <w:vAlign w:val="center"/>
            <w:tcMar>
              <w:top w:w="80" w:type="dxa"/>
              <w:start w:w="80" w:type="dxa"/>
              <w:bottom w:w="80" w:type="dxa"/>
              <w:end w:w="80" w:type="dxa"/>
            </w:tcMar>
          </w:tcPr>
          <w:p>
            <w:r/>
            <w:r>
              <w:rPr>
                <w:b/>
                <w:sz w:val="16"/>
              </w:rPr>
              <w:t>Tax rule and formula engine</w:t>
            </w:r>
          </w:p>
        </w:tc>
        <w:tc>
          <w:tcPr>
            <w:tcW w:type="dxa" w:w="5083"/>
            <w:vAlign w:val="center"/>
            <w:tcMar>
              <w:top w:w="80" w:type="dxa"/>
              <w:start w:w="80" w:type="dxa"/>
              <w:bottom w:w="80" w:type="dxa"/>
              <w:end w:w="80" w:type="dxa"/>
            </w:tcMar>
          </w:tcPr>
          <w:p>
            <w:r/>
            <w:r>
              <w:rPr>
                <w:b w:val="0"/>
                <w:sz w:val="16"/>
              </w:rPr>
              <w:t>Versioned deterministic calculations, effective dates, elections, thresholds, validation rules and calculation explanations.</w:t>
            </w:r>
          </w:p>
        </w:tc>
      </w:tr>
      <w:tr>
        <w:tc>
          <w:tcPr>
            <w:tcW w:type="dxa" w:w="5083"/>
            <w:vAlign w:val="center"/>
            <w:tcMar>
              <w:top w:w="80" w:type="dxa"/>
              <w:start w:w="80" w:type="dxa"/>
              <w:bottom w:w="80" w:type="dxa"/>
              <w:end w:w="80" w:type="dxa"/>
            </w:tcMar>
          </w:tcPr>
          <w:p>
            <w:r/>
            <w:r>
              <w:rPr>
                <w:b/>
                <w:sz w:val="16"/>
              </w:rPr>
              <w:t>Tax attribute subledgers</w:t>
            </w:r>
          </w:p>
        </w:tc>
        <w:tc>
          <w:tcPr>
            <w:tcW w:type="dxa" w:w="5083"/>
            <w:vAlign w:val="center"/>
            <w:tcMar>
              <w:top w:w="80" w:type="dxa"/>
              <w:start w:w="80" w:type="dxa"/>
              <w:bottom w:w="80" w:type="dxa"/>
              <w:end w:w="80" w:type="dxa"/>
            </w:tcMar>
          </w:tcPr>
          <w:p>
            <w:r/>
            <w:r>
              <w:rPr>
                <w:b w:val="0"/>
                <w:sz w:val="16"/>
              </w:rPr>
              <w:t>Losses, CCA, ACB, PUC, surplus, foreign tax, restricted interest, credits, instalments and other longitudinal balances.</w:t>
            </w:r>
          </w:p>
        </w:tc>
      </w:tr>
      <w:tr>
        <w:tc>
          <w:tcPr>
            <w:tcW w:type="dxa" w:w="5083"/>
            <w:vAlign w:val="center"/>
            <w:tcMar>
              <w:top w:w="80" w:type="dxa"/>
              <w:start w:w="80" w:type="dxa"/>
              <w:bottom w:w="80" w:type="dxa"/>
              <w:end w:w="80" w:type="dxa"/>
            </w:tcMar>
          </w:tcPr>
          <w:p>
            <w:r/>
            <w:r>
              <w:rPr>
                <w:b/>
                <w:sz w:val="16"/>
              </w:rPr>
              <w:t>Currency and FX service</w:t>
            </w:r>
          </w:p>
        </w:tc>
        <w:tc>
          <w:tcPr>
            <w:tcW w:type="dxa" w:w="5083"/>
            <w:vAlign w:val="center"/>
            <w:tcMar>
              <w:top w:w="80" w:type="dxa"/>
              <w:start w:w="80" w:type="dxa"/>
              <w:bottom w:w="80" w:type="dxa"/>
              <w:end w:w="80" w:type="dxa"/>
            </w:tcMar>
          </w:tcPr>
          <w:p>
            <w:r/>
            <w:r>
              <w:rPr>
                <w:b w:val="0"/>
                <w:sz w:val="16"/>
              </w:rPr>
              <w:t>Functional currency, transaction currency, prescribed rates, annual or spot-rate rules, overrides and reconciliation.</w:t>
            </w:r>
          </w:p>
        </w:tc>
      </w:tr>
      <w:tr>
        <w:tc>
          <w:tcPr>
            <w:tcW w:type="dxa" w:w="5083"/>
            <w:vAlign w:val="center"/>
            <w:tcMar>
              <w:top w:w="80" w:type="dxa"/>
              <w:start w:w="80" w:type="dxa"/>
              <w:bottom w:w="80" w:type="dxa"/>
              <w:end w:w="80" w:type="dxa"/>
            </w:tcMar>
          </w:tcPr>
          <w:p>
            <w:r/>
            <w:r>
              <w:rPr>
                <w:b/>
                <w:sz w:val="16"/>
              </w:rPr>
              <w:t>Workflow and orchestration engine</w:t>
            </w:r>
          </w:p>
        </w:tc>
        <w:tc>
          <w:tcPr>
            <w:tcW w:type="dxa" w:w="5083"/>
            <w:vAlign w:val="center"/>
            <w:tcMar>
              <w:top w:w="80" w:type="dxa"/>
              <w:start w:w="80" w:type="dxa"/>
              <w:bottom w:w="80" w:type="dxa"/>
              <w:end w:w="80" w:type="dxa"/>
            </w:tcMar>
          </w:tcPr>
          <w:p>
            <w:r/>
            <w:r>
              <w:rPr>
                <w:b w:val="0"/>
                <w:sz w:val="16"/>
              </w:rPr>
              <w:t>Long-running workflow state, dependencies, pauses, user requests, approvals, retries and cross-workflow triggers.</w:t>
            </w:r>
          </w:p>
        </w:tc>
      </w:tr>
      <w:tr>
        <w:tc>
          <w:tcPr>
            <w:tcW w:type="dxa" w:w="5083"/>
            <w:vAlign w:val="center"/>
            <w:tcMar>
              <w:top w:w="80" w:type="dxa"/>
              <w:start w:w="80" w:type="dxa"/>
              <w:bottom w:w="80" w:type="dxa"/>
              <w:end w:w="80" w:type="dxa"/>
            </w:tcMar>
          </w:tcPr>
          <w:p>
            <w:r/>
            <w:r>
              <w:rPr>
                <w:b/>
                <w:sz w:val="16"/>
              </w:rPr>
              <w:t>Professional judgment layer</w:t>
            </w:r>
          </w:p>
        </w:tc>
        <w:tc>
          <w:tcPr>
            <w:tcW w:type="dxa" w:w="5083"/>
            <w:vAlign w:val="center"/>
            <w:tcMar>
              <w:top w:w="80" w:type="dxa"/>
              <w:start w:w="80" w:type="dxa"/>
              <w:bottom w:w="80" w:type="dxa"/>
              <w:end w:w="80" w:type="dxa"/>
            </w:tcMar>
          </w:tcPr>
          <w:p>
            <w:r/>
            <w:r>
              <w:rPr>
                <w:b w:val="0"/>
                <w:sz w:val="16"/>
              </w:rPr>
              <w:t>Structured tax positions, decision prompts, reviewer approvals, rationale, materiality and reusable rulebooks.</w:t>
            </w:r>
          </w:p>
        </w:tc>
      </w:tr>
      <w:tr>
        <w:tc>
          <w:tcPr>
            <w:tcW w:type="dxa" w:w="5083"/>
            <w:vAlign w:val="center"/>
            <w:tcMar>
              <w:top w:w="80" w:type="dxa"/>
              <w:start w:w="80" w:type="dxa"/>
              <w:bottom w:w="80" w:type="dxa"/>
              <w:end w:w="80" w:type="dxa"/>
            </w:tcMar>
          </w:tcPr>
          <w:p>
            <w:r/>
            <w:r>
              <w:rPr>
                <w:b/>
                <w:sz w:val="16"/>
              </w:rPr>
              <w:t>Evidence, lineage and audit trail</w:t>
            </w:r>
          </w:p>
        </w:tc>
        <w:tc>
          <w:tcPr>
            <w:tcW w:type="dxa" w:w="5083"/>
            <w:vAlign w:val="center"/>
            <w:tcMar>
              <w:top w:w="80" w:type="dxa"/>
              <w:start w:w="80" w:type="dxa"/>
              <w:bottom w:w="80" w:type="dxa"/>
              <w:end w:w="80" w:type="dxa"/>
            </w:tcMar>
          </w:tcPr>
          <w:p>
            <w:r/>
            <w:r>
              <w:rPr>
                <w:b w:val="0"/>
                <w:sz w:val="16"/>
              </w:rPr>
              <w:t>Source-to-output traceability, calculation lineage, revisions, preparer/reviewer actions and immutable history.</w:t>
            </w:r>
          </w:p>
        </w:tc>
      </w:tr>
      <w:tr>
        <w:tc>
          <w:tcPr>
            <w:tcW w:type="dxa" w:w="5083"/>
            <w:vAlign w:val="center"/>
            <w:tcMar>
              <w:top w:w="80" w:type="dxa"/>
              <w:start w:w="80" w:type="dxa"/>
              <w:bottom w:w="80" w:type="dxa"/>
              <w:end w:w="80" w:type="dxa"/>
            </w:tcMar>
          </w:tcPr>
          <w:p>
            <w:r/>
            <w:r>
              <w:rPr>
                <w:b/>
                <w:sz w:val="16"/>
              </w:rPr>
              <w:t>Exception and materiality engine</w:t>
            </w:r>
          </w:p>
        </w:tc>
        <w:tc>
          <w:tcPr>
            <w:tcW w:type="dxa" w:w="5083"/>
            <w:vAlign w:val="center"/>
            <w:tcMar>
              <w:top w:w="80" w:type="dxa"/>
              <w:start w:w="80" w:type="dxa"/>
              <w:bottom w:w="80" w:type="dxa"/>
              <w:end w:w="80" w:type="dxa"/>
            </w:tcMar>
          </w:tcPr>
          <w:p>
            <w:r/>
            <w:r>
              <w:rPr>
                <w:b w:val="0"/>
                <w:sz w:val="16"/>
              </w:rPr>
              <w:t>Portfolio-level risk scoring, unexplained changes, missing evidence, threshold breaches and review prioritization.</w:t>
            </w:r>
          </w:p>
        </w:tc>
      </w:tr>
      <w:tr>
        <w:tc>
          <w:tcPr>
            <w:tcW w:type="dxa" w:w="5083"/>
            <w:vAlign w:val="center"/>
            <w:tcMar>
              <w:top w:w="80" w:type="dxa"/>
              <w:start w:w="80" w:type="dxa"/>
              <w:bottom w:w="80" w:type="dxa"/>
              <w:end w:w="80" w:type="dxa"/>
            </w:tcMar>
          </w:tcPr>
          <w:p>
            <w:r/>
            <w:r>
              <w:rPr>
                <w:b/>
                <w:sz w:val="16"/>
              </w:rPr>
              <w:t>Prior-year rollforward service</w:t>
            </w:r>
          </w:p>
        </w:tc>
        <w:tc>
          <w:tcPr>
            <w:tcW w:type="dxa" w:w="5083"/>
            <w:vAlign w:val="center"/>
            <w:tcMar>
              <w:top w:w="80" w:type="dxa"/>
              <w:start w:w="80" w:type="dxa"/>
              <w:bottom w:w="80" w:type="dxa"/>
              <w:end w:w="80" w:type="dxa"/>
            </w:tcMar>
          </w:tcPr>
          <w:p>
            <w:r/>
            <w:r>
              <w:rPr>
                <w:b w:val="0"/>
                <w:sz w:val="16"/>
              </w:rPr>
              <w:t>Carry forward stable facts and mappings, detect changes, reopen positions and preserve historical versions.</w:t>
            </w:r>
          </w:p>
        </w:tc>
      </w:tr>
      <w:tr>
        <w:tc>
          <w:tcPr>
            <w:tcW w:type="dxa" w:w="5083"/>
            <w:vAlign w:val="center"/>
            <w:tcMar>
              <w:top w:w="80" w:type="dxa"/>
              <w:start w:w="80" w:type="dxa"/>
              <w:bottom w:w="80" w:type="dxa"/>
              <w:end w:w="80" w:type="dxa"/>
            </w:tcMar>
          </w:tcPr>
          <w:p>
            <w:r/>
            <w:r>
              <w:rPr>
                <w:b/>
                <w:sz w:val="16"/>
              </w:rPr>
              <w:t>Forms, workpapers and document generation</w:t>
            </w:r>
          </w:p>
        </w:tc>
        <w:tc>
          <w:tcPr>
            <w:tcW w:type="dxa" w:w="5083"/>
            <w:vAlign w:val="center"/>
            <w:tcMar>
              <w:top w:w="80" w:type="dxa"/>
              <w:start w:w="80" w:type="dxa"/>
              <w:bottom w:w="80" w:type="dxa"/>
              <w:end w:w="80" w:type="dxa"/>
            </w:tcMar>
          </w:tcPr>
          <w:p>
            <w:r/>
            <w:r>
              <w:rPr>
                <w:b w:val="0"/>
                <w:sz w:val="16"/>
              </w:rPr>
              <w:t>Structured workpapers, CRA forms, Excel schedules, Word memos, PowerPoint summaries and filing packages.</w:t>
            </w:r>
          </w:p>
        </w:tc>
      </w:tr>
      <w:tr>
        <w:tc>
          <w:tcPr>
            <w:tcW w:type="dxa" w:w="5083"/>
            <w:vAlign w:val="center"/>
            <w:tcMar>
              <w:top w:w="80" w:type="dxa"/>
              <w:start w:w="80" w:type="dxa"/>
              <w:bottom w:w="80" w:type="dxa"/>
              <w:end w:w="80" w:type="dxa"/>
            </w:tcMar>
          </w:tcPr>
          <w:p>
            <w:r/>
            <w:r>
              <w:rPr>
                <w:b/>
                <w:sz w:val="16"/>
              </w:rPr>
              <w:t>Portfolio operations layer</w:t>
            </w:r>
          </w:p>
        </w:tc>
        <w:tc>
          <w:tcPr>
            <w:tcW w:type="dxa" w:w="5083"/>
            <w:vAlign w:val="center"/>
            <w:tcMar>
              <w:top w:w="80" w:type="dxa"/>
              <w:start w:w="80" w:type="dxa"/>
              <w:bottom w:w="80" w:type="dxa"/>
              <w:end w:w="80" w:type="dxa"/>
            </w:tcMar>
          </w:tcPr>
          <w:p>
            <w:r/>
            <w:r>
              <w:rPr>
                <w:b w:val="0"/>
                <w:sz w:val="16"/>
              </w:rPr>
              <w:t>Cross-client deadlines, outstanding requests, work status, assignment, capacity, review queues and escalation.</w:t>
            </w:r>
          </w:p>
        </w:tc>
      </w:tr>
      <w:tr>
        <w:tc>
          <w:tcPr>
            <w:tcW w:type="dxa" w:w="5083"/>
            <w:vAlign w:val="center"/>
            <w:tcMar>
              <w:top w:w="80" w:type="dxa"/>
              <w:start w:w="80" w:type="dxa"/>
              <w:bottom w:w="80" w:type="dxa"/>
              <w:end w:w="80" w:type="dxa"/>
            </w:tcMar>
          </w:tcPr>
          <w:p>
            <w:r/>
            <w:r>
              <w:rPr>
                <w:b/>
                <w:sz w:val="16"/>
              </w:rPr>
              <w:t>Model routing and AI services</w:t>
            </w:r>
          </w:p>
        </w:tc>
        <w:tc>
          <w:tcPr>
            <w:tcW w:type="dxa" w:w="5083"/>
            <w:vAlign w:val="center"/>
            <w:tcMar>
              <w:top w:w="80" w:type="dxa"/>
              <w:start w:w="80" w:type="dxa"/>
              <w:bottom w:w="80" w:type="dxa"/>
              <w:end w:w="80" w:type="dxa"/>
            </w:tcMar>
          </w:tcPr>
          <w:p>
            <w:r/>
            <w:r>
              <w:rPr>
                <w:b w:val="0"/>
                <w:sz w:val="16"/>
              </w:rPr>
              <w:t>Task-level routing among suitable models for extraction, classification, drafting and reasoning; deterministic engines remain authoritative for calculations.</w:t>
            </w:r>
          </w:p>
        </w:tc>
      </w:tr>
    </w:tbl>
    <w:p>
      <w:pPr>
        <w:pStyle w:val="Heading2"/>
      </w:pPr>
      <w:r>
        <w:t>Reference execution pattern</w:t>
      </w:r>
    </w:p>
    <w:p>
      <w:pPr>
        <w:spacing w:after="40"/>
        <w:ind w:left="403" w:hanging="317"/>
      </w:pPr>
      <w:r>
        <w:rPr>
          <w:b/>
        </w:rPr>
        <w:t xml:space="preserve">1.  </w:t>
      </w:r>
      <w:r>
        <w:t>Determine applicability across the full client and entity portfolio.</w:t>
      </w:r>
    </w:p>
    <w:p>
      <w:pPr>
        <w:spacing w:after="40"/>
        <w:ind w:left="403" w:hanging="317"/>
      </w:pPr>
      <w:r>
        <w:rPr>
          <w:b/>
        </w:rPr>
        <w:t xml:space="preserve">2.  </w:t>
      </w:r>
      <w:r>
        <w:t>Open or roll forward workflow instances using prior-year facts, mappings and positions.</w:t>
      </w:r>
    </w:p>
    <w:p>
      <w:pPr>
        <w:spacing w:after="40"/>
        <w:ind w:left="403" w:hanging="317"/>
      </w:pPr>
      <w:r>
        <w:rPr>
          <w:b/>
        </w:rPr>
        <w:t xml:space="preserve">3.  </w:t>
      </w:r>
      <w:r>
        <w:t>Collect structured data and retrieve supporting documents from connected systems.</w:t>
      </w:r>
    </w:p>
    <w:p>
      <w:pPr>
        <w:spacing w:after="40"/>
        <w:ind w:left="403" w:hanging="317"/>
      </w:pPr>
      <w:r>
        <w:rPr>
          <w:b/>
        </w:rPr>
        <w:t xml:space="preserve">4.  </w:t>
      </w:r>
      <w:r>
        <w:t>Normalize, reconcile and validate the source data before tax processing begins.</w:t>
      </w:r>
    </w:p>
    <w:p>
      <w:pPr>
        <w:spacing w:after="40"/>
        <w:ind w:left="403" w:hanging="317"/>
      </w:pPr>
      <w:r>
        <w:rPr>
          <w:b/>
        </w:rPr>
        <w:t xml:space="preserve">5.  </w:t>
      </w:r>
      <w:r>
        <w:t>Execute deterministic rules and calculations; use AI only for fuzzy classification, extraction, research assistance and drafting.</w:t>
      </w:r>
    </w:p>
    <w:p>
      <w:pPr>
        <w:spacing w:after="40"/>
        <w:ind w:left="403" w:hanging="317"/>
      </w:pPr>
      <w:r>
        <w:rPr>
          <w:b/>
        </w:rPr>
        <w:t xml:space="preserve">6.  </w:t>
      </w:r>
      <w:r>
        <w:t>Stop at explicit professional judgment checkpoints and request focused decisions from the tax professional.</w:t>
      </w:r>
    </w:p>
    <w:p>
      <w:pPr>
        <w:spacing w:after="40"/>
        <w:ind w:left="403" w:hanging="317"/>
      </w:pPr>
      <w:r>
        <w:rPr>
          <w:b/>
        </w:rPr>
        <w:t xml:space="preserve">7.  </w:t>
      </w:r>
      <w:r>
        <w:t>Generate standardized workpapers, forms, explanations and client requests.</w:t>
      </w:r>
    </w:p>
    <w:p>
      <w:pPr>
        <w:spacing w:after="40"/>
        <w:ind w:left="403" w:hanging="317"/>
      </w:pPr>
      <w:r>
        <w:rPr>
          <w:b/>
        </w:rPr>
        <w:t xml:space="preserve">8.  </w:t>
      </w:r>
      <w:r>
        <w:t>Run manager-level diagnostics and summarize only material exceptions, changes and unsupported positions.</w:t>
      </w:r>
    </w:p>
    <w:p>
      <w:pPr>
        <w:spacing w:after="40"/>
        <w:ind w:left="403" w:hanging="317"/>
      </w:pPr>
      <w:r>
        <w:rPr>
          <w:b/>
        </w:rPr>
        <w:t xml:space="preserve">9.  </w:t>
      </w:r>
      <w:r>
        <w:t>Record sign-offs, evidence lineage and final conclusions.</w:t>
      </w:r>
    </w:p>
    <w:p>
      <w:pPr>
        <w:spacing w:after="40"/>
        <w:ind w:left="403" w:hanging="317"/>
      </w:pPr>
      <w:r>
        <w:rPr>
          <w:b/>
        </w:rPr>
        <w:t xml:space="preserve">10.  </w:t>
      </w:r>
      <w:r>
        <w:t>Write approved outputs back to shared tax ledgers and downstream workflows.</w:t>
      </w:r>
    </w:p>
    <w:p>
      <w:r>
        <w:br w:type="page"/>
      </w:r>
    </w:p>
    <w:p>
      <w:pPr>
        <w:pStyle w:val="Heading1"/>
      </w:pPr>
      <w:r>
        <w:t>2. Tier 1 and Extremely High-Scale Workflows</w:t>
      </w:r>
    </w:p>
    <w:p>
      <w:pPr>
        <w:pStyle w:val="Heading2"/>
      </w:pPr>
      <w:r>
        <w:t>2.1 Foreign Affiliate Ownership and Entity Graph</w:t>
      </w:r>
    </w:p>
    <w:tbl>
      <w:tblPr>
        <w:tblStyle w:val="TableGrid"/>
        <w:tblW w:type="auto" w:w="0"/>
        <w:jc w:val="left"/>
        <w:tblLook w:firstColumn="1" w:firstRow="1" w:lastColumn="0" w:lastRow="0" w:noHBand="0" w:noVBand="1" w:val="04A0"/>
      </w:tblPr>
      <w:tblGrid>
        <w:gridCol w:w="3389"/>
        <w:gridCol w:w="3389"/>
        <w:gridCol w:w="3389"/>
      </w:tblGrid>
      <w:tr>
        <w:tc>
          <w:tcPr>
            <w:tcW w:type="dxa" w:w="3389"/>
            <w:vAlign w:val="center"/>
            <w:shd w:fill="1F2937"/>
            <w:tcMar>
              <w:top w:w="80" w:type="dxa"/>
              <w:start w:w="80" w:type="dxa"/>
              <w:bottom w:w="80" w:type="dxa"/>
              <w:end w:w="80" w:type="dxa"/>
            </w:tcMar>
          </w:tcPr>
          <w:p>
            <w:r/>
            <w:r>
              <w:rPr>
                <w:b/>
                <w:color w:val="FFFFFF"/>
                <w:sz w:val="16"/>
              </w:rPr>
              <w:t>Priority</w:t>
            </w:r>
          </w:p>
        </w:tc>
        <w:tc>
          <w:tcPr>
            <w:tcW w:type="dxa" w:w="3389"/>
            <w:vAlign w:val="center"/>
            <w:shd w:fill="1F2937"/>
            <w:tcMar>
              <w:top w:w="80" w:type="dxa"/>
              <w:start w:w="80" w:type="dxa"/>
              <w:bottom w:w="80" w:type="dxa"/>
              <w:end w:w="80" w:type="dxa"/>
            </w:tcMar>
          </w:tcPr>
          <w:p>
            <w:r/>
            <w:r>
              <w:rPr>
                <w:b/>
                <w:color w:val="FFFFFF"/>
                <w:sz w:val="16"/>
              </w:rPr>
              <w:t>Scale potential</w:t>
            </w:r>
          </w:p>
        </w:tc>
        <w:tc>
          <w:tcPr>
            <w:tcW w:type="dxa" w:w="3389"/>
            <w:vAlign w:val="center"/>
            <w:shd w:fill="1F2937"/>
            <w:tcMar>
              <w:top w:w="80" w:type="dxa"/>
              <w:start w:w="80" w:type="dxa"/>
              <w:bottom w:w="80" w:type="dxa"/>
              <w:end w:w="80" w:type="dxa"/>
            </w:tcMar>
          </w:tcPr>
          <w:p>
            <w:r/>
            <w:r>
              <w:rPr>
                <w:b/>
                <w:color w:val="FFFFFF"/>
                <w:sz w:val="16"/>
              </w:rPr>
              <w:t>Strategic role</w:t>
            </w:r>
          </w:p>
        </w:tc>
      </w:tr>
      <w:tr>
        <w:tc>
          <w:tcPr>
            <w:tcW w:type="dxa" w:w="3389"/>
            <w:vAlign w:val="center"/>
            <w:tcMar>
              <w:top w:w="80" w:type="dxa"/>
              <w:start w:w="80" w:type="dxa"/>
              <w:bottom w:w="80" w:type="dxa"/>
              <w:end w:w="80" w:type="dxa"/>
            </w:tcMar>
          </w:tcPr>
          <w:p>
            <w:r/>
            <w:r>
              <w:rPr>
                <w:b w:val="0"/>
                <w:sz w:val="16"/>
              </w:rPr>
              <w:t>Foundation</w:t>
            </w:r>
          </w:p>
        </w:tc>
        <w:tc>
          <w:tcPr>
            <w:tcW w:type="dxa" w:w="3389"/>
            <w:vAlign w:val="center"/>
            <w:tcMar>
              <w:top w:w="80" w:type="dxa"/>
              <w:start w:w="80" w:type="dxa"/>
              <w:bottom w:w="80" w:type="dxa"/>
              <w:end w:w="80" w:type="dxa"/>
            </w:tcMar>
          </w:tcPr>
          <w:p>
            <w:r/>
            <w:r>
              <w:rPr>
                <w:b w:val="0"/>
                <w:sz w:val="16"/>
              </w:rPr>
              <w:t>Extremely high</w:t>
            </w:r>
          </w:p>
        </w:tc>
        <w:tc>
          <w:tcPr>
            <w:tcW w:type="dxa" w:w="3389"/>
            <w:vAlign w:val="center"/>
            <w:tcMar>
              <w:top w:w="80" w:type="dxa"/>
              <w:start w:w="80" w:type="dxa"/>
              <w:bottom w:w="80" w:type="dxa"/>
              <w:end w:w="80" w:type="dxa"/>
            </w:tcMar>
          </w:tcPr>
          <w:p>
            <w:r/>
            <w:r>
              <w:rPr>
                <w:b w:val="0"/>
                <w:sz w:val="16"/>
              </w:rPr>
              <w:t>Common foundation for international tax workflows and cross-form consistency.</w:t>
            </w:r>
          </w:p>
        </w:tc>
      </w:tr>
    </w:tbl>
    <w:p/>
    <w:p>
      <w:r>
        <w:rPr>
          <w:b/>
        </w:rPr>
        <w:t>Recommended workflow steps</w:t>
      </w:r>
    </w:p>
    <w:p>
      <w:pPr>
        <w:spacing w:after="40"/>
        <w:ind w:left="403" w:hanging="317"/>
      </w:pPr>
      <w:r>
        <w:rPr>
          <w:b/>
        </w:rPr>
        <w:t xml:space="preserve">1.  </w:t>
      </w:r>
      <w:r>
        <w:t>Import the legal entity structure, tax residence, incorporation details and ownership records.</w:t>
      </w:r>
    </w:p>
    <w:p>
      <w:pPr>
        <w:spacing w:after="40"/>
        <w:ind w:left="403" w:hanging="317"/>
      </w:pPr>
      <w:r>
        <w:rPr>
          <w:b/>
        </w:rPr>
        <w:t xml:space="preserve">2.  </w:t>
      </w:r>
      <w:r>
        <w:t>Normalize entity names and identifiers across legal, consolidation and tax systems.</w:t>
      </w:r>
    </w:p>
    <w:p>
      <w:pPr>
        <w:spacing w:after="40"/>
        <w:ind w:left="403" w:hanging="317"/>
      </w:pPr>
      <w:r>
        <w:rPr>
          <w:b/>
        </w:rPr>
        <w:t xml:space="preserve">3.  </w:t>
      </w:r>
      <w:r>
        <w:t>Calculate direct and indirect ownership percentages by effective date.</w:t>
      </w:r>
    </w:p>
    <w:p>
      <w:pPr>
        <w:spacing w:after="40"/>
        <w:ind w:left="403" w:hanging="317"/>
      </w:pPr>
      <w:r>
        <w:rPr>
          <w:b/>
        </w:rPr>
        <w:t xml:space="preserve">4.  </w:t>
      </w:r>
      <w:r>
        <w:t>Determine foreign affiliate and controlled foreign affiliate status.</w:t>
      </w:r>
    </w:p>
    <w:p>
      <w:pPr>
        <w:spacing w:after="40"/>
        <w:ind w:left="403" w:hanging="317"/>
      </w:pPr>
      <w:r>
        <w:rPr>
          <w:b/>
        </w:rPr>
        <w:t xml:space="preserve">5.  </w:t>
      </w:r>
      <w:r>
        <w:t>Calculate equity and participating percentages where required.</w:t>
      </w:r>
    </w:p>
    <w:p>
      <w:pPr>
        <w:spacing w:after="40"/>
        <w:ind w:left="403" w:hanging="317"/>
      </w:pPr>
      <w:r>
        <w:rPr>
          <w:b/>
        </w:rPr>
        <w:t xml:space="preserve">6.  </w:t>
      </w:r>
      <w:r>
        <w:t>Detect acquisitions, dispositions, liquidations, amalgamations and ownership changes.</w:t>
      </w:r>
    </w:p>
    <w:p>
      <w:pPr>
        <w:spacing w:after="40"/>
        <w:ind w:left="403" w:hanging="317"/>
      </w:pPr>
      <w:r>
        <w:rPr>
          <w:b/>
        </w:rPr>
        <w:t xml:space="preserve">7.  </w:t>
      </w:r>
      <w:r>
        <w:t>Request professional confirmation for ambiguous control or de facto control issues.</w:t>
      </w:r>
    </w:p>
    <w:p>
      <w:pPr>
        <w:spacing w:after="40"/>
        <w:ind w:left="403" w:hanging="317"/>
      </w:pPr>
      <w:r>
        <w:rPr>
          <w:b/>
        </w:rPr>
        <w:t xml:space="preserve">8.  </w:t>
      </w:r>
      <w:r>
        <w:t>Publish an approved entity graph for use by T1134, FAPI, surplus, CbCR and Pillar Two.</w:t>
      </w:r>
    </w:p>
    <w:p>
      <w:r>
        <w:rPr>
          <w:b/>
        </w:rPr>
        <w:t>Recommended reusable building blocks</w:t>
      </w:r>
    </w:p>
    <w:p>
      <w:pPr>
        <w:pStyle w:val="ListBullet"/>
        <w:spacing w:after="40"/>
      </w:pPr>
      <w:r>
        <w:t>Legal entity and ownership graph</w:t>
      </w:r>
    </w:p>
    <w:p>
      <w:pPr>
        <w:pStyle w:val="ListBullet"/>
        <w:spacing w:after="40"/>
      </w:pPr>
      <w:r>
        <w:t>Document extraction</w:t>
      </w:r>
    </w:p>
    <w:p>
      <w:pPr>
        <w:pStyle w:val="ListBullet"/>
        <w:spacing w:after="40"/>
      </w:pPr>
      <w:r>
        <w:t>Tax rule engine</w:t>
      </w:r>
    </w:p>
    <w:p>
      <w:pPr>
        <w:pStyle w:val="ListBullet"/>
        <w:spacing w:after="40"/>
      </w:pPr>
      <w:r>
        <w:t>Professional judgment layer</w:t>
      </w:r>
    </w:p>
    <w:p>
      <w:pPr>
        <w:pStyle w:val="ListBullet"/>
        <w:spacing w:after="40"/>
      </w:pPr>
      <w:r>
        <w:t>Evidence lineage</w:t>
      </w:r>
    </w:p>
    <w:p>
      <w:pPr>
        <w:pStyle w:val="ListBullet"/>
        <w:spacing w:after="40"/>
      </w:pPr>
      <w:r>
        <w:t>Prior-year rollforward</w:t>
      </w:r>
    </w:p>
    <w:p>
      <w:pPr>
        <w:pStyle w:val="ListBullet"/>
        <w:spacing w:after="40"/>
      </w:pPr>
      <w:r>
        <w:t>Cross-workflow consistency checks</w:t>
      </w:r>
    </w:p>
    <w:p>
      <w:r>
        <w:rPr>
          <w:b/>
        </w:rPr>
        <w:t>Manager-level outputs</w:t>
      </w:r>
    </w:p>
    <w:p>
      <w:pPr>
        <w:pStyle w:val="ListBullet"/>
        <w:spacing w:after="40"/>
      </w:pPr>
      <w:r>
        <w:t>Approved entity and ownership register</w:t>
      </w:r>
    </w:p>
    <w:p>
      <w:pPr>
        <w:pStyle w:val="ListBullet"/>
        <w:spacing w:after="40"/>
      </w:pPr>
      <w:r>
        <w:t>Foreign affiliate/CFA determination schedule</w:t>
      </w:r>
    </w:p>
    <w:p>
      <w:pPr>
        <w:pStyle w:val="ListBullet"/>
        <w:spacing w:after="40"/>
      </w:pPr>
      <w:r>
        <w:t>Ownership change report</w:t>
      </w:r>
    </w:p>
    <w:p>
      <w:pPr>
        <w:pStyle w:val="ListBullet"/>
        <w:spacing w:after="40"/>
      </w:pPr>
      <w:r>
        <w:t>Participating percentage schedule</w:t>
      </w:r>
    </w:p>
    <w:p>
      <w:pPr>
        <w:pStyle w:val="ListBullet"/>
        <w:spacing w:after="40"/>
      </w:pPr>
      <w:r>
        <w:t>Manager exception summary</w:t>
      </w:r>
    </w:p>
    <w:p>
      <w:pPr>
        <w:pStyle w:val="Heading2"/>
      </w:pPr>
      <w:r>
        <w:t>2.2 T1134 Foreign Affiliate Reporting</w:t>
      </w:r>
    </w:p>
    <w:tbl>
      <w:tblPr>
        <w:tblStyle w:val="TableGrid"/>
        <w:tblW w:type="auto" w:w="0"/>
        <w:jc w:val="left"/>
        <w:tblLook w:firstColumn="1" w:firstRow="1" w:lastColumn="0" w:lastRow="0" w:noHBand="0" w:noVBand="1" w:val="04A0"/>
      </w:tblPr>
      <w:tblGrid>
        <w:gridCol w:w="3389"/>
        <w:gridCol w:w="3389"/>
        <w:gridCol w:w="3389"/>
      </w:tblGrid>
      <w:tr>
        <w:tc>
          <w:tcPr>
            <w:tcW w:type="dxa" w:w="3389"/>
            <w:vAlign w:val="center"/>
            <w:shd w:fill="1F2937"/>
            <w:tcMar>
              <w:top w:w="80" w:type="dxa"/>
              <w:start w:w="80" w:type="dxa"/>
              <w:bottom w:w="80" w:type="dxa"/>
              <w:end w:w="80" w:type="dxa"/>
            </w:tcMar>
          </w:tcPr>
          <w:p>
            <w:r/>
            <w:r>
              <w:rPr>
                <w:b/>
                <w:color w:val="FFFFFF"/>
                <w:sz w:val="16"/>
              </w:rPr>
              <w:t>Priority</w:t>
            </w:r>
          </w:p>
        </w:tc>
        <w:tc>
          <w:tcPr>
            <w:tcW w:type="dxa" w:w="3389"/>
            <w:vAlign w:val="center"/>
            <w:shd w:fill="1F2937"/>
            <w:tcMar>
              <w:top w:w="80" w:type="dxa"/>
              <w:start w:w="80" w:type="dxa"/>
              <w:bottom w:w="80" w:type="dxa"/>
              <w:end w:w="80" w:type="dxa"/>
            </w:tcMar>
          </w:tcPr>
          <w:p>
            <w:r/>
            <w:r>
              <w:rPr>
                <w:b/>
                <w:color w:val="FFFFFF"/>
                <w:sz w:val="16"/>
              </w:rPr>
              <w:t>Scale potential</w:t>
            </w:r>
          </w:p>
        </w:tc>
        <w:tc>
          <w:tcPr>
            <w:tcW w:type="dxa" w:w="3389"/>
            <w:vAlign w:val="center"/>
            <w:shd w:fill="1F2937"/>
            <w:tcMar>
              <w:top w:w="80" w:type="dxa"/>
              <w:start w:w="80" w:type="dxa"/>
              <w:bottom w:w="80" w:type="dxa"/>
              <w:end w:w="80" w:type="dxa"/>
            </w:tcMar>
          </w:tcPr>
          <w:p>
            <w:r/>
            <w:r>
              <w:rPr>
                <w:b/>
                <w:color w:val="FFFFFF"/>
                <w:sz w:val="16"/>
              </w:rPr>
              <w:t>Strategic role</w:t>
            </w:r>
          </w:p>
        </w:tc>
      </w:tr>
      <w:tr>
        <w:tc>
          <w:tcPr>
            <w:tcW w:type="dxa" w:w="3389"/>
            <w:vAlign w:val="center"/>
            <w:tcMar>
              <w:top w:w="80" w:type="dxa"/>
              <w:start w:w="80" w:type="dxa"/>
              <w:bottom w:w="80" w:type="dxa"/>
              <w:end w:w="80" w:type="dxa"/>
            </w:tcMar>
          </w:tcPr>
          <w:p>
            <w:r/>
            <w:r>
              <w:rPr>
                <w:b w:val="0"/>
                <w:sz w:val="16"/>
              </w:rPr>
              <w:t>Tier 1</w:t>
            </w:r>
          </w:p>
        </w:tc>
        <w:tc>
          <w:tcPr>
            <w:tcW w:type="dxa" w:w="3389"/>
            <w:vAlign w:val="center"/>
            <w:tcMar>
              <w:top w:w="80" w:type="dxa"/>
              <w:start w:w="80" w:type="dxa"/>
              <w:bottom w:w="80" w:type="dxa"/>
              <w:end w:w="80" w:type="dxa"/>
            </w:tcMar>
          </w:tcPr>
          <w:p>
            <w:r/>
            <w:r>
              <w:rPr>
                <w:b w:val="0"/>
                <w:sz w:val="16"/>
              </w:rPr>
              <w:t>Extremely high</w:t>
            </w:r>
          </w:p>
        </w:tc>
        <w:tc>
          <w:tcPr>
            <w:tcW w:type="dxa" w:w="3389"/>
            <w:vAlign w:val="center"/>
            <w:tcMar>
              <w:top w:w="80" w:type="dxa"/>
              <w:start w:w="80" w:type="dxa"/>
              <w:bottom w:w="80" w:type="dxa"/>
              <w:end w:w="80" w:type="dxa"/>
            </w:tcMar>
          </w:tcPr>
          <w:p>
            <w:r/>
            <w:r>
              <w:rPr>
                <w:b w:val="0"/>
                <w:sz w:val="16"/>
              </w:rPr>
              <w:t>Flagship annual information-reporting workflow with strong entity-scale economics.</w:t>
            </w:r>
          </w:p>
        </w:tc>
      </w:tr>
    </w:tbl>
    <w:p/>
    <w:p>
      <w:r>
        <w:rPr>
          <w:b/>
        </w:rPr>
        <w:t>Recommended workflow steps</w:t>
      </w:r>
    </w:p>
    <w:p>
      <w:pPr>
        <w:spacing w:after="40"/>
        <w:ind w:left="403" w:hanging="317"/>
      </w:pPr>
      <w:r>
        <w:rPr>
          <w:b/>
        </w:rPr>
        <w:t xml:space="preserve">1.  </w:t>
      </w:r>
      <w:r>
        <w:t>Determine filing entities and reporting obligations using the approved ownership graph.</w:t>
      </w:r>
    </w:p>
    <w:p>
      <w:pPr>
        <w:spacing w:after="40"/>
        <w:ind w:left="403" w:hanging="317"/>
      </w:pPr>
      <w:r>
        <w:rPr>
          <w:b/>
        </w:rPr>
        <w:t xml:space="preserve">2.  </w:t>
      </w:r>
      <w:r>
        <w:t>Roll forward prior-year affiliate records, supplements and persistent facts.</w:t>
      </w:r>
    </w:p>
    <w:p>
      <w:pPr>
        <w:spacing w:after="40"/>
        <w:ind w:left="403" w:hanging="317"/>
      </w:pPr>
      <w:r>
        <w:rPr>
          <w:b/>
        </w:rPr>
        <w:t xml:space="preserve">3.  </w:t>
      </w:r>
      <w:r>
        <w:t>Identify new, disposed, dormant or reorganized affiliates.</w:t>
      </w:r>
    </w:p>
    <w:p>
      <w:pPr>
        <w:spacing w:after="40"/>
        <w:ind w:left="403" w:hanging="317"/>
      </w:pPr>
      <w:r>
        <w:rPr>
          <w:b/>
        </w:rPr>
        <w:t xml:space="preserve">4.  </w:t>
      </w:r>
      <w:r>
        <w:t>Collect financial, operational, ownership and foreign affiliate information.</w:t>
      </w:r>
    </w:p>
    <w:p>
      <w:pPr>
        <w:spacing w:after="40"/>
        <w:ind w:left="403" w:hanging="317"/>
      </w:pPr>
      <w:r>
        <w:rPr>
          <w:b/>
        </w:rPr>
        <w:t xml:space="preserve">5.  </w:t>
      </w:r>
      <w:r>
        <w:t>Reconcile affiliate financial data to consolidation records and source statements.</w:t>
      </w:r>
    </w:p>
    <w:p>
      <w:pPr>
        <w:spacing w:after="40"/>
        <w:ind w:left="403" w:hanging="317"/>
      </w:pPr>
      <w:r>
        <w:rPr>
          <w:b/>
        </w:rPr>
        <w:t xml:space="preserve">6.  </w:t>
      </w:r>
      <w:r>
        <w:t>Populate the summary and affiliate-level supplements.</w:t>
      </w:r>
    </w:p>
    <w:p>
      <w:pPr>
        <w:spacing w:after="40"/>
        <w:ind w:left="403" w:hanging="317"/>
      </w:pPr>
      <w:r>
        <w:rPr>
          <w:b/>
        </w:rPr>
        <w:t xml:space="preserve">7.  </w:t>
      </w:r>
      <w:r>
        <w:t>Run validations across affiliates, ownership percentages, financial data and related workflows.</w:t>
      </w:r>
    </w:p>
    <w:p>
      <w:pPr>
        <w:spacing w:after="40"/>
        <w:ind w:left="403" w:hanging="317"/>
      </w:pPr>
      <w:r>
        <w:rPr>
          <w:b/>
        </w:rPr>
        <w:t xml:space="preserve">8.  </w:t>
      </w:r>
      <w:r>
        <w:t>Surface only missing information, year-over-year anomalies and judgment items.</w:t>
      </w:r>
    </w:p>
    <w:p>
      <w:pPr>
        <w:spacing w:after="40"/>
        <w:ind w:left="403" w:hanging="317"/>
      </w:pPr>
      <w:r>
        <w:rPr>
          <w:b/>
        </w:rPr>
        <w:t xml:space="preserve">9.  </w:t>
      </w:r>
      <w:r>
        <w:t>Generate the T1134 package, supporting workpaper and manager review summary.</w:t>
      </w:r>
    </w:p>
    <w:p>
      <w:pPr>
        <w:spacing w:after="40"/>
        <w:ind w:left="403" w:hanging="317"/>
      </w:pPr>
      <w:r>
        <w:rPr>
          <w:b/>
        </w:rPr>
        <w:t xml:space="preserve">10.  </w:t>
      </w:r>
      <w:r>
        <w:t>Write approved affiliate facts back to the entity graph and tax data layer.</w:t>
      </w:r>
    </w:p>
    <w:p>
      <w:r>
        <w:rPr>
          <w:b/>
        </w:rPr>
        <w:t>Recommended reusable building blocks</w:t>
      </w:r>
    </w:p>
    <w:p>
      <w:pPr>
        <w:pStyle w:val="ListBullet"/>
        <w:spacing w:after="40"/>
      </w:pPr>
      <w:r>
        <w:t>Ownership graph</w:t>
      </w:r>
    </w:p>
    <w:p>
      <w:pPr>
        <w:pStyle w:val="ListBullet"/>
        <w:spacing w:after="40"/>
      </w:pPr>
      <w:r>
        <w:t>Document extraction</w:t>
      </w:r>
    </w:p>
    <w:p>
      <w:pPr>
        <w:pStyle w:val="ListBullet"/>
        <w:spacing w:after="40"/>
      </w:pPr>
      <w:r>
        <w:t>Workflow engine</w:t>
      </w:r>
    </w:p>
    <w:p>
      <w:pPr>
        <w:pStyle w:val="ListBullet"/>
        <w:spacing w:after="40"/>
      </w:pPr>
      <w:r>
        <w:t>Prior-year rollforward</w:t>
      </w:r>
    </w:p>
    <w:p>
      <w:pPr>
        <w:pStyle w:val="ListBullet"/>
        <w:spacing w:after="40"/>
      </w:pPr>
      <w:r>
        <w:t>FX service</w:t>
      </w:r>
    </w:p>
    <w:p>
      <w:pPr>
        <w:pStyle w:val="ListBullet"/>
        <w:spacing w:after="40"/>
      </w:pPr>
      <w:r>
        <w:t>Form generation</w:t>
      </w:r>
    </w:p>
    <w:p>
      <w:pPr>
        <w:pStyle w:val="ListBullet"/>
        <w:spacing w:after="40"/>
      </w:pPr>
      <w:r>
        <w:t>Evidence lineage</w:t>
      </w:r>
    </w:p>
    <w:p>
      <w:pPr>
        <w:pStyle w:val="ListBullet"/>
        <w:spacing w:after="40"/>
      </w:pPr>
      <w:r>
        <w:t>Exception engine</w:t>
      </w:r>
    </w:p>
    <w:p>
      <w:pPr>
        <w:pStyle w:val="ListBullet"/>
        <w:spacing w:after="40"/>
      </w:pPr>
      <w:r>
        <w:t>Manager review</w:t>
      </w:r>
    </w:p>
    <w:p>
      <w:r>
        <w:rPr>
          <w:b/>
        </w:rPr>
        <w:t>Manager-level outputs</w:t>
      </w:r>
    </w:p>
    <w:p>
      <w:pPr>
        <w:pStyle w:val="ListBullet"/>
        <w:spacing w:after="40"/>
      </w:pPr>
      <w:r>
        <w:t>Completed T1134 summary and supplements</w:t>
      </w:r>
    </w:p>
    <w:p>
      <w:pPr>
        <w:pStyle w:val="ListBullet"/>
        <w:spacing w:after="40"/>
      </w:pPr>
      <w:r>
        <w:t>Affiliate-level support schedules</w:t>
      </w:r>
    </w:p>
    <w:p>
      <w:pPr>
        <w:pStyle w:val="ListBullet"/>
        <w:spacing w:after="40"/>
      </w:pPr>
      <w:r>
        <w:t>Information request list</w:t>
      </w:r>
    </w:p>
    <w:p>
      <w:pPr>
        <w:pStyle w:val="ListBullet"/>
        <w:spacing w:after="40"/>
      </w:pPr>
      <w:r>
        <w:t>Prior-year variance report</w:t>
      </w:r>
    </w:p>
    <w:p>
      <w:pPr>
        <w:pStyle w:val="ListBullet"/>
        <w:spacing w:after="40"/>
      </w:pPr>
      <w:r>
        <w:t>Manager-level exception and sign-off package</w:t>
      </w:r>
    </w:p>
    <w:p>
      <w:pPr>
        <w:pStyle w:val="Heading2"/>
      </w:pPr>
      <w:r>
        <w:t>2.3 FAPI Calculation</w:t>
      </w:r>
    </w:p>
    <w:tbl>
      <w:tblPr>
        <w:tblStyle w:val="TableGrid"/>
        <w:tblW w:type="auto" w:w="0"/>
        <w:jc w:val="left"/>
        <w:tblLook w:firstColumn="1" w:firstRow="1" w:lastColumn="0" w:lastRow="0" w:noHBand="0" w:noVBand="1" w:val="04A0"/>
      </w:tblPr>
      <w:tblGrid>
        <w:gridCol w:w="3389"/>
        <w:gridCol w:w="3389"/>
        <w:gridCol w:w="3389"/>
      </w:tblGrid>
      <w:tr>
        <w:tc>
          <w:tcPr>
            <w:tcW w:type="dxa" w:w="3389"/>
            <w:vAlign w:val="center"/>
            <w:shd w:fill="1F2937"/>
            <w:tcMar>
              <w:top w:w="80" w:type="dxa"/>
              <w:start w:w="80" w:type="dxa"/>
              <w:bottom w:w="80" w:type="dxa"/>
              <w:end w:w="80" w:type="dxa"/>
            </w:tcMar>
          </w:tcPr>
          <w:p>
            <w:r/>
            <w:r>
              <w:rPr>
                <w:b/>
                <w:color w:val="FFFFFF"/>
                <w:sz w:val="16"/>
              </w:rPr>
              <w:t>Priority</w:t>
            </w:r>
          </w:p>
        </w:tc>
        <w:tc>
          <w:tcPr>
            <w:tcW w:type="dxa" w:w="3389"/>
            <w:vAlign w:val="center"/>
            <w:shd w:fill="1F2937"/>
            <w:tcMar>
              <w:top w:w="80" w:type="dxa"/>
              <w:start w:w="80" w:type="dxa"/>
              <w:bottom w:w="80" w:type="dxa"/>
              <w:end w:w="80" w:type="dxa"/>
            </w:tcMar>
          </w:tcPr>
          <w:p>
            <w:r/>
            <w:r>
              <w:rPr>
                <w:b/>
                <w:color w:val="FFFFFF"/>
                <w:sz w:val="16"/>
              </w:rPr>
              <w:t>Scale potential</w:t>
            </w:r>
          </w:p>
        </w:tc>
        <w:tc>
          <w:tcPr>
            <w:tcW w:type="dxa" w:w="3389"/>
            <w:vAlign w:val="center"/>
            <w:shd w:fill="1F2937"/>
            <w:tcMar>
              <w:top w:w="80" w:type="dxa"/>
              <w:start w:w="80" w:type="dxa"/>
              <w:bottom w:w="80" w:type="dxa"/>
              <w:end w:w="80" w:type="dxa"/>
            </w:tcMar>
          </w:tcPr>
          <w:p>
            <w:r/>
            <w:r>
              <w:rPr>
                <w:b/>
                <w:color w:val="FFFFFF"/>
                <w:sz w:val="16"/>
              </w:rPr>
              <w:t>Strategic role</w:t>
            </w:r>
          </w:p>
        </w:tc>
      </w:tr>
      <w:tr>
        <w:tc>
          <w:tcPr>
            <w:tcW w:type="dxa" w:w="3389"/>
            <w:vAlign w:val="center"/>
            <w:tcMar>
              <w:top w:w="80" w:type="dxa"/>
              <w:start w:w="80" w:type="dxa"/>
              <w:bottom w:w="80" w:type="dxa"/>
              <w:end w:w="80" w:type="dxa"/>
            </w:tcMar>
          </w:tcPr>
          <w:p>
            <w:r/>
            <w:r>
              <w:rPr>
                <w:b w:val="0"/>
                <w:sz w:val="16"/>
              </w:rPr>
              <w:t>Tier 1</w:t>
            </w:r>
          </w:p>
        </w:tc>
        <w:tc>
          <w:tcPr>
            <w:tcW w:type="dxa" w:w="3389"/>
            <w:vAlign w:val="center"/>
            <w:tcMar>
              <w:top w:w="80" w:type="dxa"/>
              <w:start w:w="80" w:type="dxa"/>
              <w:bottom w:w="80" w:type="dxa"/>
              <w:end w:w="80" w:type="dxa"/>
            </w:tcMar>
          </w:tcPr>
          <w:p>
            <w:r/>
            <w:r>
              <w:rPr>
                <w:b w:val="0"/>
                <w:sz w:val="16"/>
              </w:rPr>
              <w:t>Extremely high</w:t>
            </w:r>
          </w:p>
        </w:tc>
        <w:tc>
          <w:tcPr>
            <w:tcW w:type="dxa" w:w="3389"/>
            <w:vAlign w:val="center"/>
            <w:tcMar>
              <w:top w:w="80" w:type="dxa"/>
              <w:start w:w="80" w:type="dxa"/>
              <w:bottom w:w="80" w:type="dxa"/>
              <w:end w:w="80" w:type="dxa"/>
            </w:tcMar>
          </w:tcPr>
          <w:p>
            <w:r/>
            <w:r>
              <w:rPr>
                <w:b w:val="0"/>
                <w:sz w:val="16"/>
              </w:rPr>
              <w:t>High-value deterministic calculation with recurring professional judgment and strong reuse across affiliates.</w:t>
            </w:r>
          </w:p>
        </w:tc>
      </w:tr>
    </w:tbl>
    <w:p/>
    <w:p>
      <w:r>
        <w:rPr>
          <w:b/>
        </w:rPr>
        <w:t>Recommended workflow steps</w:t>
      </w:r>
    </w:p>
    <w:p>
      <w:pPr>
        <w:spacing w:after="40"/>
        <w:ind w:left="403" w:hanging="317"/>
      </w:pPr>
      <w:r>
        <w:rPr>
          <w:b/>
        </w:rPr>
        <w:t xml:space="preserve">1.  </w:t>
      </w:r>
      <w:r>
        <w:t>Determine controlled foreign affiliates requiring analysis.</w:t>
      </w:r>
    </w:p>
    <w:p>
      <w:pPr>
        <w:spacing w:after="40"/>
        <w:ind w:left="403" w:hanging="317"/>
      </w:pPr>
      <w:r>
        <w:rPr>
          <w:b/>
        </w:rPr>
        <w:t xml:space="preserve">2.  </w:t>
      </w:r>
      <w:r>
        <w:t>Import affiliate trial balances, financial statements and supporting schedules.</w:t>
      </w:r>
    </w:p>
    <w:p>
      <w:pPr>
        <w:spacing w:after="40"/>
        <w:ind w:left="403" w:hanging="317"/>
      </w:pPr>
      <w:r>
        <w:rPr>
          <w:b/>
        </w:rPr>
        <w:t xml:space="preserve">3.  </w:t>
      </w:r>
      <w:r>
        <w:t>Normalize accounts and map income and expenses to FAPI concepts.</w:t>
      </w:r>
    </w:p>
    <w:p>
      <w:pPr>
        <w:spacing w:after="40"/>
        <w:ind w:left="403" w:hanging="317"/>
      </w:pPr>
      <w:r>
        <w:rPr>
          <w:b/>
        </w:rPr>
        <w:t xml:space="preserve">4.  </w:t>
      </w:r>
      <w:r>
        <w:t>Identify property income, active business income, business other than active business income and relevant exclusions.</w:t>
      </w:r>
    </w:p>
    <w:p>
      <w:pPr>
        <w:spacing w:after="40"/>
        <w:ind w:left="403" w:hanging="317"/>
      </w:pPr>
      <w:r>
        <w:rPr>
          <w:b/>
        </w:rPr>
        <w:t xml:space="preserve">5.  </w:t>
      </w:r>
      <w:r>
        <w:t>Analyze inter-affiliate and Canadian related-party transactions.</w:t>
      </w:r>
    </w:p>
    <w:p>
      <w:pPr>
        <w:spacing w:after="40"/>
        <w:ind w:left="403" w:hanging="317"/>
      </w:pPr>
      <w:r>
        <w:rPr>
          <w:b/>
        </w:rPr>
        <w:t xml:space="preserve">6.  </w:t>
      </w:r>
      <w:r>
        <w:t>Request evidence and professional decisions for uncertain classifications.</w:t>
      </w:r>
    </w:p>
    <w:p>
      <w:pPr>
        <w:spacing w:after="40"/>
        <w:ind w:left="403" w:hanging="317"/>
      </w:pPr>
      <w:r>
        <w:rPr>
          <w:b/>
        </w:rPr>
        <w:t xml:space="preserve">7.  </w:t>
      </w:r>
      <w:r>
        <w:t>Calculate gross FAPI, deductions, foreign accrual tax and net FAPI.</w:t>
      </w:r>
    </w:p>
    <w:p>
      <w:pPr>
        <w:spacing w:after="40"/>
        <w:ind w:left="403" w:hanging="317"/>
      </w:pPr>
      <w:r>
        <w:rPr>
          <w:b/>
        </w:rPr>
        <w:t xml:space="preserve">8.  </w:t>
      </w:r>
      <w:r>
        <w:t>Apply participating percentages and calculate the Canadian inclusion.</w:t>
      </w:r>
    </w:p>
    <w:p>
      <w:pPr>
        <w:spacing w:after="40"/>
        <w:ind w:left="403" w:hanging="317"/>
      </w:pPr>
      <w:r>
        <w:rPr>
          <w:b/>
        </w:rPr>
        <w:t xml:space="preserve">9.  </w:t>
      </w:r>
      <w:r>
        <w:t>Reconcile the result to T1134, surplus and the T2 Schedule 1 adjustment.</w:t>
      </w:r>
    </w:p>
    <w:p>
      <w:pPr>
        <w:spacing w:after="40"/>
        <w:ind w:left="403" w:hanging="317"/>
      </w:pPr>
      <w:r>
        <w:rPr>
          <w:b/>
        </w:rPr>
        <w:t xml:space="preserve">10.  </w:t>
      </w:r>
      <w:r>
        <w:t>Generate the full workpaper, calculation explanation, evidence index and manager exception summary.</w:t>
      </w:r>
    </w:p>
    <w:p>
      <w:r>
        <w:rPr>
          <w:b/>
        </w:rPr>
        <w:t>Recommended reusable building blocks</w:t>
      </w:r>
    </w:p>
    <w:p>
      <w:pPr>
        <w:pStyle w:val="ListBullet"/>
        <w:spacing w:after="40"/>
      </w:pPr>
      <w:r>
        <w:t>Ownership graph</w:t>
      </w:r>
    </w:p>
    <w:p>
      <w:pPr>
        <w:pStyle w:val="ListBullet"/>
        <w:spacing w:after="40"/>
      </w:pPr>
      <w:r>
        <w:t>TB mapping engine</w:t>
      </w:r>
    </w:p>
    <w:p>
      <w:pPr>
        <w:pStyle w:val="ListBullet"/>
        <w:spacing w:after="40"/>
      </w:pPr>
      <w:r>
        <w:t>Document extraction</w:t>
      </w:r>
    </w:p>
    <w:p>
      <w:pPr>
        <w:pStyle w:val="ListBullet"/>
        <w:spacing w:after="40"/>
      </w:pPr>
      <w:r>
        <w:t>Tax rule and formula engine</w:t>
      </w:r>
    </w:p>
    <w:p>
      <w:pPr>
        <w:pStyle w:val="ListBullet"/>
        <w:spacing w:after="40"/>
      </w:pPr>
      <w:r>
        <w:t>FX service</w:t>
      </w:r>
    </w:p>
    <w:p>
      <w:pPr>
        <w:pStyle w:val="ListBullet"/>
        <w:spacing w:after="40"/>
      </w:pPr>
      <w:r>
        <w:t>Judgment layer</w:t>
      </w:r>
    </w:p>
    <w:p>
      <w:pPr>
        <w:pStyle w:val="ListBullet"/>
        <w:spacing w:after="40"/>
      </w:pPr>
      <w:r>
        <w:t>Evidence lineage</w:t>
      </w:r>
    </w:p>
    <w:p>
      <w:pPr>
        <w:pStyle w:val="ListBullet"/>
        <w:spacing w:after="40"/>
      </w:pPr>
      <w:r>
        <w:t>Tax attribute ledgers</w:t>
      </w:r>
    </w:p>
    <w:p>
      <w:pPr>
        <w:pStyle w:val="ListBullet"/>
        <w:spacing w:after="40"/>
      </w:pPr>
      <w:r>
        <w:t>Cross-form validation</w:t>
      </w:r>
    </w:p>
    <w:p>
      <w:r>
        <w:rPr>
          <w:b/>
        </w:rPr>
        <w:t>Manager-level outputs</w:t>
      </w:r>
    </w:p>
    <w:p>
      <w:pPr>
        <w:pStyle w:val="ListBullet"/>
        <w:spacing w:after="40"/>
      </w:pPr>
      <w:r>
        <w:t>Affiliate-level FAPI calculation</w:t>
      </w:r>
    </w:p>
    <w:p>
      <w:pPr>
        <w:pStyle w:val="ListBullet"/>
        <w:spacing w:after="40"/>
      </w:pPr>
      <w:r>
        <w:t>Consolidated inclusion schedule</w:t>
      </w:r>
    </w:p>
    <w:p>
      <w:pPr>
        <w:pStyle w:val="ListBullet"/>
        <w:spacing w:after="40"/>
      </w:pPr>
      <w:r>
        <w:t>Classification exception report</w:t>
      </w:r>
    </w:p>
    <w:p>
      <w:pPr>
        <w:pStyle w:val="ListBullet"/>
        <w:spacing w:after="40"/>
      </w:pPr>
      <w:r>
        <w:t>Foreign accrual tax schedule</w:t>
      </w:r>
    </w:p>
    <w:p>
      <w:pPr>
        <w:pStyle w:val="ListBullet"/>
        <w:spacing w:after="40"/>
      </w:pPr>
      <w:r>
        <w:t>T2 adjustment feed</w:t>
      </w:r>
    </w:p>
    <w:p>
      <w:pPr>
        <w:pStyle w:val="ListBullet"/>
        <w:spacing w:after="40"/>
      </w:pPr>
      <w:r>
        <w:t>Manager review package</w:t>
      </w:r>
    </w:p>
    <w:p>
      <w:pPr>
        <w:pStyle w:val="Heading2"/>
      </w:pPr>
      <w:r>
        <w:t>2.4 Foreign Affiliate Surplus</w:t>
      </w:r>
    </w:p>
    <w:tbl>
      <w:tblPr>
        <w:tblStyle w:val="TableGrid"/>
        <w:tblW w:type="auto" w:w="0"/>
        <w:jc w:val="left"/>
        <w:tblLook w:firstColumn="1" w:firstRow="1" w:lastColumn="0" w:lastRow="0" w:noHBand="0" w:noVBand="1" w:val="04A0"/>
      </w:tblPr>
      <w:tblGrid>
        <w:gridCol w:w="3389"/>
        <w:gridCol w:w="3389"/>
        <w:gridCol w:w="3389"/>
      </w:tblGrid>
      <w:tr>
        <w:tc>
          <w:tcPr>
            <w:tcW w:type="dxa" w:w="3389"/>
            <w:vAlign w:val="center"/>
            <w:shd w:fill="1F2937"/>
            <w:tcMar>
              <w:top w:w="80" w:type="dxa"/>
              <w:start w:w="80" w:type="dxa"/>
              <w:bottom w:w="80" w:type="dxa"/>
              <w:end w:w="80" w:type="dxa"/>
            </w:tcMar>
          </w:tcPr>
          <w:p>
            <w:r/>
            <w:r>
              <w:rPr>
                <w:b/>
                <w:color w:val="FFFFFF"/>
                <w:sz w:val="16"/>
              </w:rPr>
              <w:t>Priority</w:t>
            </w:r>
          </w:p>
        </w:tc>
        <w:tc>
          <w:tcPr>
            <w:tcW w:type="dxa" w:w="3389"/>
            <w:vAlign w:val="center"/>
            <w:shd w:fill="1F2937"/>
            <w:tcMar>
              <w:top w:w="80" w:type="dxa"/>
              <w:start w:w="80" w:type="dxa"/>
              <w:bottom w:w="80" w:type="dxa"/>
              <w:end w:w="80" w:type="dxa"/>
            </w:tcMar>
          </w:tcPr>
          <w:p>
            <w:r/>
            <w:r>
              <w:rPr>
                <w:b/>
                <w:color w:val="FFFFFF"/>
                <w:sz w:val="16"/>
              </w:rPr>
              <w:t>Scale potential</w:t>
            </w:r>
          </w:p>
        </w:tc>
        <w:tc>
          <w:tcPr>
            <w:tcW w:type="dxa" w:w="3389"/>
            <w:vAlign w:val="center"/>
            <w:shd w:fill="1F2937"/>
            <w:tcMar>
              <w:top w:w="80" w:type="dxa"/>
              <w:start w:w="80" w:type="dxa"/>
              <w:bottom w:w="80" w:type="dxa"/>
              <w:end w:w="80" w:type="dxa"/>
            </w:tcMar>
          </w:tcPr>
          <w:p>
            <w:r/>
            <w:r>
              <w:rPr>
                <w:b/>
                <w:color w:val="FFFFFF"/>
                <w:sz w:val="16"/>
              </w:rPr>
              <w:t>Strategic role</w:t>
            </w:r>
          </w:p>
        </w:tc>
      </w:tr>
      <w:tr>
        <w:tc>
          <w:tcPr>
            <w:tcW w:type="dxa" w:w="3389"/>
            <w:vAlign w:val="center"/>
            <w:tcMar>
              <w:top w:w="80" w:type="dxa"/>
              <w:start w:w="80" w:type="dxa"/>
              <w:bottom w:w="80" w:type="dxa"/>
              <w:end w:w="80" w:type="dxa"/>
            </w:tcMar>
          </w:tcPr>
          <w:p>
            <w:r/>
            <w:r>
              <w:rPr>
                <w:b w:val="0"/>
                <w:sz w:val="16"/>
              </w:rPr>
              <w:t>Tier 1</w:t>
            </w:r>
          </w:p>
        </w:tc>
        <w:tc>
          <w:tcPr>
            <w:tcW w:type="dxa" w:w="3389"/>
            <w:vAlign w:val="center"/>
            <w:tcMar>
              <w:top w:w="80" w:type="dxa"/>
              <w:start w:w="80" w:type="dxa"/>
              <w:bottom w:w="80" w:type="dxa"/>
              <w:end w:w="80" w:type="dxa"/>
            </w:tcMar>
          </w:tcPr>
          <w:p>
            <w:r/>
            <w:r>
              <w:rPr>
                <w:b w:val="0"/>
                <w:sz w:val="16"/>
              </w:rPr>
              <w:t>Extremely high</w:t>
            </w:r>
          </w:p>
        </w:tc>
        <w:tc>
          <w:tcPr>
            <w:tcW w:type="dxa" w:w="3389"/>
            <w:vAlign w:val="center"/>
            <w:tcMar>
              <w:top w:w="80" w:type="dxa"/>
              <w:start w:w="80" w:type="dxa"/>
              <w:bottom w:w="80" w:type="dxa"/>
              <w:end w:w="80" w:type="dxa"/>
            </w:tcMar>
          </w:tcPr>
          <w:p>
            <w:r/>
            <w:r>
              <w:rPr>
                <w:b w:val="0"/>
                <w:sz w:val="16"/>
              </w:rPr>
              <w:t>Persistent longitudinal ledger with high switching costs and connections to compliance and planning.</w:t>
            </w:r>
          </w:p>
        </w:tc>
      </w:tr>
    </w:tbl>
    <w:p/>
    <w:p>
      <w:r>
        <w:rPr>
          <w:b/>
        </w:rPr>
        <w:t>Recommended workflow steps</w:t>
      </w:r>
    </w:p>
    <w:p>
      <w:pPr>
        <w:spacing w:after="40"/>
        <w:ind w:left="403" w:hanging="317"/>
      </w:pPr>
      <w:r>
        <w:rPr>
          <w:b/>
        </w:rPr>
        <w:t xml:space="preserve">1.  </w:t>
      </w:r>
      <w:r>
        <w:t>Establish opening exempt, taxable, hybrid and pre-acquisition surplus balances by affiliate.</w:t>
      </w:r>
    </w:p>
    <w:p>
      <w:pPr>
        <w:spacing w:after="40"/>
        <w:ind w:left="403" w:hanging="317"/>
      </w:pPr>
      <w:r>
        <w:rPr>
          <w:b/>
        </w:rPr>
        <w:t xml:space="preserve">2.  </w:t>
      </w:r>
      <w:r>
        <w:t>Validate prior-year continuity and historical ownership changes.</w:t>
      </w:r>
    </w:p>
    <w:p>
      <w:pPr>
        <w:spacing w:after="40"/>
        <w:ind w:left="403" w:hanging="317"/>
      </w:pPr>
      <w:r>
        <w:rPr>
          <w:b/>
        </w:rPr>
        <w:t xml:space="preserve">3.  </w:t>
      </w:r>
      <w:r>
        <w:t>Import current-year earnings, losses, taxes, dividends and relevant transactions.</w:t>
      </w:r>
    </w:p>
    <w:p>
      <w:pPr>
        <w:spacing w:after="40"/>
        <w:ind w:left="403" w:hanging="317"/>
      </w:pPr>
      <w:r>
        <w:rPr>
          <w:b/>
        </w:rPr>
        <w:t xml:space="preserve">4.  </w:t>
      </w:r>
      <w:r>
        <w:t>Characterize current-year earnings under applicable surplus rules.</w:t>
      </w:r>
    </w:p>
    <w:p>
      <w:pPr>
        <w:spacing w:after="40"/>
        <w:ind w:left="403" w:hanging="317"/>
      </w:pPr>
      <w:r>
        <w:rPr>
          <w:b/>
        </w:rPr>
        <w:t xml:space="preserve">5.  </w:t>
      </w:r>
      <w:r>
        <w:t>Process dividends, underlying foreign tax and ordering consequences.</w:t>
      </w:r>
    </w:p>
    <w:p>
      <w:pPr>
        <w:spacing w:after="40"/>
        <w:ind w:left="403" w:hanging="317"/>
      </w:pPr>
      <w:r>
        <w:rPr>
          <w:b/>
        </w:rPr>
        <w:t xml:space="preserve">6.  </w:t>
      </w:r>
      <w:r>
        <w:t>Process acquisitions, dispositions, amalgamations, liquidations and reorganizations.</w:t>
      </w:r>
    </w:p>
    <w:p>
      <w:pPr>
        <w:spacing w:after="40"/>
        <w:ind w:left="403" w:hanging="317"/>
      </w:pPr>
      <w:r>
        <w:rPr>
          <w:b/>
        </w:rPr>
        <w:t xml:space="preserve">7.  </w:t>
      </w:r>
      <w:r>
        <w:t>Reconcile surplus movements to FAPI, financial statements and T1134 information.</w:t>
      </w:r>
    </w:p>
    <w:p>
      <w:pPr>
        <w:spacing w:after="40"/>
        <w:ind w:left="403" w:hanging="317"/>
      </w:pPr>
      <w:r>
        <w:rPr>
          <w:b/>
        </w:rPr>
        <w:t xml:space="preserve">8.  </w:t>
      </w:r>
      <w:r>
        <w:t>Surface unresolved characterization and historical-data gaps for professional judgment.</w:t>
      </w:r>
    </w:p>
    <w:p>
      <w:pPr>
        <w:spacing w:after="40"/>
        <w:ind w:left="403" w:hanging="317"/>
      </w:pPr>
      <w:r>
        <w:rPr>
          <w:b/>
        </w:rPr>
        <w:t xml:space="preserve">9.  </w:t>
      </w:r>
      <w:r>
        <w:t>Publish approved closing balances to the persistent surplus ledger.</w:t>
      </w:r>
    </w:p>
    <w:p>
      <w:pPr>
        <w:spacing w:after="40"/>
        <w:ind w:left="403" w:hanging="317"/>
      </w:pPr>
      <w:r>
        <w:rPr>
          <w:b/>
        </w:rPr>
        <w:t xml:space="preserve">10.  </w:t>
      </w:r>
      <w:r>
        <w:t>Generate annual continuity schedules and planning-ready dividend capacity information.</w:t>
      </w:r>
    </w:p>
    <w:p>
      <w:r>
        <w:rPr>
          <w:b/>
        </w:rPr>
        <w:t>Recommended reusable building blocks</w:t>
      </w:r>
    </w:p>
    <w:p>
      <w:pPr>
        <w:pStyle w:val="ListBullet"/>
        <w:spacing w:after="40"/>
      </w:pPr>
      <w:r>
        <w:t>Ownership graph</w:t>
      </w:r>
    </w:p>
    <w:p>
      <w:pPr>
        <w:pStyle w:val="ListBullet"/>
        <w:spacing w:after="40"/>
      </w:pPr>
      <w:r>
        <w:t>Tax attribute ledger</w:t>
      </w:r>
    </w:p>
    <w:p>
      <w:pPr>
        <w:pStyle w:val="ListBullet"/>
        <w:spacing w:after="40"/>
      </w:pPr>
      <w:r>
        <w:t>Tax rule engine</w:t>
      </w:r>
    </w:p>
    <w:p>
      <w:pPr>
        <w:pStyle w:val="ListBullet"/>
        <w:spacing w:after="40"/>
      </w:pPr>
      <w:r>
        <w:t>FX service</w:t>
      </w:r>
    </w:p>
    <w:p>
      <w:pPr>
        <w:pStyle w:val="ListBullet"/>
        <w:spacing w:after="40"/>
      </w:pPr>
      <w:r>
        <w:t>Document extraction</w:t>
      </w:r>
    </w:p>
    <w:p>
      <w:pPr>
        <w:pStyle w:val="ListBullet"/>
        <w:spacing w:after="40"/>
      </w:pPr>
      <w:r>
        <w:t>Prior-year rollforward</w:t>
      </w:r>
    </w:p>
    <w:p>
      <w:pPr>
        <w:pStyle w:val="ListBullet"/>
        <w:spacing w:after="40"/>
      </w:pPr>
      <w:r>
        <w:t>Judgment layer</w:t>
      </w:r>
    </w:p>
    <w:p>
      <w:pPr>
        <w:pStyle w:val="ListBullet"/>
        <w:spacing w:after="40"/>
      </w:pPr>
      <w:r>
        <w:t>Evidence lineage</w:t>
      </w:r>
    </w:p>
    <w:p>
      <w:pPr>
        <w:pStyle w:val="ListBullet"/>
        <w:spacing w:after="40"/>
      </w:pPr>
      <w:r>
        <w:t>Scenario engine</w:t>
      </w:r>
    </w:p>
    <w:p>
      <w:r>
        <w:rPr>
          <w:b/>
        </w:rPr>
        <w:t>Manager-level outputs</w:t>
      </w:r>
    </w:p>
    <w:p>
      <w:pPr>
        <w:pStyle w:val="ListBullet"/>
        <w:spacing w:after="40"/>
      </w:pPr>
      <w:r>
        <w:t>Affiliate surplus continuity</w:t>
      </w:r>
    </w:p>
    <w:p>
      <w:pPr>
        <w:pStyle w:val="ListBullet"/>
        <w:spacing w:after="40"/>
      </w:pPr>
      <w:r>
        <w:t>Dividend and underlying tax schedule</w:t>
      </w:r>
    </w:p>
    <w:p>
      <w:pPr>
        <w:pStyle w:val="ListBullet"/>
        <w:spacing w:after="40"/>
      </w:pPr>
      <w:r>
        <w:t>Historical adjustment log</w:t>
      </w:r>
    </w:p>
    <w:p>
      <w:pPr>
        <w:pStyle w:val="ListBullet"/>
        <w:spacing w:after="40"/>
      </w:pPr>
      <w:r>
        <w:t>Planning summary</w:t>
      </w:r>
    </w:p>
    <w:p>
      <w:pPr>
        <w:pStyle w:val="ListBullet"/>
        <w:spacing w:after="40"/>
      </w:pPr>
      <w:r>
        <w:t>Manager exception and sign-off package</w:t>
      </w:r>
    </w:p>
    <w:p>
      <w:pPr>
        <w:pStyle w:val="Heading2"/>
      </w:pPr>
      <w:r>
        <w:t>2.5 T106 Related-Party Transaction Reporting</w:t>
      </w:r>
    </w:p>
    <w:tbl>
      <w:tblPr>
        <w:tblStyle w:val="TableGrid"/>
        <w:tblW w:type="auto" w:w="0"/>
        <w:jc w:val="left"/>
        <w:tblLook w:firstColumn="1" w:firstRow="1" w:lastColumn="0" w:lastRow="0" w:noHBand="0" w:noVBand="1" w:val="04A0"/>
      </w:tblPr>
      <w:tblGrid>
        <w:gridCol w:w="3389"/>
        <w:gridCol w:w="3389"/>
        <w:gridCol w:w="3389"/>
      </w:tblGrid>
      <w:tr>
        <w:tc>
          <w:tcPr>
            <w:tcW w:type="dxa" w:w="3389"/>
            <w:vAlign w:val="center"/>
            <w:shd w:fill="1F2937"/>
            <w:tcMar>
              <w:top w:w="80" w:type="dxa"/>
              <w:start w:w="80" w:type="dxa"/>
              <w:bottom w:w="80" w:type="dxa"/>
              <w:end w:w="80" w:type="dxa"/>
            </w:tcMar>
          </w:tcPr>
          <w:p>
            <w:r/>
            <w:r>
              <w:rPr>
                <w:b/>
                <w:color w:val="FFFFFF"/>
                <w:sz w:val="16"/>
              </w:rPr>
              <w:t>Priority</w:t>
            </w:r>
          </w:p>
        </w:tc>
        <w:tc>
          <w:tcPr>
            <w:tcW w:type="dxa" w:w="3389"/>
            <w:vAlign w:val="center"/>
            <w:shd w:fill="1F2937"/>
            <w:tcMar>
              <w:top w:w="80" w:type="dxa"/>
              <w:start w:w="80" w:type="dxa"/>
              <w:bottom w:w="80" w:type="dxa"/>
              <w:end w:w="80" w:type="dxa"/>
            </w:tcMar>
          </w:tcPr>
          <w:p>
            <w:r/>
            <w:r>
              <w:rPr>
                <w:b/>
                <w:color w:val="FFFFFF"/>
                <w:sz w:val="16"/>
              </w:rPr>
              <w:t>Scale potential</w:t>
            </w:r>
          </w:p>
        </w:tc>
        <w:tc>
          <w:tcPr>
            <w:tcW w:type="dxa" w:w="3389"/>
            <w:vAlign w:val="center"/>
            <w:shd w:fill="1F2937"/>
            <w:tcMar>
              <w:top w:w="80" w:type="dxa"/>
              <w:start w:w="80" w:type="dxa"/>
              <w:bottom w:w="80" w:type="dxa"/>
              <w:end w:w="80" w:type="dxa"/>
            </w:tcMar>
          </w:tcPr>
          <w:p>
            <w:r/>
            <w:r>
              <w:rPr>
                <w:b/>
                <w:color w:val="FFFFFF"/>
                <w:sz w:val="16"/>
              </w:rPr>
              <w:t>Strategic role</w:t>
            </w:r>
          </w:p>
        </w:tc>
      </w:tr>
      <w:tr>
        <w:tc>
          <w:tcPr>
            <w:tcW w:type="dxa" w:w="3389"/>
            <w:vAlign w:val="center"/>
            <w:tcMar>
              <w:top w:w="80" w:type="dxa"/>
              <w:start w:w="80" w:type="dxa"/>
              <w:bottom w:w="80" w:type="dxa"/>
              <w:end w:w="80" w:type="dxa"/>
            </w:tcMar>
          </w:tcPr>
          <w:p>
            <w:r/>
            <w:r>
              <w:rPr>
                <w:b w:val="0"/>
                <w:sz w:val="16"/>
              </w:rPr>
              <w:t>Tier 1</w:t>
            </w:r>
          </w:p>
        </w:tc>
        <w:tc>
          <w:tcPr>
            <w:tcW w:type="dxa" w:w="3389"/>
            <w:vAlign w:val="center"/>
            <w:tcMar>
              <w:top w:w="80" w:type="dxa"/>
              <w:start w:w="80" w:type="dxa"/>
              <w:bottom w:w="80" w:type="dxa"/>
              <w:end w:w="80" w:type="dxa"/>
            </w:tcMar>
          </w:tcPr>
          <w:p>
            <w:r/>
            <w:r>
              <w:rPr>
                <w:b w:val="0"/>
                <w:sz w:val="16"/>
              </w:rPr>
              <w:t>Extremely high</w:t>
            </w:r>
          </w:p>
        </w:tc>
        <w:tc>
          <w:tcPr>
            <w:tcW w:type="dxa" w:w="3389"/>
            <w:vAlign w:val="center"/>
            <w:tcMar>
              <w:top w:w="80" w:type="dxa"/>
              <w:start w:w="80" w:type="dxa"/>
              <w:bottom w:w="80" w:type="dxa"/>
              <w:end w:w="80" w:type="dxa"/>
            </w:tcMar>
          </w:tcPr>
          <w:p>
            <w:r/>
            <w:r>
              <w:rPr>
                <w:b w:val="0"/>
                <w:sz w:val="16"/>
              </w:rPr>
              <w:t>Extremely repeatable reconciliation workflow that connects ledgers, counterparties and transfer-pricing records.</w:t>
            </w:r>
          </w:p>
        </w:tc>
      </w:tr>
    </w:tbl>
    <w:p/>
    <w:p>
      <w:r>
        <w:rPr>
          <w:b/>
        </w:rPr>
        <w:t>Recommended workflow steps</w:t>
      </w:r>
    </w:p>
    <w:p>
      <w:pPr>
        <w:spacing w:after="40"/>
        <w:ind w:left="403" w:hanging="317"/>
      </w:pPr>
      <w:r>
        <w:rPr>
          <w:b/>
        </w:rPr>
        <w:t xml:space="preserve">1.  </w:t>
      </w:r>
      <w:r>
        <w:t>Determine Canadian reporting entities and non-resident related parties.</w:t>
      </w:r>
    </w:p>
    <w:p>
      <w:pPr>
        <w:spacing w:after="40"/>
        <w:ind w:left="403" w:hanging="317"/>
      </w:pPr>
      <w:r>
        <w:rPr>
          <w:b/>
        </w:rPr>
        <w:t xml:space="preserve">2.  </w:t>
      </w:r>
      <w:r>
        <w:t>Extract intercompany transactions and balances from trial balances and ledgers.</w:t>
      </w:r>
    </w:p>
    <w:p>
      <w:pPr>
        <w:spacing w:after="40"/>
        <w:ind w:left="403" w:hanging="317"/>
      </w:pPr>
      <w:r>
        <w:rPr>
          <w:b/>
        </w:rPr>
        <w:t xml:space="preserve">3.  </w:t>
      </w:r>
      <w:r>
        <w:t>Match counterparties to the legal entity graph and normalize transaction descriptions.</w:t>
      </w:r>
    </w:p>
    <w:p>
      <w:pPr>
        <w:spacing w:after="40"/>
        <w:ind w:left="403" w:hanging="317"/>
      </w:pPr>
      <w:r>
        <w:rPr>
          <w:b/>
        </w:rPr>
        <w:t xml:space="preserve">4.  </w:t>
      </w:r>
      <w:r>
        <w:t>Classify transactions into T106 categories using rules and AI-assisted residual mapping.</w:t>
      </w:r>
    </w:p>
    <w:p>
      <w:pPr>
        <w:spacing w:after="40"/>
        <w:ind w:left="403" w:hanging="317"/>
      </w:pPr>
      <w:r>
        <w:rPr>
          <w:b/>
        </w:rPr>
        <w:t xml:space="preserve">5.  </w:t>
      </w:r>
      <w:r>
        <w:t>Identify loans, interest, royalties, management fees, goods, services and other reportable amounts.</w:t>
      </w:r>
    </w:p>
    <w:p>
      <w:pPr>
        <w:spacing w:after="40"/>
        <w:ind w:left="403" w:hanging="317"/>
      </w:pPr>
      <w:r>
        <w:rPr>
          <w:b/>
        </w:rPr>
        <w:t xml:space="preserve">6.  </w:t>
      </w:r>
      <w:r>
        <w:t>Reconcile transaction totals to financial statements, intercompany systems and transfer-pricing schedules.</w:t>
      </w:r>
    </w:p>
    <w:p>
      <w:pPr>
        <w:spacing w:after="40"/>
        <w:ind w:left="403" w:hanging="317"/>
      </w:pPr>
      <w:r>
        <w:rPr>
          <w:b/>
        </w:rPr>
        <w:t xml:space="preserve">7.  </w:t>
      </w:r>
      <w:r>
        <w:t>Apply filing and materiality requirements and flag incomplete counterparty information.</w:t>
      </w:r>
    </w:p>
    <w:p>
      <w:pPr>
        <w:spacing w:after="40"/>
        <w:ind w:left="403" w:hanging="317"/>
      </w:pPr>
      <w:r>
        <w:rPr>
          <w:b/>
        </w:rPr>
        <w:t xml:space="preserve">8.  </w:t>
      </w:r>
      <w:r>
        <w:t>Compare results with prior-year disclosures and investigate material changes.</w:t>
      </w:r>
    </w:p>
    <w:p>
      <w:pPr>
        <w:spacing w:after="40"/>
        <w:ind w:left="403" w:hanging="317"/>
      </w:pPr>
      <w:r>
        <w:rPr>
          <w:b/>
        </w:rPr>
        <w:t xml:space="preserve">9.  </w:t>
      </w:r>
      <w:r>
        <w:t>Generate the T106 summary, slips, reconciliation workpaper and manager exception report.</w:t>
      </w:r>
    </w:p>
    <w:p>
      <w:pPr>
        <w:spacing w:after="40"/>
        <w:ind w:left="403" w:hanging="317"/>
      </w:pPr>
      <w:r>
        <w:rPr>
          <w:b/>
        </w:rPr>
        <w:t xml:space="preserve">10.  </w:t>
      </w:r>
      <w:r>
        <w:t>Store approved counterparty mappings for reuse across clients and future years.</w:t>
      </w:r>
    </w:p>
    <w:p>
      <w:r>
        <w:rPr>
          <w:b/>
        </w:rPr>
        <w:t>Recommended reusable building blocks</w:t>
      </w:r>
    </w:p>
    <w:p>
      <w:pPr>
        <w:pStyle w:val="ListBullet"/>
        <w:spacing w:after="40"/>
      </w:pPr>
      <w:r>
        <w:t>Entity graph</w:t>
      </w:r>
    </w:p>
    <w:p>
      <w:pPr>
        <w:pStyle w:val="ListBullet"/>
        <w:spacing w:after="40"/>
      </w:pPr>
      <w:r>
        <w:t>TB and ledger ingestion</w:t>
      </w:r>
    </w:p>
    <w:p>
      <w:pPr>
        <w:pStyle w:val="ListBullet"/>
        <w:spacing w:after="40"/>
      </w:pPr>
      <w:r>
        <w:t>Counterparty matching</w:t>
      </w:r>
    </w:p>
    <w:p>
      <w:pPr>
        <w:pStyle w:val="ListBullet"/>
        <w:spacing w:after="40"/>
      </w:pPr>
      <w:r>
        <w:t>Classification model</w:t>
      </w:r>
    </w:p>
    <w:p>
      <w:pPr>
        <w:pStyle w:val="ListBullet"/>
        <w:spacing w:after="40"/>
      </w:pPr>
      <w:r>
        <w:t>Rule engine</w:t>
      </w:r>
    </w:p>
    <w:p>
      <w:pPr>
        <w:pStyle w:val="ListBullet"/>
        <w:spacing w:after="40"/>
      </w:pPr>
      <w:r>
        <w:t>Prior-year rollforward</w:t>
      </w:r>
    </w:p>
    <w:p>
      <w:pPr>
        <w:pStyle w:val="ListBullet"/>
        <w:spacing w:after="40"/>
      </w:pPr>
      <w:r>
        <w:t>Evidence lineage</w:t>
      </w:r>
    </w:p>
    <w:p>
      <w:pPr>
        <w:pStyle w:val="ListBullet"/>
        <w:spacing w:after="40"/>
      </w:pPr>
      <w:r>
        <w:t>Form generation</w:t>
      </w:r>
    </w:p>
    <w:p>
      <w:pPr>
        <w:pStyle w:val="ListBullet"/>
        <w:spacing w:after="40"/>
      </w:pPr>
      <w:r>
        <w:t>Exception engine</w:t>
      </w:r>
    </w:p>
    <w:p>
      <w:r>
        <w:rPr>
          <w:b/>
        </w:rPr>
        <w:t>Manager-level outputs</w:t>
      </w:r>
    </w:p>
    <w:p>
      <w:pPr>
        <w:pStyle w:val="ListBullet"/>
        <w:spacing w:after="40"/>
      </w:pPr>
      <w:r>
        <w:t>T106 summary and slips</w:t>
      </w:r>
    </w:p>
    <w:p>
      <w:pPr>
        <w:pStyle w:val="ListBullet"/>
        <w:spacing w:after="40"/>
      </w:pPr>
      <w:r>
        <w:t>Transaction reconciliation</w:t>
      </w:r>
    </w:p>
    <w:p>
      <w:pPr>
        <w:pStyle w:val="ListBullet"/>
        <w:spacing w:after="40"/>
      </w:pPr>
      <w:r>
        <w:t>Counterparty mapping register</w:t>
      </w:r>
    </w:p>
    <w:p>
      <w:pPr>
        <w:pStyle w:val="ListBullet"/>
        <w:spacing w:after="40"/>
      </w:pPr>
      <w:r>
        <w:t>Variance and missing-information report</w:t>
      </w:r>
    </w:p>
    <w:p>
      <w:pPr>
        <w:pStyle w:val="ListBullet"/>
        <w:spacing w:after="40"/>
      </w:pPr>
      <w:r>
        <w:t>Manager review package</w:t>
      </w:r>
    </w:p>
    <w:p>
      <w:pPr>
        <w:pStyle w:val="Heading2"/>
      </w:pPr>
      <w:r>
        <w:t>2.6 EIFEL</w:t>
      </w:r>
    </w:p>
    <w:tbl>
      <w:tblPr>
        <w:tblStyle w:val="TableGrid"/>
        <w:tblW w:type="auto" w:w="0"/>
        <w:jc w:val="left"/>
        <w:tblLook w:firstColumn="1" w:firstRow="1" w:lastColumn="0" w:lastRow="0" w:noHBand="0" w:noVBand="1" w:val="04A0"/>
      </w:tblPr>
      <w:tblGrid>
        <w:gridCol w:w="3389"/>
        <w:gridCol w:w="3389"/>
        <w:gridCol w:w="3389"/>
      </w:tblGrid>
      <w:tr>
        <w:tc>
          <w:tcPr>
            <w:tcW w:type="dxa" w:w="3389"/>
            <w:vAlign w:val="center"/>
            <w:shd w:fill="1F2937"/>
            <w:tcMar>
              <w:top w:w="80" w:type="dxa"/>
              <w:start w:w="80" w:type="dxa"/>
              <w:bottom w:w="80" w:type="dxa"/>
              <w:end w:w="80" w:type="dxa"/>
            </w:tcMar>
          </w:tcPr>
          <w:p>
            <w:r/>
            <w:r>
              <w:rPr>
                <w:b/>
                <w:color w:val="FFFFFF"/>
                <w:sz w:val="16"/>
              </w:rPr>
              <w:t>Priority</w:t>
            </w:r>
          </w:p>
        </w:tc>
        <w:tc>
          <w:tcPr>
            <w:tcW w:type="dxa" w:w="3389"/>
            <w:vAlign w:val="center"/>
            <w:shd w:fill="1F2937"/>
            <w:tcMar>
              <w:top w:w="80" w:type="dxa"/>
              <w:start w:w="80" w:type="dxa"/>
              <w:bottom w:w="80" w:type="dxa"/>
              <w:end w:w="80" w:type="dxa"/>
            </w:tcMar>
          </w:tcPr>
          <w:p>
            <w:r/>
            <w:r>
              <w:rPr>
                <w:b/>
                <w:color w:val="FFFFFF"/>
                <w:sz w:val="16"/>
              </w:rPr>
              <w:t>Scale potential</w:t>
            </w:r>
          </w:p>
        </w:tc>
        <w:tc>
          <w:tcPr>
            <w:tcW w:type="dxa" w:w="3389"/>
            <w:vAlign w:val="center"/>
            <w:shd w:fill="1F2937"/>
            <w:tcMar>
              <w:top w:w="80" w:type="dxa"/>
              <w:start w:w="80" w:type="dxa"/>
              <w:bottom w:w="80" w:type="dxa"/>
              <w:end w:w="80" w:type="dxa"/>
            </w:tcMar>
          </w:tcPr>
          <w:p>
            <w:r/>
            <w:r>
              <w:rPr>
                <w:b/>
                <w:color w:val="FFFFFF"/>
                <w:sz w:val="16"/>
              </w:rPr>
              <w:t>Strategic role</w:t>
            </w:r>
          </w:p>
        </w:tc>
      </w:tr>
      <w:tr>
        <w:tc>
          <w:tcPr>
            <w:tcW w:type="dxa" w:w="3389"/>
            <w:vAlign w:val="center"/>
            <w:tcMar>
              <w:top w:w="80" w:type="dxa"/>
              <w:start w:w="80" w:type="dxa"/>
              <w:bottom w:w="80" w:type="dxa"/>
              <w:end w:w="80" w:type="dxa"/>
            </w:tcMar>
          </w:tcPr>
          <w:p>
            <w:r/>
            <w:r>
              <w:rPr>
                <w:b w:val="0"/>
                <w:sz w:val="16"/>
              </w:rPr>
              <w:t>Tier 1</w:t>
            </w:r>
          </w:p>
        </w:tc>
        <w:tc>
          <w:tcPr>
            <w:tcW w:type="dxa" w:w="3389"/>
            <w:vAlign w:val="center"/>
            <w:tcMar>
              <w:top w:w="80" w:type="dxa"/>
              <w:start w:w="80" w:type="dxa"/>
              <w:bottom w:w="80" w:type="dxa"/>
              <w:end w:w="80" w:type="dxa"/>
            </w:tcMar>
          </w:tcPr>
          <w:p>
            <w:r/>
            <w:r>
              <w:rPr>
                <w:b w:val="0"/>
                <w:sz w:val="16"/>
              </w:rPr>
              <w:t>Extremely high</w:t>
            </w:r>
          </w:p>
        </w:tc>
        <w:tc>
          <w:tcPr>
            <w:tcW w:type="dxa" w:w="3389"/>
            <w:vAlign w:val="center"/>
            <w:tcMar>
              <w:top w:w="80" w:type="dxa"/>
              <w:start w:w="80" w:type="dxa"/>
              <w:bottom w:w="80" w:type="dxa"/>
              <w:end w:w="80" w:type="dxa"/>
            </w:tcMar>
          </w:tcPr>
          <w:p>
            <w:r/>
            <w:r>
              <w:rPr>
                <w:b w:val="0"/>
                <w:sz w:val="16"/>
              </w:rPr>
              <w:t>Group-wide, data-heavy and formula-intensive workflow that is difficult to manage consistently in spreadsheets.</w:t>
            </w:r>
          </w:p>
        </w:tc>
      </w:tr>
    </w:tbl>
    <w:p/>
    <w:p>
      <w:r>
        <w:rPr>
          <w:b/>
        </w:rPr>
        <w:t>Recommended workflow steps</w:t>
      </w:r>
    </w:p>
    <w:p>
      <w:pPr>
        <w:spacing w:after="40"/>
        <w:ind w:left="403" w:hanging="317"/>
      </w:pPr>
      <w:r>
        <w:rPr>
          <w:b/>
        </w:rPr>
        <w:t xml:space="preserve">1.  </w:t>
      </w:r>
      <w:r>
        <w:t>Determine entities subject to the rules and identify eligible group entities.</w:t>
      </w:r>
    </w:p>
    <w:p>
      <w:pPr>
        <w:spacing w:after="40"/>
        <w:ind w:left="403" w:hanging="317"/>
      </w:pPr>
      <w:r>
        <w:rPr>
          <w:b/>
        </w:rPr>
        <w:t xml:space="preserve">2.  </w:t>
      </w:r>
      <w:r>
        <w:t>Extract interest and financing expenses and revenues from entity-level source data.</w:t>
      </w:r>
    </w:p>
    <w:p>
      <w:pPr>
        <w:spacing w:after="40"/>
        <w:ind w:left="403" w:hanging="317"/>
      </w:pPr>
      <w:r>
        <w:rPr>
          <w:b/>
        </w:rPr>
        <w:t xml:space="preserve">3.  </w:t>
      </w:r>
      <w:r>
        <w:t>Apply inclusions, exclusions and ordering rules.</w:t>
      </w:r>
    </w:p>
    <w:p>
      <w:pPr>
        <w:spacing w:after="40"/>
        <w:ind w:left="403" w:hanging="317"/>
      </w:pPr>
      <w:r>
        <w:rPr>
          <w:b/>
        </w:rPr>
        <w:t xml:space="preserve">4.  </w:t>
      </w:r>
      <w:r>
        <w:t>Calculate adjusted taxable income and fixed-ratio capacity.</w:t>
      </w:r>
    </w:p>
    <w:p>
      <w:pPr>
        <w:spacing w:after="40"/>
        <w:ind w:left="403" w:hanging="317"/>
      </w:pPr>
      <w:r>
        <w:rPr>
          <w:b/>
        </w:rPr>
        <w:t xml:space="preserve">5.  </w:t>
      </w:r>
      <w:r>
        <w:t>Calculate denied amounts and restricted interest and financing expense balances.</w:t>
      </w:r>
    </w:p>
    <w:p>
      <w:pPr>
        <w:spacing w:after="40"/>
        <w:ind w:left="403" w:hanging="317"/>
      </w:pPr>
      <w:r>
        <w:rPr>
          <w:b/>
        </w:rPr>
        <w:t xml:space="preserve">6.  </w:t>
      </w:r>
      <w:r>
        <w:t>Evaluate available carryforwards, carrybacks, transferred capacity and relevant elections.</w:t>
      </w:r>
    </w:p>
    <w:p>
      <w:pPr>
        <w:spacing w:after="40"/>
        <w:ind w:left="403" w:hanging="317"/>
      </w:pPr>
      <w:r>
        <w:rPr>
          <w:b/>
        </w:rPr>
        <w:t xml:space="preserve">7.  </w:t>
      </w:r>
      <w:r>
        <w:t>Model group-ratio or allocation scenarios where applicable.</w:t>
      </w:r>
    </w:p>
    <w:p>
      <w:pPr>
        <w:spacing w:after="40"/>
        <w:ind w:left="403" w:hanging="317"/>
      </w:pPr>
      <w:r>
        <w:rPr>
          <w:b/>
        </w:rPr>
        <w:t xml:space="preserve">8.  </w:t>
      </w:r>
      <w:r>
        <w:t>Coordinate results with thin capitalization, losses and T2 calculations.</w:t>
      </w:r>
    </w:p>
    <w:p>
      <w:pPr>
        <w:spacing w:after="40"/>
        <w:ind w:left="403" w:hanging="317"/>
      </w:pPr>
      <w:r>
        <w:rPr>
          <w:b/>
        </w:rPr>
        <w:t xml:space="preserve">9.  </w:t>
      </w:r>
      <w:r>
        <w:t>Run group-wide reconciliation and cross-entity consistency checks.</w:t>
      </w:r>
    </w:p>
    <w:p>
      <w:pPr>
        <w:spacing w:after="40"/>
        <w:ind w:left="403" w:hanging="317"/>
      </w:pPr>
      <w:r>
        <w:rPr>
          <w:b/>
        </w:rPr>
        <w:t xml:space="preserve">10.  </w:t>
      </w:r>
      <w:r>
        <w:t>Generate Schedule 130 inputs, election support, continuity schedules and manager review outputs.</w:t>
      </w:r>
    </w:p>
    <w:p>
      <w:r>
        <w:rPr>
          <w:b/>
        </w:rPr>
        <w:t>Recommended reusable building blocks</w:t>
      </w:r>
    </w:p>
    <w:p>
      <w:pPr>
        <w:pStyle w:val="ListBullet"/>
        <w:spacing w:after="40"/>
      </w:pPr>
      <w:r>
        <w:t>Entity graph</w:t>
      </w:r>
    </w:p>
    <w:p>
      <w:pPr>
        <w:pStyle w:val="ListBullet"/>
        <w:spacing w:after="40"/>
      </w:pPr>
      <w:r>
        <w:t>TB mapping engine</w:t>
      </w:r>
    </w:p>
    <w:p>
      <w:pPr>
        <w:pStyle w:val="ListBullet"/>
        <w:spacing w:after="40"/>
      </w:pPr>
      <w:r>
        <w:t>Tax rule engine</w:t>
      </w:r>
    </w:p>
    <w:p>
      <w:pPr>
        <w:pStyle w:val="ListBullet"/>
        <w:spacing w:after="40"/>
      </w:pPr>
      <w:r>
        <w:t>Restricted-interest ledger</w:t>
      </w:r>
    </w:p>
    <w:p>
      <w:pPr>
        <w:pStyle w:val="ListBullet"/>
        <w:spacing w:after="40"/>
      </w:pPr>
      <w:r>
        <w:t>Scenario and allocation engine</w:t>
      </w:r>
    </w:p>
    <w:p>
      <w:pPr>
        <w:pStyle w:val="ListBullet"/>
        <w:spacing w:after="40"/>
      </w:pPr>
      <w:r>
        <w:t>Workflow orchestration</w:t>
      </w:r>
    </w:p>
    <w:p>
      <w:pPr>
        <w:pStyle w:val="ListBullet"/>
        <w:spacing w:after="40"/>
      </w:pPr>
      <w:r>
        <w:t>Evidence lineage</w:t>
      </w:r>
    </w:p>
    <w:p>
      <w:pPr>
        <w:pStyle w:val="ListBullet"/>
        <w:spacing w:after="40"/>
      </w:pPr>
      <w:r>
        <w:t>Form generation</w:t>
      </w:r>
    </w:p>
    <w:p>
      <w:pPr>
        <w:pStyle w:val="ListBullet"/>
        <w:spacing w:after="40"/>
      </w:pPr>
      <w:r>
        <w:t>Portfolio exception dashboard</w:t>
      </w:r>
    </w:p>
    <w:p>
      <w:r>
        <w:rPr>
          <w:b/>
        </w:rPr>
        <w:t>Manager-level outputs</w:t>
      </w:r>
    </w:p>
    <w:p>
      <w:pPr>
        <w:pStyle w:val="ListBullet"/>
        <w:spacing w:after="40"/>
      </w:pPr>
      <w:r>
        <w:t>Entity-level EIFEL calculations</w:t>
      </w:r>
    </w:p>
    <w:p>
      <w:pPr>
        <w:pStyle w:val="ListBullet"/>
        <w:spacing w:after="40"/>
      </w:pPr>
      <w:r>
        <w:t>Group allocation schedule</w:t>
      </w:r>
    </w:p>
    <w:p>
      <w:pPr>
        <w:pStyle w:val="ListBullet"/>
        <w:spacing w:after="40"/>
      </w:pPr>
      <w:r>
        <w:t>Restricted-interest continuity</w:t>
      </w:r>
    </w:p>
    <w:p>
      <w:pPr>
        <w:pStyle w:val="ListBullet"/>
        <w:spacing w:after="40"/>
      </w:pPr>
      <w:r>
        <w:t>Scenario comparison</w:t>
      </w:r>
    </w:p>
    <w:p>
      <w:pPr>
        <w:pStyle w:val="ListBullet"/>
        <w:spacing w:after="40"/>
      </w:pPr>
      <w:r>
        <w:t>Schedule 130 data package</w:t>
      </w:r>
    </w:p>
    <w:p>
      <w:pPr>
        <w:pStyle w:val="ListBullet"/>
        <w:spacing w:after="40"/>
      </w:pPr>
      <w:r>
        <w:t>Manager exception report</w:t>
      </w:r>
    </w:p>
    <w:p>
      <w:pPr>
        <w:pStyle w:val="Heading2"/>
      </w:pPr>
      <w:r>
        <w:t>2.7 T2 Corporate Income Tax Compliance Suite</w:t>
      </w:r>
    </w:p>
    <w:tbl>
      <w:tblPr>
        <w:tblStyle w:val="TableGrid"/>
        <w:tblW w:type="auto" w:w="0"/>
        <w:jc w:val="left"/>
        <w:tblLook w:firstColumn="1" w:firstRow="1" w:lastColumn="0" w:lastRow="0" w:noHBand="0" w:noVBand="1" w:val="04A0"/>
      </w:tblPr>
      <w:tblGrid>
        <w:gridCol w:w="3389"/>
        <w:gridCol w:w="3389"/>
        <w:gridCol w:w="3389"/>
      </w:tblGrid>
      <w:tr>
        <w:tc>
          <w:tcPr>
            <w:tcW w:type="dxa" w:w="3389"/>
            <w:vAlign w:val="center"/>
            <w:shd w:fill="1F2937"/>
            <w:tcMar>
              <w:top w:w="80" w:type="dxa"/>
              <w:start w:w="80" w:type="dxa"/>
              <w:bottom w:w="80" w:type="dxa"/>
              <w:end w:w="80" w:type="dxa"/>
            </w:tcMar>
          </w:tcPr>
          <w:p>
            <w:r/>
            <w:r>
              <w:rPr>
                <w:b/>
                <w:color w:val="FFFFFF"/>
                <w:sz w:val="16"/>
              </w:rPr>
              <w:t>Priority</w:t>
            </w:r>
          </w:p>
        </w:tc>
        <w:tc>
          <w:tcPr>
            <w:tcW w:type="dxa" w:w="3389"/>
            <w:vAlign w:val="center"/>
            <w:shd w:fill="1F2937"/>
            <w:tcMar>
              <w:top w:w="80" w:type="dxa"/>
              <w:start w:w="80" w:type="dxa"/>
              <w:bottom w:w="80" w:type="dxa"/>
              <w:end w:w="80" w:type="dxa"/>
            </w:tcMar>
          </w:tcPr>
          <w:p>
            <w:r/>
            <w:r>
              <w:rPr>
                <w:b/>
                <w:color w:val="FFFFFF"/>
                <w:sz w:val="16"/>
              </w:rPr>
              <w:t>Scale potential</w:t>
            </w:r>
          </w:p>
        </w:tc>
        <w:tc>
          <w:tcPr>
            <w:tcW w:type="dxa" w:w="3389"/>
            <w:vAlign w:val="center"/>
            <w:shd w:fill="1F2937"/>
            <w:tcMar>
              <w:top w:w="80" w:type="dxa"/>
              <w:start w:w="80" w:type="dxa"/>
              <w:bottom w:w="80" w:type="dxa"/>
              <w:end w:w="80" w:type="dxa"/>
            </w:tcMar>
          </w:tcPr>
          <w:p>
            <w:r/>
            <w:r>
              <w:rPr>
                <w:b/>
                <w:color w:val="FFFFFF"/>
                <w:sz w:val="16"/>
              </w:rPr>
              <w:t>Strategic role</w:t>
            </w:r>
          </w:p>
        </w:tc>
      </w:tr>
      <w:tr>
        <w:tc>
          <w:tcPr>
            <w:tcW w:type="dxa" w:w="3389"/>
            <w:vAlign w:val="center"/>
            <w:tcMar>
              <w:top w:w="80" w:type="dxa"/>
              <w:start w:w="80" w:type="dxa"/>
              <w:bottom w:w="80" w:type="dxa"/>
              <w:end w:w="80" w:type="dxa"/>
            </w:tcMar>
          </w:tcPr>
          <w:p>
            <w:r/>
            <w:r>
              <w:rPr>
                <w:b w:val="0"/>
                <w:sz w:val="16"/>
              </w:rPr>
              <w:t>Tier 1</w:t>
            </w:r>
          </w:p>
        </w:tc>
        <w:tc>
          <w:tcPr>
            <w:tcW w:type="dxa" w:w="3389"/>
            <w:vAlign w:val="center"/>
            <w:tcMar>
              <w:top w:w="80" w:type="dxa"/>
              <w:start w:w="80" w:type="dxa"/>
              <w:bottom w:w="80" w:type="dxa"/>
              <w:end w:w="80" w:type="dxa"/>
            </w:tcMar>
          </w:tcPr>
          <w:p>
            <w:r/>
            <w:r>
              <w:rPr>
                <w:b w:val="0"/>
                <w:sz w:val="16"/>
              </w:rPr>
              <w:t>Extremely high</w:t>
            </w:r>
          </w:p>
        </w:tc>
        <w:tc>
          <w:tcPr>
            <w:tcW w:type="dxa" w:w="3389"/>
            <w:vAlign w:val="center"/>
            <w:tcMar>
              <w:top w:w="80" w:type="dxa"/>
              <w:start w:w="80" w:type="dxa"/>
              <w:bottom w:w="80" w:type="dxa"/>
              <w:end w:w="80" w:type="dxa"/>
            </w:tcMar>
          </w:tcPr>
          <w:p>
            <w:r/>
            <w:r>
              <w:rPr>
                <w:b w:val="0"/>
                <w:sz w:val="16"/>
              </w:rPr>
              <w:t>The broadest recurring Canadian corporate tax workflow family and the long-term enterprise compliance platform.</w:t>
            </w:r>
          </w:p>
        </w:tc>
      </w:tr>
    </w:tbl>
    <w:p/>
    <w:p>
      <w:r>
        <w:rPr>
          <w:b/>
        </w:rPr>
        <w:t>Recommended workflow steps</w:t>
      </w:r>
    </w:p>
    <w:p>
      <w:pPr>
        <w:spacing w:after="40"/>
        <w:ind w:left="403" w:hanging="317"/>
      </w:pPr>
      <w:r>
        <w:rPr>
          <w:b/>
        </w:rPr>
        <w:t xml:space="preserve">1.  </w:t>
      </w:r>
      <w:r>
        <w:t>Determine filing obligations and required federal and provincial schedules.</w:t>
      </w:r>
    </w:p>
    <w:p>
      <w:pPr>
        <w:spacing w:after="40"/>
        <w:ind w:left="403" w:hanging="317"/>
      </w:pPr>
      <w:r>
        <w:rPr>
          <w:b/>
        </w:rPr>
        <w:t xml:space="preserve">2.  </w:t>
      </w:r>
      <w:r>
        <w:t>Import and normalize the trial balance; roll forward prior-year account mappings.</w:t>
      </w:r>
    </w:p>
    <w:p>
      <w:pPr>
        <w:spacing w:after="40"/>
        <w:ind w:left="403" w:hanging="317"/>
      </w:pPr>
      <w:r>
        <w:rPr>
          <w:b/>
        </w:rPr>
        <w:t xml:space="preserve">3.  </w:t>
      </w:r>
      <w:r>
        <w:t>Prepare book-to-tax adjustments and Schedule 1.</w:t>
      </w:r>
    </w:p>
    <w:p>
      <w:pPr>
        <w:spacing w:after="40"/>
        <w:ind w:left="403" w:hanging="317"/>
      </w:pPr>
      <w:r>
        <w:rPr>
          <w:b/>
        </w:rPr>
        <w:t xml:space="preserve">4.  </w:t>
      </w:r>
      <w:r>
        <w:t>Roll forward fixed assets and calculate Schedule 8 CCA, recapture and terminal losses.</w:t>
      </w:r>
    </w:p>
    <w:p>
      <w:pPr>
        <w:spacing w:after="40"/>
        <w:ind w:left="403" w:hanging="317"/>
      </w:pPr>
      <w:r>
        <w:rPr>
          <w:b/>
        </w:rPr>
        <w:t xml:space="preserve">5.  </w:t>
      </w:r>
      <w:r>
        <w:t>Prepare loss continuity, capital transactions, dividends, credits and provincial allocation.</w:t>
      </w:r>
    </w:p>
    <w:p>
      <w:pPr>
        <w:spacing w:after="40"/>
        <w:ind w:left="403" w:hanging="317"/>
      </w:pPr>
      <w:r>
        <w:rPr>
          <w:b/>
        </w:rPr>
        <w:t xml:space="preserve">6.  </w:t>
      </w:r>
      <w:r>
        <w:t>Integrate international tax outputs, including FAPI, surplus dividends, EIFEL and foreign tax credits.</w:t>
      </w:r>
    </w:p>
    <w:p>
      <w:pPr>
        <w:spacing w:after="40"/>
        <w:ind w:left="403" w:hanging="317"/>
      </w:pPr>
      <w:r>
        <w:rPr>
          <w:b/>
        </w:rPr>
        <w:t xml:space="preserve">7.  </w:t>
      </w:r>
      <w:r>
        <w:t>Calculate federal and provincial tax, instalments, refundable balances and tax payable.</w:t>
      </w:r>
    </w:p>
    <w:p>
      <w:pPr>
        <w:spacing w:after="40"/>
        <w:ind w:left="403" w:hanging="317"/>
      </w:pPr>
      <w:r>
        <w:rPr>
          <w:b/>
        </w:rPr>
        <w:t xml:space="preserve">8.  </w:t>
      </w:r>
      <w:r>
        <w:t>Assemble the return and run cross-schedule and source-data diagnostics.</w:t>
      </w:r>
    </w:p>
    <w:p>
      <w:pPr>
        <w:spacing w:after="40"/>
        <w:ind w:left="403" w:hanging="317"/>
      </w:pPr>
      <w:r>
        <w:rPr>
          <w:b/>
        </w:rPr>
        <w:t xml:space="preserve">9.  </w:t>
      </w:r>
      <w:r>
        <w:t>Generate the tax workpaper, filing package, payment instructions and manager summary.</w:t>
      </w:r>
    </w:p>
    <w:p>
      <w:pPr>
        <w:spacing w:after="40"/>
        <w:ind w:left="403" w:hanging="317"/>
      </w:pPr>
      <w:r>
        <w:rPr>
          <w:b/>
        </w:rPr>
        <w:t xml:space="preserve">10.  </w:t>
      </w:r>
      <w:r>
        <w:t>After assessment, reconcile the notice of assessment and update all persistent tax attributes.</w:t>
      </w:r>
    </w:p>
    <w:p>
      <w:r>
        <w:rPr>
          <w:b/>
        </w:rPr>
        <w:t>Recommended reusable building blocks</w:t>
      </w:r>
    </w:p>
    <w:p>
      <w:pPr>
        <w:pStyle w:val="ListBullet"/>
        <w:spacing w:after="40"/>
      </w:pPr>
      <w:r>
        <w:t>TB mapping engine</w:t>
      </w:r>
    </w:p>
    <w:p>
      <w:pPr>
        <w:pStyle w:val="ListBullet"/>
        <w:spacing w:after="40"/>
      </w:pPr>
      <w:r>
        <w:t>Schedule determination engine</w:t>
      </w:r>
    </w:p>
    <w:p>
      <w:pPr>
        <w:pStyle w:val="ListBullet"/>
        <w:spacing w:after="40"/>
      </w:pPr>
      <w:r>
        <w:t>Tax rule engine</w:t>
      </w:r>
    </w:p>
    <w:p>
      <w:pPr>
        <w:pStyle w:val="ListBullet"/>
        <w:spacing w:after="40"/>
      </w:pPr>
      <w:r>
        <w:t>CCA ledger</w:t>
      </w:r>
    </w:p>
    <w:p>
      <w:pPr>
        <w:pStyle w:val="ListBullet"/>
        <w:spacing w:after="40"/>
      </w:pPr>
      <w:r>
        <w:t>Loss and credit ledgers</w:t>
      </w:r>
    </w:p>
    <w:p>
      <w:pPr>
        <w:pStyle w:val="ListBullet"/>
        <w:spacing w:after="40"/>
      </w:pPr>
      <w:r>
        <w:t>International workflow integrations</w:t>
      </w:r>
    </w:p>
    <w:p>
      <w:pPr>
        <w:pStyle w:val="ListBullet"/>
        <w:spacing w:after="40"/>
      </w:pPr>
      <w:r>
        <w:t>Form generation</w:t>
      </w:r>
    </w:p>
    <w:p>
      <w:pPr>
        <w:pStyle w:val="ListBullet"/>
        <w:spacing w:after="40"/>
      </w:pPr>
      <w:r>
        <w:t>Diagnostics</w:t>
      </w:r>
    </w:p>
    <w:p>
      <w:pPr>
        <w:pStyle w:val="ListBullet"/>
        <w:spacing w:after="40"/>
      </w:pPr>
      <w:r>
        <w:t>Assessment reconciliation</w:t>
      </w:r>
    </w:p>
    <w:p>
      <w:pPr>
        <w:pStyle w:val="ListBullet"/>
        <w:spacing w:after="40"/>
      </w:pPr>
      <w:r>
        <w:t>Manager review</w:t>
      </w:r>
    </w:p>
    <w:p>
      <w:r>
        <w:rPr>
          <w:b/>
        </w:rPr>
        <w:t>Manager-level outputs</w:t>
      </w:r>
    </w:p>
    <w:p>
      <w:pPr>
        <w:pStyle w:val="ListBullet"/>
        <w:spacing w:after="40"/>
      </w:pPr>
      <w:r>
        <w:t>Completed T2 and schedules</w:t>
      </w:r>
    </w:p>
    <w:p>
      <w:pPr>
        <w:pStyle w:val="ListBullet"/>
        <w:spacing w:after="40"/>
      </w:pPr>
      <w:r>
        <w:t>Standardized tax workpaper</w:t>
      </w:r>
    </w:p>
    <w:p>
      <w:pPr>
        <w:pStyle w:val="ListBullet"/>
        <w:spacing w:after="40"/>
      </w:pPr>
      <w:r>
        <w:t>Tax payable and payment instructions</w:t>
      </w:r>
    </w:p>
    <w:p>
      <w:pPr>
        <w:pStyle w:val="ListBullet"/>
        <w:spacing w:after="40"/>
      </w:pPr>
      <w:r>
        <w:t>Filing authorization package</w:t>
      </w:r>
    </w:p>
    <w:p>
      <w:pPr>
        <w:pStyle w:val="ListBullet"/>
        <w:spacing w:after="40"/>
      </w:pPr>
      <w:r>
        <w:t>Manager exception summary</w:t>
      </w:r>
    </w:p>
    <w:p>
      <w:pPr>
        <w:pStyle w:val="ListBullet"/>
        <w:spacing w:after="40"/>
      </w:pPr>
      <w:r>
        <w:t>Assessment reconciliation</w:t>
      </w:r>
    </w:p>
    <w:p>
      <w:pPr>
        <w:pStyle w:val="Heading2"/>
      </w:pPr>
      <w:r>
        <w:t>2.8 Corporate Tax Provision</w:t>
      </w:r>
    </w:p>
    <w:tbl>
      <w:tblPr>
        <w:tblStyle w:val="TableGrid"/>
        <w:tblW w:type="auto" w:w="0"/>
        <w:jc w:val="left"/>
        <w:tblLook w:firstColumn="1" w:firstRow="1" w:lastColumn="0" w:lastRow="0" w:noHBand="0" w:noVBand="1" w:val="04A0"/>
      </w:tblPr>
      <w:tblGrid>
        <w:gridCol w:w="3389"/>
        <w:gridCol w:w="3389"/>
        <w:gridCol w:w="3389"/>
      </w:tblGrid>
      <w:tr>
        <w:tc>
          <w:tcPr>
            <w:tcW w:type="dxa" w:w="3389"/>
            <w:vAlign w:val="center"/>
            <w:shd w:fill="1F2937"/>
            <w:tcMar>
              <w:top w:w="80" w:type="dxa"/>
              <w:start w:w="80" w:type="dxa"/>
              <w:bottom w:w="80" w:type="dxa"/>
              <w:end w:w="80" w:type="dxa"/>
            </w:tcMar>
          </w:tcPr>
          <w:p>
            <w:r/>
            <w:r>
              <w:rPr>
                <w:b/>
                <w:color w:val="FFFFFF"/>
                <w:sz w:val="16"/>
              </w:rPr>
              <w:t>Priority</w:t>
            </w:r>
          </w:p>
        </w:tc>
        <w:tc>
          <w:tcPr>
            <w:tcW w:type="dxa" w:w="3389"/>
            <w:vAlign w:val="center"/>
            <w:shd w:fill="1F2937"/>
            <w:tcMar>
              <w:top w:w="80" w:type="dxa"/>
              <w:start w:w="80" w:type="dxa"/>
              <w:bottom w:w="80" w:type="dxa"/>
              <w:end w:w="80" w:type="dxa"/>
            </w:tcMar>
          </w:tcPr>
          <w:p>
            <w:r/>
            <w:r>
              <w:rPr>
                <w:b/>
                <w:color w:val="FFFFFF"/>
                <w:sz w:val="16"/>
              </w:rPr>
              <w:t>Scale potential</w:t>
            </w:r>
          </w:p>
        </w:tc>
        <w:tc>
          <w:tcPr>
            <w:tcW w:type="dxa" w:w="3389"/>
            <w:vAlign w:val="center"/>
            <w:shd w:fill="1F2937"/>
            <w:tcMar>
              <w:top w:w="80" w:type="dxa"/>
              <w:start w:w="80" w:type="dxa"/>
              <w:bottom w:w="80" w:type="dxa"/>
              <w:end w:w="80" w:type="dxa"/>
            </w:tcMar>
          </w:tcPr>
          <w:p>
            <w:r/>
            <w:r>
              <w:rPr>
                <w:b/>
                <w:color w:val="FFFFFF"/>
                <w:sz w:val="16"/>
              </w:rPr>
              <w:t>Strategic role</w:t>
            </w:r>
          </w:p>
        </w:tc>
      </w:tr>
      <w:tr>
        <w:tc>
          <w:tcPr>
            <w:tcW w:type="dxa" w:w="3389"/>
            <w:vAlign w:val="center"/>
            <w:tcMar>
              <w:top w:w="80" w:type="dxa"/>
              <w:start w:w="80" w:type="dxa"/>
              <w:bottom w:w="80" w:type="dxa"/>
              <w:end w:w="80" w:type="dxa"/>
            </w:tcMar>
          </w:tcPr>
          <w:p>
            <w:r/>
            <w:r>
              <w:rPr>
                <w:b w:val="0"/>
                <w:sz w:val="16"/>
              </w:rPr>
              <w:t>Tier 1</w:t>
            </w:r>
          </w:p>
        </w:tc>
        <w:tc>
          <w:tcPr>
            <w:tcW w:type="dxa" w:w="3389"/>
            <w:vAlign w:val="center"/>
            <w:tcMar>
              <w:top w:w="80" w:type="dxa"/>
              <w:start w:w="80" w:type="dxa"/>
              <w:bottom w:w="80" w:type="dxa"/>
              <w:end w:w="80" w:type="dxa"/>
            </w:tcMar>
          </w:tcPr>
          <w:p>
            <w:r/>
            <w:r>
              <w:rPr>
                <w:b w:val="0"/>
                <w:sz w:val="16"/>
              </w:rPr>
              <w:t>Extremely high</w:t>
            </w:r>
          </w:p>
        </w:tc>
        <w:tc>
          <w:tcPr>
            <w:tcW w:type="dxa" w:w="3389"/>
            <w:vAlign w:val="center"/>
            <w:tcMar>
              <w:top w:w="80" w:type="dxa"/>
              <w:start w:w="80" w:type="dxa"/>
              <w:bottom w:w="80" w:type="dxa"/>
              <w:end w:w="80" w:type="dxa"/>
            </w:tcMar>
          </w:tcPr>
          <w:p>
            <w:r/>
            <w:r>
              <w:rPr>
                <w:b w:val="0"/>
                <w:sz w:val="16"/>
              </w:rPr>
              <w:t>Quarterly and annual process with high recurrence, compressed deadlines and strong need for consistent review.</w:t>
            </w:r>
          </w:p>
        </w:tc>
      </w:tr>
    </w:tbl>
    <w:p/>
    <w:p>
      <w:r>
        <w:rPr>
          <w:b/>
        </w:rPr>
        <w:t>Recommended workflow steps</w:t>
      </w:r>
    </w:p>
    <w:p>
      <w:pPr>
        <w:spacing w:after="40"/>
        <w:ind w:left="403" w:hanging="317"/>
      </w:pPr>
      <w:r>
        <w:rPr>
          <w:b/>
        </w:rPr>
        <w:t xml:space="preserve">1.  </w:t>
      </w:r>
      <w:r>
        <w:t>Import forecast or year-end entity financial data.</w:t>
      </w:r>
    </w:p>
    <w:p>
      <w:pPr>
        <w:spacing w:after="40"/>
        <w:ind w:left="403" w:hanging="317"/>
      </w:pPr>
      <w:r>
        <w:rPr>
          <w:b/>
        </w:rPr>
        <w:t xml:space="preserve">2.  </w:t>
      </w:r>
      <w:r>
        <w:t>Roll forward permanent differences, temporary differences and tax attributes.</w:t>
      </w:r>
    </w:p>
    <w:p>
      <w:pPr>
        <w:spacing w:after="40"/>
        <w:ind w:left="403" w:hanging="317"/>
      </w:pPr>
      <w:r>
        <w:rPr>
          <w:b/>
        </w:rPr>
        <w:t xml:space="preserve">3.  </w:t>
      </w:r>
      <w:r>
        <w:t>Calculate current taxable income and current tax by jurisdiction.</w:t>
      </w:r>
    </w:p>
    <w:p>
      <w:pPr>
        <w:spacing w:after="40"/>
        <w:ind w:left="403" w:hanging="317"/>
      </w:pPr>
      <w:r>
        <w:rPr>
          <w:b/>
        </w:rPr>
        <w:t xml:space="preserve">4.  </w:t>
      </w:r>
      <w:r>
        <w:t>Integrate FAPI, EIFEL, credits, losses and other complex tax adjustments.</w:t>
      </w:r>
    </w:p>
    <w:p>
      <w:pPr>
        <w:spacing w:after="40"/>
        <w:ind w:left="403" w:hanging="317"/>
      </w:pPr>
      <w:r>
        <w:rPr>
          <w:b/>
        </w:rPr>
        <w:t xml:space="preserve">5.  </w:t>
      </w:r>
      <w:r>
        <w:t>Calculate deferred tax balances and rate effects where included in scope.</w:t>
      </w:r>
    </w:p>
    <w:p>
      <w:pPr>
        <w:spacing w:after="40"/>
        <w:ind w:left="403" w:hanging="317"/>
      </w:pPr>
      <w:r>
        <w:rPr>
          <w:b/>
        </w:rPr>
        <w:t xml:space="preserve">6.  </w:t>
      </w:r>
      <w:r>
        <w:t>Prepare the statutory-to-effective tax rate reconciliation.</w:t>
      </w:r>
    </w:p>
    <w:p>
      <w:pPr>
        <w:spacing w:after="40"/>
        <w:ind w:left="403" w:hanging="317"/>
      </w:pPr>
      <w:r>
        <w:rPr>
          <w:b/>
        </w:rPr>
        <w:t xml:space="preserve">7.  </w:t>
      </w:r>
      <w:r>
        <w:t>Calculate tax account journal entries and cash-tax forecasts.</w:t>
      </w:r>
    </w:p>
    <w:p>
      <w:pPr>
        <w:spacing w:after="40"/>
        <w:ind w:left="403" w:hanging="317"/>
      </w:pPr>
      <w:r>
        <w:rPr>
          <w:b/>
        </w:rPr>
        <w:t xml:space="preserve">8.  </w:t>
      </w:r>
      <w:r>
        <w:t>Compare provision results with prior quarter, budget and prior-year return.</w:t>
      </w:r>
    </w:p>
    <w:p>
      <w:pPr>
        <w:spacing w:after="40"/>
        <w:ind w:left="403" w:hanging="317"/>
      </w:pPr>
      <w:r>
        <w:rPr>
          <w:b/>
        </w:rPr>
        <w:t xml:space="preserve">9.  </w:t>
      </w:r>
      <w:r>
        <w:t>Surface material movements, unsupported assumptions and required judgments.</w:t>
      </w:r>
    </w:p>
    <w:p>
      <w:pPr>
        <w:spacing w:after="40"/>
        <w:ind w:left="403" w:hanging="317"/>
      </w:pPr>
      <w:r>
        <w:rPr>
          <w:b/>
        </w:rPr>
        <w:t xml:space="preserve">10.  </w:t>
      </w:r>
      <w:r>
        <w:t>Generate provision workpapers, journal entries, disclosure schedules and manager sign-off package.</w:t>
      </w:r>
    </w:p>
    <w:p>
      <w:r>
        <w:rPr>
          <w:b/>
        </w:rPr>
        <w:t>Recommended reusable building blocks</w:t>
      </w:r>
    </w:p>
    <w:p>
      <w:pPr>
        <w:pStyle w:val="ListBullet"/>
        <w:spacing w:after="40"/>
      </w:pPr>
      <w:r>
        <w:t>TB mapping</w:t>
      </w:r>
    </w:p>
    <w:p>
      <w:pPr>
        <w:pStyle w:val="ListBullet"/>
        <w:spacing w:after="40"/>
      </w:pPr>
      <w:r>
        <w:t>Tax attribute ledgers</w:t>
      </w:r>
    </w:p>
    <w:p>
      <w:pPr>
        <w:pStyle w:val="ListBullet"/>
        <w:spacing w:after="40"/>
      </w:pPr>
      <w:r>
        <w:t>Tax rule engine</w:t>
      </w:r>
    </w:p>
    <w:p>
      <w:pPr>
        <w:pStyle w:val="ListBullet"/>
        <w:spacing w:after="40"/>
      </w:pPr>
      <w:r>
        <w:t>Forecast/scenario engine</w:t>
      </w:r>
    </w:p>
    <w:p>
      <w:pPr>
        <w:pStyle w:val="ListBullet"/>
        <w:spacing w:after="40"/>
      </w:pPr>
      <w:r>
        <w:t>Provision-to-return bridge</w:t>
      </w:r>
    </w:p>
    <w:p>
      <w:pPr>
        <w:pStyle w:val="ListBullet"/>
        <w:spacing w:after="40"/>
      </w:pPr>
      <w:r>
        <w:t>Document generation</w:t>
      </w:r>
    </w:p>
    <w:p>
      <w:pPr>
        <w:pStyle w:val="ListBullet"/>
        <w:spacing w:after="40"/>
      </w:pPr>
      <w:r>
        <w:t>Evidence lineage</w:t>
      </w:r>
    </w:p>
    <w:p>
      <w:pPr>
        <w:pStyle w:val="ListBullet"/>
        <w:spacing w:after="40"/>
      </w:pPr>
      <w:r>
        <w:t>Variance engine</w:t>
      </w:r>
    </w:p>
    <w:p>
      <w:pPr>
        <w:pStyle w:val="ListBullet"/>
        <w:spacing w:after="40"/>
      </w:pPr>
      <w:r>
        <w:t>Manager review</w:t>
      </w:r>
    </w:p>
    <w:p>
      <w:r>
        <w:rPr>
          <w:b/>
        </w:rPr>
        <w:t>Manager-level outputs</w:t>
      </w:r>
    </w:p>
    <w:p>
      <w:pPr>
        <w:pStyle w:val="ListBullet"/>
        <w:spacing w:after="40"/>
      </w:pPr>
      <w:r>
        <w:t>Current tax provision</w:t>
      </w:r>
    </w:p>
    <w:p>
      <w:pPr>
        <w:pStyle w:val="ListBullet"/>
        <w:spacing w:after="40"/>
      </w:pPr>
      <w:r>
        <w:t>Deferred tax schedules</w:t>
      </w:r>
    </w:p>
    <w:p>
      <w:pPr>
        <w:pStyle w:val="ListBullet"/>
        <w:spacing w:after="40"/>
      </w:pPr>
      <w:r>
        <w:t>ETR reconciliation</w:t>
      </w:r>
    </w:p>
    <w:p>
      <w:pPr>
        <w:pStyle w:val="ListBullet"/>
        <w:spacing w:after="40"/>
      </w:pPr>
      <w:r>
        <w:t>Journal entries</w:t>
      </w:r>
    </w:p>
    <w:p>
      <w:pPr>
        <w:pStyle w:val="ListBullet"/>
        <w:spacing w:after="40"/>
      </w:pPr>
      <w:r>
        <w:t>Cash-tax forecast</w:t>
      </w:r>
    </w:p>
    <w:p>
      <w:pPr>
        <w:pStyle w:val="ListBullet"/>
        <w:spacing w:after="40"/>
      </w:pPr>
      <w:r>
        <w:t>Variance and manager review report</w:t>
      </w:r>
    </w:p>
    <w:p>
      <w:pPr>
        <w:pStyle w:val="Heading2"/>
      </w:pPr>
      <w:r>
        <w:t>2.9 Tax Attribute and Continuity Ledgers</w:t>
      </w:r>
    </w:p>
    <w:tbl>
      <w:tblPr>
        <w:tblStyle w:val="TableGrid"/>
        <w:tblW w:type="auto" w:w="0"/>
        <w:jc w:val="left"/>
        <w:tblLook w:firstColumn="1" w:firstRow="1" w:lastColumn="0" w:lastRow="0" w:noHBand="0" w:noVBand="1" w:val="04A0"/>
      </w:tblPr>
      <w:tblGrid>
        <w:gridCol w:w="3389"/>
        <w:gridCol w:w="3389"/>
        <w:gridCol w:w="3389"/>
      </w:tblGrid>
      <w:tr>
        <w:tc>
          <w:tcPr>
            <w:tcW w:type="dxa" w:w="3389"/>
            <w:vAlign w:val="center"/>
            <w:shd w:fill="1F2937"/>
            <w:tcMar>
              <w:top w:w="80" w:type="dxa"/>
              <w:start w:w="80" w:type="dxa"/>
              <w:bottom w:w="80" w:type="dxa"/>
              <w:end w:w="80" w:type="dxa"/>
            </w:tcMar>
          </w:tcPr>
          <w:p>
            <w:r/>
            <w:r>
              <w:rPr>
                <w:b/>
                <w:color w:val="FFFFFF"/>
                <w:sz w:val="16"/>
              </w:rPr>
              <w:t>Priority</w:t>
            </w:r>
          </w:p>
        </w:tc>
        <w:tc>
          <w:tcPr>
            <w:tcW w:type="dxa" w:w="3389"/>
            <w:vAlign w:val="center"/>
            <w:shd w:fill="1F2937"/>
            <w:tcMar>
              <w:top w:w="80" w:type="dxa"/>
              <w:start w:w="80" w:type="dxa"/>
              <w:bottom w:w="80" w:type="dxa"/>
              <w:end w:w="80" w:type="dxa"/>
            </w:tcMar>
          </w:tcPr>
          <w:p>
            <w:r/>
            <w:r>
              <w:rPr>
                <w:b/>
                <w:color w:val="FFFFFF"/>
                <w:sz w:val="16"/>
              </w:rPr>
              <w:t>Scale potential</w:t>
            </w:r>
          </w:p>
        </w:tc>
        <w:tc>
          <w:tcPr>
            <w:tcW w:type="dxa" w:w="3389"/>
            <w:vAlign w:val="center"/>
            <w:shd w:fill="1F2937"/>
            <w:tcMar>
              <w:top w:w="80" w:type="dxa"/>
              <w:start w:w="80" w:type="dxa"/>
              <w:bottom w:w="80" w:type="dxa"/>
              <w:end w:w="80" w:type="dxa"/>
            </w:tcMar>
          </w:tcPr>
          <w:p>
            <w:r/>
            <w:r>
              <w:rPr>
                <w:b/>
                <w:color w:val="FFFFFF"/>
                <w:sz w:val="16"/>
              </w:rPr>
              <w:t>Strategic role</w:t>
            </w:r>
          </w:p>
        </w:tc>
      </w:tr>
      <w:tr>
        <w:tc>
          <w:tcPr>
            <w:tcW w:type="dxa" w:w="3389"/>
            <w:vAlign w:val="center"/>
            <w:tcMar>
              <w:top w:w="80" w:type="dxa"/>
              <w:start w:w="80" w:type="dxa"/>
              <w:bottom w:w="80" w:type="dxa"/>
              <w:end w:w="80" w:type="dxa"/>
            </w:tcMar>
          </w:tcPr>
          <w:p>
            <w:r/>
            <w:r>
              <w:rPr>
                <w:b w:val="0"/>
                <w:sz w:val="16"/>
              </w:rPr>
              <w:t>Foundation</w:t>
            </w:r>
          </w:p>
        </w:tc>
        <w:tc>
          <w:tcPr>
            <w:tcW w:type="dxa" w:w="3389"/>
            <w:vAlign w:val="center"/>
            <w:tcMar>
              <w:top w:w="80" w:type="dxa"/>
              <w:start w:w="80" w:type="dxa"/>
              <w:bottom w:w="80" w:type="dxa"/>
              <w:end w:w="80" w:type="dxa"/>
            </w:tcMar>
          </w:tcPr>
          <w:p>
            <w:r/>
            <w:r>
              <w:rPr>
                <w:b w:val="0"/>
                <w:sz w:val="16"/>
              </w:rPr>
              <w:t>Extremely high</w:t>
            </w:r>
          </w:p>
        </w:tc>
        <w:tc>
          <w:tcPr>
            <w:tcW w:type="dxa" w:w="3389"/>
            <w:vAlign w:val="center"/>
            <w:tcMar>
              <w:top w:w="80" w:type="dxa"/>
              <w:start w:w="80" w:type="dxa"/>
              <w:bottom w:w="80" w:type="dxa"/>
              <w:end w:w="80" w:type="dxa"/>
            </w:tcMar>
          </w:tcPr>
          <w:p>
            <w:r/>
            <w:r>
              <w:rPr>
                <w:b w:val="0"/>
                <w:sz w:val="16"/>
              </w:rPr>
              <w:t>Shared longitudinal data foundation that compounds in value and prevents annual reconstruction.</w:t>
            </w:r>
          </w:p>
        </w:tc>
      </w:tr>
    </w:tbl>
    <w:p/>
    <w:p>
      <w:r>
        <w:rPr>
          <w:b/>
        </w:rPr>
        <w:t>Recommended workflow steps</w:t>
      </w:r>
    </w:p>
    <w:p>
      <w:pPr>
        <w:spacing w:after="40"/>
        <w:ind w:left="403" w:hanging="317"/>
      </w:pPr>
      <w:r>
        <w:rPr>
          <w:b/>
        </w:rPr>
        <w:t xml:space="preserve">1.  </w:t>
      </w:r>
      <w:r>
        <w:t>Create opening balances from prior returns, workpapers, assessments and transaction records.</w:t>
      </w:r>
    </w:p>
    <w:p>
      <w:pPr>
        <w:spacing w:after="40"/>
        <w:ind w:left="403" w:hanging="317"/>
      </w:pPr>
      <w:r>
        <w:rPr>
          <w:b/>
        </w:rPr>
        <w:t xml:space="preserve">2.  </w:t>
      </w:r>
      <w:r>
        <w:t>Normalize each attribute by entity, jurisdiction, taxation year, class and expiry date.</w:t>
      </w:r>
    </w:p>
    <w:p>
      <w:pPr>
        <w:spacing w:after="40"/>
        <w:ind w:left="403" w:hanging="317"/>
      </w:pPr>
      <w:r>
        <w:rPr>
          <w:b/>
        </w:rPr>
        <w:t xml:space="preserve">3.  </w:t>
      </w:r>
      <w:r>
        <w:t>Post approved movements from tax workflows and transactions.</w:t>
      </w:r>
    </w:p>
    <w:p>
      <w:pPr>
        <w:spacing w:after="40"/>
        <w:ind w:left="403" w:hanging="317"/>
      </w:pPr>
      <w:r>
        <w:rPr>
          <w:b/>
        </w:rPr>
        <w:t xml:space="preserve">4.  </w:t>
      </w:r>
      <w:r>
        <w:t>Apply utilization, expiry, limitation and succession rules.</w:t>
      </w:r>
    </w:p>
    <w:p>
      <w:pPr>
        <w:spacing w:after="40"/>
        <w:ind w:left="403" w:hanging="317"/>
      </w:pPr>
      <w:r>
        <w:rPr>
          <w:b/>
        </w:rPr>
        <w:t xml:space="preserve">5.  </w:t>
      </w:r>
      <w:r>
        <w:t>Reconcile ledger balances to returns, assessments and financial reporting.</w:t>
      </w:r>
    </w:p>
    <w:p>
      <w:pPr>
        <w:spacing w:after="40"/>
        <w:ind w:left="403" w:hanging="317"/>
      </w:pPr>
      <w:r>
        <w:rPr>
          <w:b/>
        </w:rPr>
        <w:t xml:space="preserve">6.  </w:t>
      </w:r>
      <w:r>
        <w:t>Flag unsupported balances, discontinuities and inconsistent carryforwards.</w:t>
      </w:r>
    </w:p>
    <w:p>
      <w:pPr>
        <w:spacing w:after="40"/>
        <w:ind w:left="403" w:hanging="317"/>
      </w:pPr>
      <w:r>
        <w:rPr>
          <w:b/>
        </w:rPr>
        <w:t xml:space="preserve">7.  </w:t>
      </w:r>
      <w:r>
        <w:t>Provide available-balance and planning views to downstream workflows.</w:t>
      </w:r>
    </w:p>
    <w:p>
      <w:pPr>
        <w:spacing w:after="40"/>
        <w:ind w:left="403" w:hanging="317"/>
      </w:pPr>
      <w:r>
        <w:rPr>
          <w:b/>
        </w:rPr>
        <w:t xml:space="preserve">8.  </w:t>
      </w:r>
      <w:r>
        <w:t>Lock approved year-end balances with evidence and sign-offs.</w:t>
      </w:r>
    </w:p>
    <w:p>
      <w:r>
        <w:rPr>
          <w:b/>
        </w:rPr>
        <w:t>Recommended reusable building blocks</w:t>
      </w:r>
    </w:p>
    <w:p>
      <w:pPr>
        <w:pStyle w:val="ListBullet"/>
        <w:spacing w:after="40"/>
      </w:pPr>
      <w:r>
        <w:t>Generic tax ledger framework</w:t>
      </w:r>
    </w:p>
    <w:p>
      <w:pPr>
        <w:pStyle w:val="ListBullet"/>
        <w:spacing w:after="40"/>
      </w:pPr>
      <w:r>
        <w:t>Rule engine</w:t>
      </w:r>
    </w:p>
    <w:p>
      <w:pPr>
        <w:pStyle w:val="ListBullet"/>
        <w:spacing w:after="40"/>
      </w:pPr>
      <w:r>
        <w:t>Workflow integrations</w:t>
      </w:r>
    </w:p>
    <w:p>
      <w:pPr>
        <w:pStyle w:val="ListBullet"/>
        <w:spacing w:after="40"/>
      </w:pPr>
      <w:r>
        <w:t>Evidence lineage</w:t>
      </w:r>
    </w:p>
    <w:p>
      <w:pPr>
        <w:pStyle w:val="ListBullet"/>
        <w:spacing w:after="40"/>
      </w:pPr>
      <w:r>
        <w:t>Prior-year rollforward</w:t>
      </w:r>
    </w:p>
    <w:p>
      <w:pPr>
        <w:pStyle w:val="ListBullet"/>
        <w:spacing w:after="40"/>
      </w:pPr>
      <w:r>
        <w:t>Assessment reconciliation</w:t>
      </w:r>
    </w:p>
    <w:p>
      <w:pPr>
        <w:pStyle w:val="ListBullet"/>
        <w:spacing w:after="40"/>
      </w:pPr>
      <w:r>
        <w:t>Exception engine</w:t>
      </w:r>
    </w:p>
    <w:p>
      <w:r>
        <w:rPr>
          <w:b/>
        </w:rPr>
        <w:t>Manager-level outputs</w:t>
      </w:r>
    </w:p>
    <w:p>
      <w:pPr>
        <w:pStyle w:val="ListBullet"/>
        <w:spacing w:after="40"/>
      </w:pPr>
      <w:r>
        <w:t>Loss continuity</w:t>
      </w:r>
    </w:p>
    <w:p>
      <w:pPr>
        <w:pStyle w:val="ListBullet"/>
        <w:spacing w:after="40"/>
      </w:pPr>
      <w:r>
        <w:t>CCA/UCC continuity</w:t>
      </w:r>
    </w:p>
    <w:p>
      <w:pPr>
        <w:pStyle w:val="ListBullet"/>
        <w:spacing w:after="40"/>
      </w:pPr>
      <w:r>
        <w:t>ACB and PUC schedules</w:t>
      </w:r>
    </w:p>
    <w:p>
      <w:pPr>
        <w:pStyle w:val="ListBullet"/>
        <w:spacing w:after="40"/>
      </w:pPr>
      <w:r>
        <w:t>Foreign tax and surplus balances</w:t>
      </w:r>
    </w:p>
    <w:p>
      <w:pPr>
        <w:pStyle w:val="ListBullet"/>
        <w:spacing w:after="40"/>
      </w:pPr>
      <w:r>
        <w:t>Restricted interest continuity</w:t>
      </w:r>
    </w:p>
    <w:p>
      <w:pPr>
        <w:pStyle w:val="ListBullet"/>
        <w:spacing w:after="40"/>
      </w:pPr>
      <w:r>
        <w:t>Credit and instalment balances</w:t>
      </w:r>
    </w:p>
    <w:p>
      <w:pPr>
        <w:pStyle w:val="Heading2"/>
      </w:pPr>
      <w:r>
        <w:t>2.10 Part XIII Withholding Tax</w:t>
      </w:r>
    </w:p>
    <w:tbl>
      <w:tblPr>
        <w:tblStyle w:val="TableGrid"/>
        <w:tblW w:type="auto" w:w="0"/>
        <w:jc w:val="left"/>
        <w:tblLook w:firstColumn="1" w:firstRow="1" w:lastColumn="0" w:lastRow="0" w:noHBand="0" w:noVBand="1" w:val="04A0"/>
      </w:tblPr>
      <w:tblGrid>
        <w:gridCol w:w="3389"/>
        <w:gridCol w:w="3389"/>
        <w:gridCol w:w="3389"/>
      </w:tblGrid>
      <w:tr>
        <w:tc>
          <w:tcPr>
            <w:tcW w:type="dxa" w:w="3389"/>
            <w:vAlign w:val="center"/>
            <w:shd w:fill="1F2937"/>
            <w:tcMar>
              <w:top w:w="80" w:type="dxa"/>
              <w:start w:w="80" w:type="dxa"/>
              <w:bottom w:w="80" w:type="dxa"/>
              <w:end w:w="80" w:type="dxa"/>
            </w:tcMar>
          </w:tcPr>
          <w:p>
            <w:r/>
            <w:r>
              <w:rPr>
                <w:b/>
                <w:color w:val="FFFFFF"/>
                <w:sz w:val="16"/>
              </w:rPr>
              <w:t>Priority</w:t>
            </w:r>
          </w:p>
        </w:tc>
        <w:tc>
          <w:tcPr>
            <w:tcW w:type="dxa" w:w="3389"/>
            <w:vAlign w:val="center"/>
            <w:shd w:fill="1F2937"/>
            <w:tcMar>
              <w:top w:w="80" w:type="dxa"/>
              <w:start w:w="80" w:type="dxa"/>
              <w:bottom w:w="80" w:type="dxa"/>
              <w:end w:w="80" w:type="dxa"/>
            </w:tcMar>
          </w:tcPr>
          <w:p>
            <w:r/>
            <w:r>
              <w:rPr>
                <w:b/>
                <w:color w:val="FFFFFF"/>
                <w:sz w:val="16"/>
              </w:rPr>
              <w:t>Scale potential</w:t>
            </w:r>
          </w:p>
        </w:tc>
        <w:tc>
          <w:tcPr>
            <w:tcW w:type="dxa" w:w="3389"/>
            <w:vAlign w:val="center"/>
            <w:shd w:fill="1F2937"/>
            <w:tcMar>
              <w:top w:w="80" w:type="dxa"/>
              <w:start w:w="80" w:type="dxa"/>
              <w:bottom w:w="80" w:type="dxa"/>
              <w:end w:w="80" w:type="dxa"/>
            </w:tcMar>
          </w:tcPr>
          <w:p>
            <w:r/>
            <w:r>
              <w:rPr>
                <w:b/>
                <w:color w:val="FFFFFF"/>
                <w:sz w:val="16"/>
              </w:rPr>
              <w:t>Strategic role</w:t>
            </w:r>
          </w:p>
        </w:tc>
      </w:tr>
      <w:tr>
        <w:tc>
          <w:tcPr>
            <w:tcW w:type="dxa" w:w="3389"/>
            <w:vAlign w:val="center"/>
            <w:tcMar>
              <w:top w:w="80" w:type="dxa"/>
              <w:start w:w="80" w:type="dxa"/>
              <w:bottom w:w="80" w:type="dxa"/>
              <w:end w:w="80" w:type="dxa"/>
            </w:tcMar>
          </w:tcPr>
          <w:p>
            <w:r/>
            <w:r>
              <w:rPr>
                <w:b w:val="0"/>
                <w:sz w:val="16"/>
              </w:rPr>
              <w:t>Tier 1</w:t>
            </w:r>
          </w:p>
        </w:tc>
        <w:tc>
          <w:tcPr>
            <w:tcW w:type="dxa" w:w="3389"/>
            <w:vAlign w:val="center"/>
            <w:tcMar>
              <w:top w:w="80" w:type="dxa"/>
              <w:start w:w="80" w:type="dxa"/>
              <w:bottom w:w="80" w:type="dxa"/>
              <w:end w:w="80" w:type="dxa"/>
            </w:tcMar>
          </w:tcPr>
          <w:p>
            <w:r/>
            <w:r>
              <w:rPr>
                <w:b w:val="0"/>
                <w:sz w:val="16"/>
              </w:rPr>
              <w:t>Extremely high</w:t>
            </w:r>
          </w:p>
        </w:tc>
        <w:tc>
          <w:tcPr>
            <w:tcW w:type="dxa" w:w="3389"/>
            <w:vAlign w:val="center"/>
            <w:tcMar>
              <w:top w:w="80" w:type="dxa"/>
              <w:start w:w="80" w:type="dxa"/>
              <w:bottom w:w="80" w:type="dxa"/>
              <w:end w:w="80" w:type="dxa"/>
            </w:tcMar>
          </w:tcPr>
          <w:p>
            <w:r/>
            <w:r>
              <w:rPr>
                <w:b w:val="0"/>
                <w:sz w:val="16"/>
              </w:rPr>
              <w:t>High-volume recurring compliance workflow connected to payments, treaties and non-resident counterparties.</w:t>
            </w:r>
          </w:p>
        </w:tc>
      </w:tr>
    </w:tbl>
    <w:p/>
    <w:p>
      <w:r>
        <w:rPr>
          <w:b/>
        </w:rPr>
        <w:t>Recommended workflow steps</w:t>
      </w:r>
    </w:p>
    <w:p>
      <w:pPr>
        <w:spacing w:after="40"/>
        <w:ind w:left="403" w:hanging="317"/>
      </w:pPr>
      <w:r>
        <w:rPr>
          <w:b/>
        </w:rPr>
        <w:t xml:space="preserve">1.  </w:t>
      </w:r>
      <w:r>
        <w:t>Extract payments and accruals to non-residents from accounts payable, treasury and ledger systems.</w:t>
      </w:r>
    </w:p>
    <w:p>
      <w:pPr>
        <w:spacing w:after="40"/>
        <w:ind w:left="403" w:hanging="317"/>
      </w:pPr>
      <w:r>
        <w:rPr>
          <w:b/>
        </w:rPr>
        <w:t xml:space="preserve">2.  </w:t>
      </w:r>
      <w:r>
        <w:t>Match recipients to the entity and counterparty master.</w:t>
      </w:r>
    </w:p>
    <w:p>
      <w:pPr>
        <w:spacing w:after="40"/>
        <w:ind w:left="403" w:hanging="317"/>
      </w:pPr>
      <w:r>
        <w:rPr>
          <w:b/>
        </w:rPr>
        <w:t xml:space="preserve">3.  </w:t>
      </w:r>
      <w:r>
        <w:t>Classify payments as dividends, interest, royalties, rents, services or other categories.</w:t>
      </w:r>
    </w:p>
    <w:p>
      <w:pPr>
        <w:spacing w:after="40"/>
        <w:ind w:left="403" w:hanging="317"/>
      </w:pPr>
      <w:r>
        <w:rPr>
          <w:b/>
        </w:rPr>
        <w:t xml:space="preserve">4.  </w:t>
      </w:r>
      <w:r>
        <w:t>Determine domestic withholding obligations and potential treaty rates.</w:t>
      </w:r>
    </w:p>
    <w:p>
      <w:pPr>
        <w:spacing w:after="40"/>
        <w:ind w:left="403" w:hanging="317"/>
      </w:pPr>
      <w:r>
        <w:rPr>
          <w:b/>
        </w:rPr>
        <w:t xml:space="preserve">5.  </w:t>
      </w:r>
      <w:r>
        <w:t>Validate residence, beneficial ownership and required treaty documentation.</w:t>
      </w:r>
    </w:p>
    <w:p>
      <w:pPr>
        <w:spacing w:after="40"/>
        <w:ind w:left="403" w:hanging="317"/>
      </w:pPr>
      <w:r>
        <w:rPr>
          <w:b/>
        </w:rPr>
        <w:t xml:space="preserve">6.  </w:t>
      </w:r>
      <w:r>
        <w:t>Calculate withholding, due dates and remittances.</w:t>
      </w:r>
    </w:p>
    <w:p>
      <w:pPr>
        <w:spacing w:after="40"/>
        <w:ind w:left="403" w:hanging="317"/>
      </w:pPr>
      <w:r>
        <w:rPr>
          <w:b/>
        </w:rPr>
        <w:t xml:space="preserve">7.  </w:t>
      </w:r>
      <w:r>
        <w:t>Reconcile remittances to source payments and year-end reporting.</w:t>
      </w:r>
    </w:p>
    <w:p>
      <w:pPr>
        <w:spacing w:after="40"/>
        <w:ind w:left="403" w:hanging="317"/>
      </w:pPr>
      <w:r>
        <w:rPr>
          <w:b/>
        </w:rPr>
        <w:t xml:space="preserve">8.  </w:t>
      </w:r>
      <w:r>
        <w:t>Prepare NR4 slips, summaries and supporting workpapers.</w:t>
      </w:r>
    </w:p>
    <w:p>
      <w:pPr>
        <w:spacing w:after="40"/>
        <w:ind w:left="403" w:hanging="317"/>
      </w:pPr>
      <w:r>
        <w:rPr>
          <w:b/>
        </w:rPr>
        <w:t xml:space="preserve">9.  </w:t>
      </w:r>
      <w:r>
        <w:t>Flag expiring documentation, under-withholding and late-remittance exposure.</w:t>
      </w:r>
    </w:p>
    <w:p>
      <w:pPr>
        <w:spacing w:after="40"/>
        <w:ind w:left="403" w:hanging="317"/>
      </w:pPr>
      <w:r>
        <w:rPr>
          <w:b/>
        </w:rPr>
        <w:t xml:space="preserve">10.  </w:t>
      </w:r>
      <w:r>
        <w:t>Generate manager-level compliance and risk summaries.</w:t>
      </w:r>
    </w:p>
    <w:p>
      <w:r>
        <w:rPr>
          <w:b/>
        </w:rPr>
        <w:t>Recommended reusable building blocks</w:t>
      </w:r>
    </w:p>
    <w:p>
      <w:pPr>
        <w:pStyle w:val="ListBullet"/>
        <w:spacing w:after="40"/>
      </w:pPr>
      <w:r>
        <w:t>Payment ingestion</w:t>
      </w:r>
    </w:p>
    <w:p>
      <w:pPr>
        <w:pStyle w:val="ListBullet"/>
        <w:spacing w:after="40"/>
      </w:pPr>
      <w:r>
        <w:t>Counterparty/entity graph</w:t>
      </w:r>
    </w:p>
    <w:p>
      <w:pPr>
        <w:pStyle w:val="ListBullet"/>
        <w:spacing w:after="40"/>
      </w:pPr>
      <w:r>
        <w:t>Treaty and rule engine</w:t>
      </w:r>
    </w:p>
    <w:p>
      <w:pPr>
        <w:pStyle w:val="ListBullet"/>
        <w:spacing w:after="40"/>
      </w:pPr>
      <w:r>
        <w:t>Document evidence service</w:t>
      </w:r>
    </w:p>
    <w:p>
      <w:pPr>
        <w:pStyle w:val="ListBullet"/>
        <w:spacing w:after="40"/>
      </w:pPr>
      <w:r>
        <w:t>Deadline engine</w:t>
      </w:r>
    </w:p>
    <w:p>
      <w:pPr>
        <w:pStyle w:val="ListBullet"/>
        <w:spacing w:after="40"/>
      </w:pPr>
      <w:r>
        <w:t>Withholding ledger</w:t>
      </w:r>
    </w:p>
    <w:p>
      <w:pPr>
        <w:pStyle w:val="ListBullet"/>
        <w:spacing w:after="40"/>
      </w:pPr>
      <w:r>
        <w:t>Form generation</w:t>
      </w:r>
    </w:p>
    <w:p>
      <w:pPr>
        <w:pStyle w:val="ListBullet"/>
        <w:spacing w:after="40"/>
      </w:pPr>
      <w:r>
        <w:t>Exception dashboard</w:t>
      </w:r>
    </w:p>
    <w:p>
      <w:r>
        <w:rPr>
          <w:b/>
        </w:rPr>
        <w:t>Manager-level outputs</w:t>
      </w:r>
    </w:p>
    <w:p>
      <w:pPr>
        <w:pStyle w:val="ListBullet"/>
        <w:spacing w:after="40"/>
      </w:pPr>
      <w:r>
        <w:t>Withholding calculation</w:t>
      </w:r>
    </w:p>
    <w:p>
      <w:pPr>
        <w:pStyle w:val="ListBullet"/>
        <w:spacing w:after="40"/>
      </w:pPr>
      <w:r>
        <w:t>Remittance calendar</w:t>
      </w:r>
    </w:p>
    <w:p>
      <w:pPr>
        <w:pStyle w:val="ListBullet"/>
        <w:spacing w:after="40"/>
      </w:pPr>
      <w:r>
        <w:t>NR4 package</w:t>
      </w:r>
    </w:p>
    <w:p>
      <w:pPr>
        <w:pStyle w:val="ListBullet"/>
        <w:spacing w:after="40"/>
      </w:pPr>
      <w:r>
        <w:t>Treaty support register</w:t>
      </w:r>
    </w:p>
    <w:p>
      <w:pPr>
        <w:pStyle w:val="ListBullet"/>
        <w:spacing w:after="40"/>
      </w:pPr>
      <w:r>
        <w:t>Exposure report</w:t>
      </w:r>
    </w:p>
    <w:p>
      <w:pPr>
        <w:pStyle w:val="ListBullet"/>
        <w:spacing w:after="40"/>
      </w:pPr>
      <w:r>
        <w:t>Manager review package</w:t>
      </w:r>
    </w:p>
    <w:p>
      <w:pPr>
        <w:pStyle w:val="Heading2"/>
      </w:pPr>
      <w:r>
        <w:t>2.11 Portfolio Tax Calendar, Client Requests and Review</w:t>
      </w:r>
    </w:p>
    <w:tbl>
      <w:tblPr>
        <w:tblStyle w:val="TableGrid"/>
        <w:tblW w:type="auto" w:w="0"/>
        <w:jc w:val="left"/>
        <w:tblLook w:firstColumn="1" w:firstRow="1" w:lastColumn="0" w:lastRow="0" w:noHBand="0" w:noVBand="1" w:val="04A0"/>
      </w:tblPr>
      <w:tblGrid>
        <w:gridCol w:w="3389"/>
        <w:gridCol w:w="3389"/>
        <w:gridCol w:w="3389"/>
      </w:tblGrid>
      <w:tr>
        <w:tc>
          <w:tcPr>
            <w:tcW w:type="dxa" w:w="3389"/>
            <w:vAlign w:val="center"/>
            <w:shd w:fill="1F2937"/>
            <w:tcMar>
              <w:top w:w="80" w:type="dxa"/>
              <w:start w:w="80" w:type="dxa"/>
              <w:bottom w:w="80" w:type="dxa"/>
              <w:end w:w="80" w:type="dxa"/>
            </w:tcMar>
          </w:tcPr>
          <w:p>
            <w:r/>
            <w:r>
              <w:rPr>
                <w:b/>
                <w:color w:val="FFFFFF"/>
                <w:sz w:val="16"/>
              </w:rPr>
              <w:t>Priority</w:t>
            </w:r>
          </w:p>
        </w:tc>
        <w:tc>
          <w:tcPr>
            <w:tcW w:type="dxa" w:w="3389"/>
            <w:vAlign w:val="center"/>
            <w:shd w:fill="1F2937"/>
            <w:tcMar>
              <w:top w:w="80" w:type="dxa"/>
              <w:start w:w="80" w:type="dxa"/>
              <w:bottom w:w="80" w:type="dxa"/>
              <w:end w:w="80" w:type="dxa"/>
            </w:tcMar>
          </w:tcPr>
          <w:p>
            <w:r/>
            <w:r>
              <w:rPr>
                <w:b/>
                <w:color w:val="FFFFFF"/>
                <w:sz w:val="16"/>
              </w:rPr>
              <w:t>Scale potential</w:t>
            </w:r>
          </w:p>
        </w:tc>
        <w:tc>
          <w:tcPr>
            <w:tcW w:type="dxa" w:w="3389"/>
            <w:vAlign w:val="center"/>
            <w:shd w:fill="1F2937"/>
            <w:tcMar>
              <w:top w:w="80" w:type="dxa"/>
              <w:start w:w="80" w:type="dxa"/>
              <w:bottom w:w="80" w:type="dxa"/>
              <w:end w:w="80" w:type="dxa"/>
            </w:tcMar>
          </w:tcPr>
          <w:p>
            <w:r/>
            <w:r>
              <w:rPr>
                <w:b/>
                <w:color w:val="FFFFFF"/>
                <w:sz w:val="16"/>
              </w:rPr>
              <w:t>Strategic role</w:t>
            </w:r>
          </w:p>
        </w:tc>
      </w:tr>
      <w:tr>
        <w:tc>
          <w:tcPr>
            <w:tcW w:type="dxa" w:w="3389"/>
            <w:vAlign w:val="center"/>
            <w:tcMar>
              <w:top w:w="80" w:type="dxa"/>
              <w:start w:w="80" w:type="dxa"/>
              <w:bottom w:w="80" w:type="dxa"/>
              <w:end w:w="80" w:type="dxa"/>
            </w:tcMar>
          </w:tcPr>
          <w:p>
            <w:r/>
            <w:r>
              <w:rPr>
                <w:b w:val="0"/>
                <w:sz w:val="16"/>
              </w:rPr>
              <w:t>Foundation</w:t>
            </w:r>
          </w:p>
        </w:tc>
        <w:tc>
          <w:tcPr>
            <w:tcW w:type="dxa" w:w="3389"/>
            <w:vAlign w:val="center"/>
            <w:tcMar>
              <w:top w:w="80" w:type="dxa"/>
              <w:start w:w="80" w:type="dxa"/>
              <w:bottom w:w="80" w:type="dxa"/>
              <w:end w:w="80" w:type="dxa"/>
            </w:tcMar>
          </w:tcPr>
          <w:p>
            <w:r/>
            <w:r>
              <w:rPr>
                <w:b w:val="0"/>
                <w:sz w:val="16"/>
              </w:rPr>
              <w:t>Extremely high</w:t>
            </w:r>
          </w:p>
        </w:tc>
        <w:tc>
          <w:tcPr>
            <w:tcW w:type="dxa" w:w="3389"/>
            <w:vAlign w:val="center"/>
            <w:tcMar>
              <w:top w:w="80" w:type="dxa"/>
              <w:start w:w="80" w:type="dxa"/>
              <w:bottom w:w="80" w:type="dxa"/>
              <w:end w:w="80" w:type="dxa"/>
            </w:tcMar>
          </w:tcPr>
          <w:p>
            <w:r/>
            <w:r>
              <w:rPr>
                <w:b w:val="0"/>
                <w:sz w:val="16"/>
              </w:rPr>
              <w:t>The operational layer that makes Sinaxe a cross-client execution workspace rather than a collection of calculators.</w:t>
            </w:r>
          </w:p>
        </w:tc>
      </w:tr>
    </w:tbl>
    <w:p/>
    <w:p>
      <w:r>
        <w:rPr>
          <w:b/>
        </w:rPr>
        <w:t>Recommended workflow steps</w:t>
      </w:r>
    </w:p>
    <w:p>
      <w:pPr>
        <w:spacing w:after="40"/>
        <w:ind w:left="403" w:hanging="317"/>
      </w:pPr>
      <w:r>
        <w:rPr>
          <w:b/>
        </w:rPr>
        <w:t xml:space="preserve">1.  </w:t>
      </w:r>
      <w:r>
        <w:t>Determine applicable obligations and deadlines for every entity and workflow.</w:t>
      </w:r>
    </w:p>
    <w:p>
      <w:pPr>
        <w:spacing w:after="40"/>
        <w:ind w:left="403" w:hanging="317"/>
      </w:pPr>
      <w:r>
        <w:rPr>
          <w:b/>
        </w:rPr>
        <w:t xml:space="preserve">2.  </w:t>
      </w:r>
      <w:r>
        <w:t>Create workflow instances and assign preparers, reviewers and managers.</w:t>
      </w:r>
    </w:p>
    <w:p>
      <w:pPr>
        <w:spacing w:after="40"/>
        <w:ind w:left="403" w:hanging="317"/>
      </w:pPr>
      <w:r>
        <w:rPr>
          <w:b/>
        </w:rPr>
        <w:t xml:space="preserve">3.  </w:t>
      </w:r>
      <w:r>
        <w:t>Generate tailored information requests based on missing workflow inputs.</w:t>
      </w:r>
    </w:p>
    <w:p>
      <w:pPr>
        <w:spacing w:after="40"/>
        <w:ind w:left="403" w:hanging="317"/>
      </w:pPr>
      <w:r>
        <w:rPr>
          <w:b/>
        </w:rPr>
        <w:t xml:space="preserve">4.  </w:t>
      </w:r>
      <w:r>
        <w:t>Ingest client responses and route evidence to the correct entity, issue and workpaper.</w:t>
      </w:r>
    </w:p>
    <w:p>
      <w:pPr>
        <w:spacing w:after="40"/>
        <w:ind w:left="403" w:hanging="317"/>
      </w:pPr>
      <w:r>
        <w:rPr>
          <w:b/>
        </w:rPr>
        <w:t xml:space="preserve">5.  </w:t>
      </w:r>
      <w:r>
        <w:t>Monitor progress, blockers, overdue requests and review status across the portfolio.</w:t>
      </w:r>
    </w:p>
    <w:p>
      <w:pPr>
        <w:spacing w:after="40"/>
        <w:ind w:left="403" w:hanging="317"/>
      </w:pPr>
      <w:r>
        <w:rPr>
          <w:b/>
        </w:rPr>
        <w:t xml:space="preserve">6.  </w:t>
      </w:r>
      <w:r>
        <w:t>Apply materiality and risk scoring to prioritize professional attention.</w:t>
      </w:r>
    </w:p>
    <w:p>
      <w:pPr>
        <w:spacing w:after="40"/>
        <w:ind w:left="403" w:hanging="317"/>
      </w:pPr>
      <w:r>
        <w:rPr>
          <w:b/>
        </w:rPr>
        <w:t xml:space="preserve">7.  </w:t>
      </w:r>
      <w:r>
        <w:t>Summarize changes, exceptions and unresolved judgments for each manager.</w:t>
      </w:r>
    </w:p>
    <w:p>
      <w:pPr>
        <w:spacing w:after="40"/>
        <w:ind w:left="403" w:hanging="317"/>
      </w:pPr>
      <w:r>
        <w:rPr>
          <w:b/>
        </w:rPr>
        <w:t xml:space="preserve">8.  </w:t>
      </w:r>
      <w:r>
        <w:t>Track sign-offs, filing status, payment status and post-filing assessments.</w:t>
      </w:r>
    </w:p>
    <w:p>
      <w:pPr>
        <w:spacing w:after="40"/>
        <w:ind w:left="403" w:hanging="317"/>
      </w:pPr>
      <w:r>
        <w:rPr>
          <w:b/>
        </w:rPr>
        <w:t xml:space="preserve">9.  </w:t>
      </w:r>
      <w:r>
        <w:t>Preserve a complete audit trail and feed reusable facts back into future years.</w:t>
      </w:r>
    </w:p>
    <w:p>
      <w:r>
        <w:rPr>
          <w:b/>
        </w:rPr>
        <w:t>Recommended reusable building blocks</w:t>
      </w:r>
    </w:p>
    <w:p>
      <w:pPr>
        <w:pStyle w:val="ListBullet"/>
        <w:spacing w:after="40"/>
      </w:pPr>
      <w:r>
        <w:t>Applicability engine</w:t>
      </w:r>
    </w:p>
    <w:p>
      <w:pPr>
        <w:pStyle w:val="ListBullet"/>
        <w:spacing w:after="40"/>
      </w:pPr>
      <w:r>
        <w:t>Tax deadline rules</w:t>
      </w:r>
    </w:p>
    <w:p>
      <w:pPr>
        <w:pStyle w:val="ListBullet"/>
        <w:spacing w:after="40"/>
      </w:pPr>
      <w:r>
        <w:t>Workflow orchestration</w:t>
      </w:r>
    </w:p>
    <w:p>
      <w:pPr>
        <w:pStyle w:val="ListBullet"/>
        <w:spacing w:after="40"/>
      </w:pPr>
      <w:r>
        <w:t>Client request service</w:t>
      </w:r>
    </w:p>
    <w:p>
      <w:pPr>
        <w:pStyle w:val="ListBullet"/>
        <w:spacing w:after="40"/>
      </w:pPr>
      <w:r>
        <w:t>Document routing</w:t>
      </w:r>
    </w:p>
    <w:p>
      <w:pPr>
        <w:pStyle w:val="ListBullet"/>
        <w:spacing w:after="40"/>
      </w:pPr>
      <w:r>
        <w:t>Portfolio dashboard</w:t>
      </w:r>
    </w:p>
    <w:p>
      <w:pPr>
        <w:pStyle w:val="ListBullet"/>
        <w:spacing w:after="40"/>
      </w:pPr>
      <w:r>
        <w:t>Exception engine</w:t>
      </w:r>
    </w:p>
    <w:p>
      <w:pPr>
        <w:pStyle w:val="ListBullet"/>
        <w:spacing w:after="40"/>
      </w:pPr>
      <w:r>
        <w:t>Review/sign-off</w:t>
      </w:r>
    </w:p>
    <w:p>
      <w:pPr>
        <w:pStyle w:val="ListBullet"/>
        <w:spacing w:after="40"/>
      </w:pPr>
      <w:r>
        <w:t>Audit trail</w:t>
      </w:r>
    </w:p>
    <w:p>
      <w:r>
        <w:rPr>
          <w:b/>
        </w:rPr>
        <w:t>Manager-level outputs</w:t>
      </w:r>
    </w:p>
    <w:p>
      <w:pPr>
        <w:pStyle w:val="ListBullet"/>
        <w:spacing w:after="40"/>
      </w:pPr>
      <w:r>
        <w:t>Portfolio workplan</w:t>
      </w:r>
    </w:p>
    <w:p>
      <w:pPr>
        <w:pStyle w:val="ListBullet"/>
        <w:spacing w:after="40"/>
      </w:pPr>
      <w:r>
        <w:t>Outstanding-information dashboard</w:t>
      </w:r>
    </w:p>
    <w:p>
      <w:pPr>
        <w:pStyle w:val="ListBullet"/>
        <w:spacing w:after="40"/>
      </w:pPr>
      <w:r>
        <w:t>Manager review queue</w:t>
      </w:r>
    </w:p>
    <w:p>
      <w:pPr>
        <w:pStyle w:val="ListBullet"/>
        <w:spacing w:after="40"/>
      </w:pPr>
      <w:r>
        <w:t>Deadline and risk alerts</w:t>
      </w:r>
    </w:p>
    <w:p>
      <w:pPr>
        <w:pStyle w:val="ListBullet"/>
        <w:spacing w:after="40"/>
      </w:pPr>
      <w:r>
        <w:t>Engagement status summaries</w:t>
      </w:r>
    </w:p>
    <w:p>
      <w:pPr>
        <w:pStyle w:val="ListBullet"/>
        <w:spacing w:after="40"/>
      </w:pPr>
      <w:r>
        <w:t>Complete workflow audit trail</w:t>
      </w:r>
    </w:p>
    <w:p>
      <w:r>
        <w:br w:type="page"/>
      </w:r>
    </w:p>
    <w:p>
      <w:pPr>
        <w:pStyle w:val="Heading1"/>
      </w:pPr>
      <w:r>
        <w:t>3. Tier 2 Workflow Candidates</w:t>
      </w:r>
    </w:p>
    <w:p>
      <w:r>
        <w:t>Tier 2 workflows should be added after the shared execution foundation is reliable. Many reuse the same entity graph, trial balance mapping, ledgers, evidence and manager-review services built for Tier 1.</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11827"/>
            <w:tcMar>
              <w:top w:w="80" w:type="dxa"/>
              <w:start w:w="80" w:type="dxa"/>
              <w:bottom w:w="80" w:type="dxa"/>
              <w:end w:w="80" w:type="dxa"/>
            </w:tcMar>
          </w:tcPr>
          <w:p>
            <w:r/>
            <w:r>
              <w:rPr>
                <w:b/>
                <w:color w:val="FFFFFF"/>
                <w:sz w:val="16"/>
              </w:rPr>
              <w:t>Workflow</w:t>
            </w:r>
          </w:p>
        </w:tc>
        <w:tc>
          <w:tcPr>
            <w:tcW w:type="dxa" w:w="2541"/>
            <w:vAlign w:val="center"/>
            <w:shd w:fill="111827"/>
            <w:tcMar>
              <w:top w:w="80" w:type="dxa"/>
              <w:start w:w="80" w:type="dxa"/>
              <w:bottom w:w="80" w:type="dxa"/>
              <w:end w:w="80" w:type="dxa"/>
            </w:tcMar>
          </w:tcPr>
          <w:p>
            <w:r/>
            <w:r>
              <w:rPr>
                <w:b/>
                <w:color w:val="FFFFFF"/>
                <w:sz w:val="16"/>
              </w:rPr>
              <w:t>Scale</w:t>
            </w:r>
          </w:p>
        </w:tc>
        <w:tc>
          <w:tcPr>
            <w:tcW w:type="dxa" w:w="2541"/>
            <w:vAlign w:val="center"/>
            <w:shd w:fill="111827"/>
            <w:tcMar>
              <w:top w:w="80" w:type="dxa"/>
              <w:start w:w="80" w:type="dxa"/>
              <w:bottom w:w="80" w:type="dxa"/>
              <w:end w:w="80" w:type="dxa"/>
            </w:tcMar>
          </w:tcPr>
          <w:p>
            <w:r/>
            <w:r>
              <w:rPr>
                <w:b/>
                <w:color w:val="FFFFFF"/>
                <w:sz w:val="16"/>
              </w:rPr>
              <w:t>Family</w:t>
            </w:r>
          </w:p>
        </w:tc>
        <w:tc>
          <w:tcPr>
            <w:tcW w:type="dxa" w:w="2541"/>
            <w:vAlign w:val="center"/>
            <w:shd w:fill="111827"/>
            <w:tcMar>
              <w:top w:w="80" w:type="dxa"/>
              <w:start w:w="80" w:type="dxa"/>
              <w:bottom w:w="80" w:type="dxa"/>
              <w:end w:w="80" w:type="dxa"/>
            </w:tcMar>
          </w:tcPr>
          <w:p>
            <w:r/>
            <w:r>
              <w:rPr>
                <w:b/>
                <w:color w:val="FFFFFF"/>
                <w:sz w:val="16"/>
              </w:rPr>
              <w:t>Standardized core</w:t>
            </w:r>
          </w:p>
        </w:tc>
      </w:tr>
      <w:tr>
        <w:tc>
          <w:tcPr>
            <w:tcW w:type="dxa" w:w="2541"/>
            <w:vAlign w:val="center"/>
            <w:tcMar>
              <w:top w:w="80" w:type="dxa"/>
              <w:start w:w="80" w:type="dxa"/>
              <w:bottom w:w="80" w:type="dxa"/>
              <w:end w:w="80" w:type="dxa"/>
            </w:tcMar>
          </w:tcPr>
          <w:p>
            <w:r/>
            <w:r>
              <w:rPr>
                <w:b w:val="0"/>
                <w:sz w:val="16"/>
              </w:rPr>
              <w:t>T1135 specified foreign property</w:t>
            </w:r>
          </w:p>
        </w:tc>
        <w:tc>
          <w:tcPr>
            <w:tcW w:type="dxa" w:w="2541"/>
            <w:vAlign w:val="center"/>
            <w:tcMar>
              <w:top w:w="80" w:type="dxa"/>
              <w:start w:w="80" w:type="dxa"/>
              <w:bottom w:w="80" w:type="dxa"/>
              <w:end w:w="80" w:type="dxa"/>
            </w:tcMar>
          </w:tcPr>
          <w:p>
            <w:r/>
            <w:r>
              <w:rPr>
                <w:b w:val="0"/>
                <w:sz w:val="16"/>
              </w:rPr>
              <w:t>High</w:t>
            </w:r>
          </w:p>
        </w:tc>
        <w:tc>
          <w:tcPr>
            <w:tcW w:type="dxa" w:w="2541"/>
            <w:vAlign w:val="center"/>
            <w:tcMar>
              <w:top w:w="80" w:type="dxa"/>
              <w:start w:w="80" w:type="dxa"/>
              <w:bottom w:w="80" w:type="dxa"/>
              <w:end w:w="80" w:type="dxa"/>
            </w:tcMar>
          </w:tcPr>
          <w:p>
            <w:r/>
            <w:r>
              <w:rPr>
                <w:b w:val="0"/>
                <w:sz w:val="16"/>
              </w:rPr>
              <w:t>International reporting</w:t>
            </w:r>
          </w:p>
        </w:tc>
        <w:tc>
          <w:tcPr>
            <w:tcW w:type="dxa" w:w="2541"/>
            <w:vAlign w:val="center"/>
            <w:tcMar>
              <w:top w:w="80" w:type="dxa"/>
              <w:start w:w="80" w:type="dxa"/>
              <w:bottom w:w="80" w:type="dxa"/>
              <w:end w:w="80" w:type="dxa"/>
            </w:tcMar>
          </w:tcPr>
          <w:p>
            <w:r/>
            <w:r>
              <w:rPr>
                <w:b w:val="0"/>
                <w:sz w:val="16"/>
              </w:rPr>
              <w:t>Asset classification, maximum cost, income/gain reconciliation and filing package</w:t>
            </w:r>
          </w:p>
        </w:tc>
      </w:tr>
      <w:tr>
        <w:tc>
          <w:tcPr>
            <w:tcW w:type="dxa" w:w="2541"/>
            <w:vAlign w:val="center"/>
            <w:tcMar>
              <w:top w:w="80" w:type="dxa"/>
              <w:start w:w="80" w:type="dxa"/>
              <w:bottom w:w="80" w:type="dxa"/>
              <w:end w:w="80" w:type="dxa"/>
            </w:tcMar>
          </w:tcPr>
          <w:p>
            <w:r/>
            <w:r>
              <w:rPr>
                <w:b w:val="0"/>
                <w:sz w:val="16"/>
              </w:rPr>
              <w:t>Foreign tax credits</w:t>
            </w:r>
          </w:p>
        </w:tc>
        <w:tc>
          <w:tcPr>
            <w:tcW w:type="dxa" w:w="2541"/>
            <w:vAlign w:val="center"/>
            <w:tcMar>
              <w:top w:w="80" w:type="dxa"/>
              <w:start w:w="80" w:type="dxa"/>
              <w:bottom w:w="80" w:type="dxa"/>
              <w:end w:w="80" w:type="dxa"/>
            </w:tcMar>
          </w:tcPr>
          <w:p>
            <w:r/>
            <w:r>
              <w:rPr>
                <w:b w:val="0"/>
                <w:sz w:val="16"/>
              </w:rPr>
              <w:t>High</w:t>
            </w:r>
          </w:p>
        </w:tc>
        <w:tc>
          <w:tcPr>
            <w:tcW w:type="dxa" w:w="2541"/>
            <w:vAlign w:val="center"/>
            <w:tcMar>
              <w:top w:w="80" w:type="dxa"/>
              <w:start w:w="80" w:type="dxa"/>
              <w:bottom w:w="80" w:type="dxa"/>
              <w:end w:w="80" w:type="dxa"/>
            </w:tcMar>
          </w:tcPr>
          <w:p>
            <w:r/>
            <w:r>
              <w:rPr>
                <w:b w:val="0"/>
                <w:sz w:val="16"/>
              </w:rPr>
              <w:t>International calculation</w:t>
            </w:r>
          </w:p>
        </w:tc>
        <w:tc>
          <w:tcPr>
            <w:tcW w:type="dxa" w:w="2541"/>
            <w:vAlign w:val="center"/>
            <w:tcMar>
              <w:top w:w="80" w:type="dxa"/>
              <w:start w:w="80" w:type="dxa"/>
              <w:bottom w:w="80" w:type="dxa"/>
              <w:end w:w="80" w:type="dxa"/>
            </w:tcMar>
          </w:tcPr>
          <w:p>
            <w:r/>
            <w:r>
              <w:rPr>
                <w:b w:val="0"/>
                <w:sz w:val="16"/>
              </w:rPr>
              <w:t>Source-income pools, foreign taxes, limitations and carryforwards</w:t>
            </w:r>
          </w:p>
        </w:tc>
      </w:tr>
      <w:tr>
        <w:tc>
          <w:tcPr>
            <w:tcW w:type="dxa" w:w="2541"/>
            <w:vAlign w:val="center"/>
            <w:tcMar>
              <w:top w:w="80" w:type="dxa"/>
              <w:start w:w="80" w:type="dxa"/>
              <w:bottom w:w="80" w:type="dxa"/>
              <w:end w:w="80" w:type="dxa"/>
            </w:tcMar>
          </w:tcPr>
          <w:p>
            <w:r/>
            <w:r>
              <w:rPr>
                <w:b w:val="0"/>
                <w:sz w:val="16"/>
              </w:rPr>
              <w:t>Thin capitalization</w:t>
            </w:r>
          </w:p>
        </w:tc>
        <w:tc>
          <w:tcPr>
            <w:tcW w:type="dxa" w:w="2541"/>
            <w:vAlign w:val="center"/>
            <w:tcMar>
              <w:top w:w="80" w:type="dxa"/>
              <w:start w:w="80" w:type="dxa"/>
              <w:bottom w:w="80" w:type="dxa"/>
              <w:end w:w="80" w:type="dxa"/>
            </w:tcMar>
          </w:tcPr>
          <w:p>
            <w:r/>
            <w:r>
              <w:rPr>
                <w:b w:val="0"/>
                <w:sz w:val="16"/>
              </w:rPr>
              <w:t>High</w:t>
            </w:r>
          </w:p>
        </w:tc>
        <w:tc>
          <w:tcPr>
            <w:tcW w:type="dxa" w:w="2541"/>
            <w:vAlign w:val="center"/>
            <w:tcMar>
              <w:top w:w="80" w:type="dxa"/>
              <w:start w:w="80" w:type="dxa"/>
              <w:bottom w:w="80" w:type="dxa"/>
              <w:end w:w="80" w:type="dxa"/>
            </w:tcMar>
          </w:tcPr>
          <w:p>
            <w:r/>
            <w:r>
              <w:rPr>
                <w:b w:val="0"/>
                <w:sz w:val="16"/>
              </w:rPr>
              <w:t>Interest deductibility</w:t>
            </w:r>
          </w:p>
        </w:tc>
        <w:tc>
          <w:tcPr>
            <w:tcW w:type="dxa" w:w="2541"/>
            <w:vAlign w:val="center"/>
            <w:tcMar>
              <w:top w:w="80" w:type="dxa"/>
              <w:start w:w="80" w:type="dxa"/>
              <w:bottom w:w="80" w:type="dxa"/>
              <w:end w:w="80" w:type="dxa"/>
            </w:tcMar>
          </w:tcPr>
          <w:p>
            <w:r/>
            <w:r>
              <w:rPr>
                <w:b w:val="0"/>
                <w:sz w:val="16"/>
              </w:rPr>
              <w:t>Specified shareholders, debt/equity calculation and denied interest</w:t>
            </w:r>
          </w:p>
        </w:tc>
      </w:tr>
      <w:tr>
        <w:tc>
          <w:tcPr>
            <w:tcW w:type="dxa" w:w="2541"/>
            <w:vAlign w:val="center"/>
            <w:tcMar>
              <w:top w:w="80" w:type="dxa"/>
              <w:start w:w="80" w:type="dxa"/>
              <w:bottom w:w="80" w:type="dxa"/>
              <w:end w:w="80" w:type="dxa"/>
            </w:tcMar>
          </w:tcPr>
          <w:p>
            <w:r/>
            <w:r>
              <w:rPr>
                <w:b w:val="0"/>
                <w:sz w:val="16"/>
              </w:rPr>
              <w:t>Transfer-pricing transaction inventory and true-ups</w:t>
            </w:r>
          </w:p>
        </w:tc>
        <w:tc>
          <w:tcPr>
            <w:tcW w:type="dxa" w:w="2541"/>
            <w:vAlign w:val="center"/>
            <w:tcMar>
              <w:top w:w="80" w:type="dxa"/>
              <w:start w:w="80" w:type="dxa"/>
              <w:bottom w:w="80" w:type="dxa"/>
              <w:end w:w="80" w:type="dxa"/>
            </w:tcMar>
          </w:tcPr>
          <w:p>
            <w:r/>
            <w:r>
              <w:rPr>
                <w:b w:val="0"/>
                <w:sz w:val="16"/>
              </w:rPr>
              <w:t>High</w:t>
            </w:r>
          </w:p>
        </w:tc>
        <w:tc>
          <w:tcPr>
            <w:tcW w:type="dxa" w:w="2541"/>
            <w:vAlign w:val="center"/>
            <w:tcMar>
              <w:top w:w="80" w:type="dxa"/>
              <w:start w:w="80" w:type="dxa"/>
              <w:bottom w:w="80" w:type="dxa"/>
              <w:end w:w="80" w:type="dxa"/>
            </w:tcMar>
          </w:tcPr>
          <w:p>
            <w:r/>
            <w:r>
              <w:rPr>
                <w:b w:val="0"/>
                <w:sz w:val="16"/>
              </w:rPr>
              <w:t>Transfer pricing</w:t>
            </w:r>
          </w:p>
        </w:tc>
        <w:tc>
          <w:tcPr>
            <w:tcW w:type="dxa" w:w="2541"/>
            <w:vAlign w:val="center"/>
            <w:tcMar>
              <w:top w:w="80" w:type="dxa"/>
              <w:start w:w="80" w:type="dxa"/>
              <w:bottom w:w="80" w:type="dxa"/>
              <w:end w:w="80" w:type="dxa"/>
            </w:tcMar>
          </w:tcPr>
          <w:p>
            <w:r/>
            <w:r>
              <w:rPr>
                <w:b w:val="0"/>
                <w:sz w:val="16"/>
              </w:rPr>
              <w:t>Intercompany inventory, agreements, segmented financials, target margins and T106 tie-out</w:t>
            </w:r>
          </w:p>
        </w:tc>
      </w:tr>
      <w:tr>
        <w:tc>
          <w:tcPr>
            <w:tcW w:type="dxa" w:w="2541"/>
            <w:vAlign w:val="center"/>
            <w:tcMar>
              <w:top w:w="80" w:type="dxa"/>
              <w:start w:w="80" w:type="dxa"/>
              <w:bottom w:w="80" w:type="dxa"/>
              <w:end w:w="80" w:type="dxa"/>
            </w:tcMar>
          </w:tcPr>
          <w:p>
            <w:r/>
            <w:r>
              <w:rPr>
                <w:b w:val="0"/>
                <w:sz w:val="16"/>
              </w:rPr>
              <w:t>Country-by-country reporting</w:t>
            </w:r>
          </w:p>
        </w:tc>
        <w:tc>
          <w:tcPr>
            <w:tcW w:type="dxa" w:w="2541"/>
            <w:vAlign w:val="center"/>
            <w:tcMar>
              <w:top w:w="80" w:type="dxa"/>
              <w:start w:w="80" w:type="dxa"/>
              <w:bottom w:w="80" w:type="dxa"/>
              <w:end w:w="80" w:type="dxa"/>
            </w:tcMar>
          </w:tcPr>
          <w:p>
            <w:r/>
            <w:r>
              <w:rPr>
                <w:b w:val="0"/>
                <w:sz w:val="16"/>
              </w:rPr>
              <w:t>Extremely high for in-scope groups</w:t>
            </w:r>
          </w:p>
        </w:tc>
        <w:tc>
          <w:tcPr>
            <w:tcW w:type="dxa" w:w="2541"/>
            <w:vAlign w:val="center"/>
            <w:tcMar>
              <w:top w:w="80" w:type="dxa"/>
              <w:start w:w="80" w:type="dxa"/>
              <w:bottom w:w="80" w:type="dxa"/>
              <w:end w:w="80" w:type="dxa"/>
            </w:tcMar>
          </w:tcPr>
          <w:p>
            <w:r/>
            <w:r>
              <w:rPr>
                <w:b w:val="0"/>
                <w:sz w:val="16"/>
              </w:rPr>
              <w:t>International reporting</w:t>
            </w:r>
          </w:p>
        </w:tc>
        <w:tc>
          <w:tcPr>
            <w:tcW w:type="dxa" w:w="2541"/>
            <w:vAlign w:val="center"/>
            <w:tcMar>
              <w:top w:w="80" w:type="dxa"/>
              <w:start w:w="80" w:type="dxa"/>
              <w:bottom w:w="80" w:type="dxa"/>
              <w:end w:w="80" w:type="dxa"/>
            </w:tcMar>
          </w:tcPr>
          <w:p>
            <w:r/>
            <w:r>
              <w:rPr>
                <w:b w:val="0"/>
                <w:sz w:val="16"/>
              </w:rPr>
              <w:t>Entity and jurisdiction data collection, reconciliation and report generation</w:t>
            </w:r>
          </w:p>
        </w:tc>
      </w:tr>
      <w:tr>
        <w:tc>
          <w:tcPr>
            <w:tcW w:type="dxa" w:w="2541"/>
            <w:vAlign w:val="center"/>
            <w:tcMar>
              <w:top w:w="80" w:type="dxa"/>
              <w:start w:w="80" w:type="dxa"/>
              <w:bottom w:w="80" w:type="dxa"/>
              <w:end w:w="80" w:type="dxa"/>
            </w:tcMar>
          </w:tcPr>
          <w:p>
            <w:r/>
            <w:r>
              <w:rPr>
                <w:b w:val="0"/>
                <w:sz w:val="16"/>
              </w:rPr>
              <w:t>Pillar Two scoping and safe harbours</w:t>
            </w:r>
          </w:p>
        </w:tc>
        <w:tc>
          <w:tcPr>
            <w:tcW w:type="dxa" w:w="2541"/>
            <w:vAlign w:val="center"/>
            <w:tcMar>
              <w:top w:w="80" w:type="dxa"/>
              <w:start w:w="80" w:type="dxa"/>
              <w:bottom w:w="80" w:type="dxa"/>
              <w:end w:w="80" w:type="dxa"/>
            </w:tcMar>
          </w:tcPr>
          <w:p>
            <w:r/>
            <w:r>
              <w:rPr>
                <w:b w:val="0"/>
                <w:sz w:val="16"/>
              </w:rPr>
              <w:t>Extremely high for in-scope groups</w:t>
            </w:r>
          </w:p>
        </w:tc>
        <w:tc>
          <w:tcPr>
            <w:tcW w:type="dxa" w:w="2541"/>
            <w:vAlign w:val="center"/>
            <w:tcMar>
              <w:top w:w="80" w:type="dxa"/>
              <w:start w:w="80" w:type="dxa"/>
              <w:bottom w:w="80" w:type="dxa"/>
              <w:end w:w="80" w:type="dxa"/>
            </w:tcMar>
          </w:tcPr>
          <w:p>
            <w:r/>
            <w:r>
              <w:rPr>
                <w:b w:val="0"/>
                <w:sz w:val="16"/>
              </w:rPr>
              <w:t>Global minimum tax</w:t>
            </w:r>
          </w:p>
        </w:tc>
        <w:tc>
          <w:tcPr>
            <w:tcW w:type="dxa" w:w="2541"/>
            <w:vAlign w:val="center"/>
            <w:tcMar>
              <w:top w:w="80" w:type="dxa"/>
              <w:start w:w="80" w:type="dxa"/>
              <w:bottom w:w="80" w:type="dxa"/>
              <w:end w:w="80" w:type="dxa"/>
            </w:tcMar>
          </w:tcPr>
          <w:p>
            <w:r/>
            <w:r>
              <w:rPr>
                <w:b w:val="0"/>
                <w:sz w:val="16"/>
              </w:rPr>
              <w:t>Entity scope, CbCR safe-harbour tests and data-readiness diagnostics</w:t>
            </w:r>
          </w:p>
        </w:tc>
      </w:tr>
      <w:tr>
        <w:tc>
          <w:tcPr>
            <w:tcW w:type="dxa" w:w="2541"/>
            <w:vAlign w:val="center"/>
            <w:tcMar>
              <w:top w:w="80" w:type="dxa"/>
              <w:start w:w="80" w:type="dxa"/>
              <w:bottom w:w="80" w:type="dxa"/>
              <w:end w:w="80" w:type="dxa"/>
            </w:tcMar>
          </w:tcPr>
          <w:p>
            <w:r/>
            <w:r>
              <w:rPr>
                <w:b w:val="0"/>
                <w:sz w:val="16"/>
              </w:rPr>
              <w:t>Full Pillar Two calculation</w:t>
            </w:r>
          </w:p>
        </w:tc>
        <w:tc>
          <w:tcPr>
            <w:tcW w:type="dxa" w:w="2541"/>
            <w:vAlign w:val="center"/>
            <w:tcMar>
              <w:top w:w="80" w:type="dxa"/>
              <w:start w:w="80" w:type="dxa"/>
              <w:bottom w:w="80" w:type="dxa"/>
              <w:end w:w="80" w:type="dxa"/>
            </w:tcMar>
          </w:tcPr>
          <w:p>
            <w:r/>
            <w:r>
              <w:rPr>
                <w:b w:val="0"/>
                <w:sz w:val="16"/>
              </w:rPr>
              <w:t>Extremely high for in-scope groups</w:t>
            </w:r>
          </w:p>
        </w:tc>
        <w:tc>
          <w:tcPr>
            <w:tcW w:type="dxa" w:w="2541"/>
            <w:vAlign w:val="center"/>
            <w:tcMar>
              <w:top w:w="80" w:type="dxa"/>
              <w:start w:w="80" w:type="dxa"/>
              <w:bottom w:w="80" w:type="dxa"/>
              <w:end w:w="80" w:type="dxa"/>
            </w:tcMar>
          </w:tcPr>
          <w:p>
            <w:r/>
            <w:r>
              <w:rPr>
                <w:b w:val="0"/>
                <w:sz w:val="16"/>
              </w:rPr>
              <w:t>Global minimum tax</w:t>
            </w:r>
          </w:p>
        </w:tc>
        <w:tc>
          <w:tcPr>
            <w:tcW w:type="dxa" w:w="2541"/>
            <w:vAlign w:val="center"/>
            <w:tcMar>
              <w:top w:w="80" w:type="dxa"/>
              <w:start w:w="80" w:type="dxa"/>
              <w:bottom w:w="80" w:type="dxa"/>
              <w:end w:w="80" w:type="dxa"/>
            </w:tcMar>
          </w:tcPr>
          <w:p>
            <w:r/>
            <w:r>
              <w:rPr>
                <w:b w:val="0"/>
                <w:sz w:val="16"/>
              </w:rPr>
              <w:t>GloBE income, covered taxes, ETR, top-up tax and return package</w:t>
            </w:r>
          </w:p>
        </w:tc>
      </w:tr>
      <w:tr>
        <w:tc>
          <w:tcPr>
            <w:tcW w:type="dxa" w:w="2541"/>
            <w:vAlign w:val="center"/>
            <w:tcMar>
              <w:top w:w="80" w:type="dxa"/>
              <w:start w:w="80" w:type="dxa"/>
              <w:bottom w:w="80" w:type="dxa"/>
              <w:end w:w="80" w:type="dxa"/>
            </w:tcMar>
          </w:tcPr>
          <w:p>
            <w:r/>
            <w:r>
              <w:rPr>
                <w:b w:val="0"/>
                <w:sz w:val="16"/>
              </w:rPr>
              <w:t>SR&amp;ED financial claim</w:t>
            </w:r>
          </w:p>
        </w:tc>
        <w:tc>
          <w:tcPr>
            <w:tcW w:type="dxa" w:w="2541"/>
            <w:vAlign w:val="center"/>
            <w:tcMar>
              <w:top w:w="80" w:type="dxa"/>
              <w:start w:w="80" w:type="dxa"/>
              <w:bottom w:w="80" w:type="dxa"/>
              <w:end w:w="80" w:type="dxa"/>
            </w:tcMar>
          </w:tcPr>
          <w:p>
            <w:r/>
            <w:r>
              <w:rPr>
                <w:b w:val="0"/>
                <w:sz w:val="16"/>
              </w:rPr>
              <w:t>High</w:t>
            </w:r>
          </w:p>
        </w:tc>
        <w:tc>
          <w:tcPr>
            <w:tcW w:type="dxa" w:w="2541"/>
            <w:vAlign w:val="center"/>
            <w:tcMar>
              <w:top w:w="80" w:type="dxa"/>
              <w:start w:w="80" w:type="dxa"/>
              <w:bottom w:w="80" w:type="dxa"/>
              <w:end w:w="80" w:type="dxa"/>
            </w:tcMar>
          </w:tcPr>
          <w:p>
            <w:r/>
            <w:r>
              <w:rPr>
                <w:b w:val="0"/>
                <w:sz w:val="16"/>
              </w:rPr>
              <w:t>Credits and incentives</w:t>
            </w:r>
          </w:p>
        </w:tc>
        <w:tc>
          <w:tcPr>
            <w:tcW w:type="dxa" w:w="2541"/>
            <w:vAlign w:val="center"/>
            <w:tcMar>
              <w:top w:w="80" w:type="dxa"/>
              <w:start w:w="80" w:type="dxa"/>
              <w:bottom w:w="80" w:type="dxa"/>
              <w:end w:w="80" w:type="dxa"/>
            </w:tcMar>
          </w:tcPr>
          <w:p>
            <w:r/>
            <w:r>
              <w:rPr>
                <w:b w:val="0"/>
                <w:sz w:val="16"/>
              </w:rPr>
              <w:t>Project costs, payroll, expenditures, pool continuity and T661 integration</w:t>
            </w:r>
          </w:p>
        </w:tc>
      </w:tr>
      <w:tr>
        <w:tc>
          <w:tcPr>
            <w:tcW w:type="dxa" w:w="2541"/>
            <w:vAlign w:val="center"/>
            <w:tcMar>
              <w:top w:w="80" w:type="dxa"/>
              <w:start w:w="80" w:type="dxa"/>
              <w:bottom w:w="80" w:type="dxa"/>
              <w:end w:w="80" w:type="dxa"/>
            </w:tcMar>
          </w:tcPr>
          <w:p>
            <w:r/>
            <w:r>
              <w:rPr>
                <w:b w:val="0"/>
                <w:sz w:val="16"/>
              </w:rPr>
              <w:t>Deferred tax provision</w:t>
            </w:r>
          </w:p>
        </w:tc>
        <w:tc>
          <w:tcPr>
            <w:tcW w:type="dxa" w:w="2541"/>
            <w:vAlign w:val="center"/>
            <w:tcMar>
              <w:top w:w="80" w:type="dxa"/>
              <w:start w:w="80" w:type="dxa"/>
              <w:bottom w:w="80" w:type="dxa"/>
              <w:end w:w="80" w:type="dxa"/>
            </w:tcMar>
          </w:tcPr>
          <w:p>
            <w:r/>
            <w:r>
              <w:rPr>
                <w:b w:val="0"/>
                <w:sz w:val="16"/>
              </w:rPr>
              <w:t>High</w:t>
            </w:r>
          </w:p>
        </w:tc>
        <w:tc>
          <w:tcPr>
            <w:tcW w:type="dxa" w:w="2541"/>
            <w:vAlign w:val="center"/>
            <w:tcMar>
              <w:top w:w="80" w:type="dxa"/>
              <w:start w:w="80" w:type="dxa"/>
              <w:bottom w:w="80" w:type="dxa"/>
              <w:end w:w="80" w:type="dxa"/>
            </w:tcMar>
          </w:tcPr>
          <w:p>
            <w:r/>
            <w:r>
              <w:rPr>
                <w:b w:val="0"/>
                <w:sz w:val="16"/>
              </w:rPr>
              <w:t>Financial reporting</w:t>
            </w:r>
          </w:p>
        </w:tc>
        <w:tc>
          <w:tcPr>
            <w:tcW w:type="dxa" w:w="2541"/>
            <w:vAlign w:val="center"/>
            <w:tcMar>
              <w:top w:w="80" w:type="dxa"/>
              <w:start w:w="80" w:type="dxa"/>
              <w:bottom w:w="80" w:type="dxa"/>
              <w:end w:w="80" w:type="dxa"/>
            </w:tcMar>
          </w:tcPr>
          <w:p>
            <w:r/>
            <w:r>
              <w:rPr>
                <w:b w:val="0"/>
                <w:sz w:val="16"/>
              </w:rPr>
              <w:t>Temporary differences, tax bases, rates and disclosure support</w:t>
            </w:r>
          </w:p>
        </w:tc>
      </w:tr>
      <w:tr>
        <w:tc>
          <w:tcPr>
            <w:tcW w:type="dxa" w:w="2541"/>
            <w:vAlign w:val="center"/>
            <w:tcMar>
              <w:top w:w="80" w:type="dxa"/>
              <w:start w:w="80" w:type="dxa"/>
              <w:bottom w:w="80" w:type="dxa"/>
              <w:end w:w="80" w:type="dxa"/>
            </w:tcMar>
          </w:tcPr>
          <w:p>
            <w:r/>
            <w:r>
              <w:rPr>
                <w:b w:val="0"/>
                <w:sz w:val="16"/>
              </w:rPr>
              <w:t>Associated corporations and SBD</w:t>
            </w:r>
          </w:p>
        </w:tc>
        <w:tc>
          <w:tcPr>
            <w:tcW w:type="dxa" w:w="2541"/>
            <w:vAlign w:val="center"/>
            <w:tcMar>
              <w:top w:w="80" w:type="dxa"/>
              <w:start w:w="80" w:type="dxa"/>
              <w:bottom w:w="80" w:type="dxa"/>
              <w:end w:w="80" w:type="dxa"/>
            </w:tcMar>
          </w:tcPr>
          <w:p>
            <w:r/>
            <w:r>
              <w:rPr>
                <w:b w:val="0"/>
                <w:sz w:val="16"/>
              </w:rPr>
              <w:t>High</w:t>
            </w:r>
          </w:p>
        </w:tc>
        <w:tc>
          <w:tcPr>
            <w:tcW w:type="dxa" w:w="2541"/>
            <w:vAlign w:val="center"/>
            <w:tcMar>
              <w:top w:w="80" w:type="dxa"/>
              <w:start w:w="80" w:type="dxa"/>
              <w:bottom w:w="80" w:type="dxa"/>
              <w:end w:w="80" w:type="dxa"/>
            </w:tcMar>
          </w:tcPr>
          <w:p>
            <w:r/>
            <w:r>
              <w:rPr>
                <w:b w:val="0"/>
                <w:sz w:val="16"/>
              </w:rPr>
              <w:t>Private-company tax</w:t>
            </w:r>
          </w:p>
        </w:tc>
        <w:tc>
          <w:tcPr>
            <w:tcW w:type="dxa" w:w="2541"/>
            <w:vAlign w:val="center"/>
            <w:tcMar>
              <w:top w:w="80" w:type="dxa"/>
              <w:start w:w="80" w:type="dxa"/>
              <w:bottom w:w="80" w:type="dxa"/>
              <w:end w:w="80" w:type="dxa"/>
            </w:tcMar>
          </w:tcPr>
          <w:p>
            <w:r/>
            <w:r>
              <w:rPr>
                <w:b w:val="0"/>
                <w:sz w:val="16"/>
              </w:rPr>
              <w:t>Control mapping, business limit and passive-income grind</w:t>
            </w:r>
          </w:p>
        </w:tc>
      </w:tr>
      <w:tr>
        <w:tc>
          <w:tcPr>
            <w:tcW w:type="dxa" w:w="2541"/>
            <w:vAlign w:val="center"/>
            <w:tcMar>
              <w:top w:w="80" w:type="dxa"/>
              <w:start w:w="80" w:type="dxa"/>
              <w:bottom w:w="80" w:type="dxa"/>
              <w:end w:w="80" w:type="dxa"/>
            </w:tcMar>
          </w:tcPr>
          <w:p>
            <w:r/>
            <w:r>
              <w:rPr>
                <w:b w:val="0"/>
                <w:sz w:val="16"/>
              </w:rPr>
              <w:t>Capital dividend, GRIP and RDTOH</w:t>
            </w:r>
          </w:p>
        </w:tc>
        <w:tc>
          <w:tcPr>
            <w:tcW w:type="dxa" w:w="2541"/>
            <w:vAlign w:val="center"/>
            <w:tcMar>
              <w:top w:w="80" w:type="dxa"/>
              <w:start w:w="80" w:type="dxa"/>
              <w:bottom w:w="80" w:type="dxa"/>
              <w:end w:w="80" w:type="dxa"/>
            </w:tcMar>
          </w:tcPr>
          <w:p>
            <w:r/>
            <w:r>
              <w:rPr>
                <w:b w:val="0"/>
                <w:sz w:val="16"/>
              </w:rPr>
              <w:t>High</w:t>
            </w:r>
          </w:p>
        </w:tc>
        <w:tc>
          <w:tcPr>
            <w:tcW w:type="dxa" w:w="2541"/>
            <w:vAlign w:val="center"/>
            <w:tcMar>
              <w:top w:w="80" w:type="dxa"/>
              <w:start w:w="80" w:type="dxa"/>
              <w:bottom w:w="80" w:type="dxa"/>
              <w:end w:w="80" w:type="dxa"/>
            </w:tcMar>
          </w:tcPr>
          <w:p>
            <w:r/>
            <w:r>
              <w:rPr>
                <w:b w:val="0"/>
                <w:sz w:val="16"/>
              </w:rPr>
              <w:t>Private-company tax</w:t>
            </w:r>
          </w:p>
        </w:tc>
        <w:tc>
          <w:tcPr>
            <w:tcW w:type="dxa" w:w="2541"/>
            <w:vAlign w:val="center"/>
            <w:tcMar>
              <w:top w:w="80" w:type="dxa"/>
              <w:start w:w="80" w:type="dxa"/>
              <w:bottom w:w="80" w:type="dxa"/>
              <w:end w:w="80" w:type="dxa"/>
            </w:tcMar>
          </w:tcPr>
          <w:p>
            <w:r/>
            <w:r>
              <w:rPr>
                <w:b w:val="0"/>
                <w:sz w:val="16"/>
              </w:rPr>
              <w:t>Continuities, dividend capacity and refund calculations</w:t>
            </w:r>
          </w:p>
        </w:tc>
      </w:tr>
      <w:tr>
        <w:tc>
          <w:tcPr>
            <w:tcW w:type="dxa" w:w="2541"/>
            <w:vAlign w:val="center"/>
            <w:tcMar>
              <w:top w:w="80" w:type="dxa"/>
              <w:start w:w="80" w:type="dxa"/>
              <w:bottom w:w="80" w:type="dxa"/>
              <w:end w:w="80" w:type="dxa"/>
            </w:tcMar>
          </w:tcPr>
          <w:p>
            <w:r/>
            <w:r>
              <w:rPr>
                <w:b w:val="0"/>
                <w:sz w:val="16"/>
              </w:rPr>
              <w:t>Acquisition of control</w:t>
            </w:r>
          </w:p>
        </w:tc>
        <w:tc>
          <w:tcPr>
            <w:tcW w:type="dxa" w:w="2541"/>
            <w:vAlign w:val="center"/>
            <w:tcMar>
              <w:top w:w="80" w:type="dxa"/>
              <w:start w:w="80" w:type="dxa"/>
              <w:bottom w:w="80" w:type="dxa"/>
              <w:end w:w="80" w:type="dxa"/>
            </w:tcMar>
          </w:tcPr>
          <w:p>
            <w:r/>
            <w:r>
              <w:rPr>
                <w:b w:val="0"/>
                <w:sz w:val="16"/>
              </w:rPr>
              <w:t>High</w:t>
            </w:r>
          </w:p>
        </w:tc>
        <w:tc>
          <w:tcPr>
            <w:tcW w:type="dxa" w:w="2541"/>
            <w:vAlign w:val="center"/>
            <w:tcMar>
              <w:top w:w="80" w:type="dxa"/>
              <w:start w:w="80" w:type="dxa"/>
              <w:bottom w:w="80" w:type="dxa"/>
              <w:end w:w="80" w:type="dxa"/>
            </w:tcMar>
          </w:tcPr>
          <w:p>
            <w:r/>
            <w:r>
              <w:rPr>
                <w:b w:val="0"/>
                <w:sz w:val="16"/>
              </w:rPr>
              <w:t>Transactions</w:t>
            </w:r>
          </w:p>
        </w:tc>
        <w:tc>
          <w:tcPr>
            <w:tcW w:type="dxa" w:w="2541"/>
            <w:vAlign w:val="center"/>
            <w:tcMar>
              <w:top w:w="80" w:type="dxa"/>
              <w:start w:w="80" w:type="dxa"/>
              <w:bottom w:w="80" w:type="dxa"/>
              <w:end w:w="80" w:type="dxa"/>
            </w:tcMar>
          </w:tcPr>
          <w:p>
            <w:r/>
            <w:r>
              <w:rPr>
                <w:b w:val="0"/>
                <w:sz w:val="16"/>
              </w:rPr>
              <w:t>Deemed year-end, losses, streaming, write-downs and tax attribute resets</w:t>
            </w:r>
          </w:p>
        </w:tc>
      </w:tr>
      <w:tr>
        <w:tc>
          <w:tcPr>
            <w:tcW w:type="dxa" w:w="2541"/>
            <w:vAlign w:val="center"/>
            <w:tcMar>
              <w:top w:w="80" w:type="dxa"/>
              <w:start w:w="80" w:type="dxa"/>
              <w:bottom w:w="80" w:type="dxa"/>
              <w:end w:w="80" w:type="dxa"/>
            </w:tcMar>
          </w:tcPr>
          <w:p>
            <w:r/>
            <w:r>
              <w:rPr>
                <w:b w:val="0"/>
                <w:sz w:val="16"/>
              </w:rPr>
              <w:t>Section 85 rollover</w:t>
            </w:r>
          </w:p>
        </w:tc>
        <w:tc>
          <w:tcPr>
            <w:tcW w:type="dxa" w:w="2541"/>
            <w:vAlign w:val="center"/>
            <w:tcMar>
              <w:top w:w="80" w:type="dxa"/>
              <w:start w:w="80" w:type="dxa"/>
              <w:bottom w:w="80" w:type="dxa"/>
              <w:end w:w="80" w:type="dxa"/>
            </w:tcMar>
          </w:tcPr>
          <w:p>
            <w:r/>
            <w:r>
              <w:rPr>
                <w:b w:val="0"/>
                <w:sz w:val="16"/>
              </w:rPr>
              <w:t>Moderate to high</w:t>
            </w:r>
          </w:p>
        </w:tc>
        <w:tc>
          <w:tcPr>
            <w:tcW w:type="dxa" w:w="2541"/>
            <w:vAlign w:val="center"/>
            <w:tcMar>
              <w:top w:w="80" w:type="dxa"/>
              <w:start w:w="80" w:type="dxa"/>
              <w:bottom w:w="80" w:type="dxa"/>
              <w:end w:w="80" w:type="dxa"/>
            </w:tcMar>
          </w:tcPr>
          <w:p>
            <w:r/>
            <w:r>
              <w:rPr>
                <w:b w:val="0"/>
                <w:sz w:val="16"/>
              </w:rPr>
              <w:t>Transactions</w:t>
            </w:r>
          </w:p>
        </w:tc>
        <w:tc>
          <w:tcPr>
            <w:tcW w:type="dxa" w:w="2541"/>
            <w:vAlign w:val="center"/>
            <w:tcMar>
              <w:top w:w="80" w:type="dxa"/>
              <w:start w:w="80" w:type="dxa"/>
              <w:bottom w:w="80" w:type="dxa"/>
              <w:end w:w="80" w:type="dxa"/>
            </w:tcMar>
          </w:tcPr>
          <w:p>
            <w:r/>
            <w:r>
              <w:rPr>
                <w:b w:val="0"/>
                <w:sz w:val="16"/>
              </w:rPr>
              <w:t>Asset data, elected amount constraints, tax cost and T2057 preparation</w:t>
            </w:r>
          </w:p>
        </w:tc>
      </w:tr>
      <w:tr>
        <w:tc>
          <w:tcPr>
            <w:tcW w:type="dxa" w:w="2541"/>
            <w:vAlign w:val="center"/>
            <w:tcMar>
              <w:top w:w="80" w:type="dxa"/>
              <w:start w:w="80" w:type="dxa"/>
              <w:bottom w:w="80" w:type="dxa"/>
              <w:end w:w="80" w:type="dxa"/>
            </w:tcMar>
          </w:tcPr>
          <w:p>
            <w:r/>
            <w:r>
              <w:rPr>
                <w:b w:val="0"/>
                <w:sz w:val="16"/>
              </w:rPr>
              <w:t>Clean-economy investment tax credits</w:t>
            </w:r>
          </w:p>
        </w:tc>
        <w:tc>
          <w:tcPr>
            <w:tcW w:type="dxa" w:w="2541"/>
            <w:vAlign w:val="center"/>
            <w:tcMar>
              <w:top w:w="80" w:type="dxa"/>
              <w:start w:w="80" w:type="dxa"/>
              <w:bottom w:w="80" w:type="dxa"/>
              <w:end w:w="80" w:type="dxa"/>
            </w:tcMar>
          </w:tcPr>
          <w:p>
            <w:r/>
            <w:r>
              <w:rPr>
                <w:b w:val="0"/>
                <w:sz w:val="16"/>
              </w:rPr>
              <w:t>High within specialty practices</w:t>
            </w:r>
          </w:p>
        </w:tc>
        <w:tc>
          <w:tcPr>
            <w:tcW w:type="dxa" w:w="2541"/>
            <w:vAlign w:val="center"/>
            <w:tcMar>
              <w:top w:w="80" w:type="dxa"/>
              <w:start w:w="80" w:type="dxa"/>
              <w:bottom w:w="80" w:type="dxa"/>
              <w:end w:w="80" w:type="dxa"/>
            </w:tcMar>
          </w:tcPr>
          <w:p>
            <w:r/>
            <w:r>
              <w:rPr>
                <w:b w:val="0"/>
                <w:sz w:val="16"/>
              </w:rPr>
              <w:t>Credits and incentives</w:t>
            </w:r>
          </w:p>
        </w:tc>
        <w:tc>
          <w:tcPr>
            <w:tcW w:type="dxa" w:w="2541"/>
            <w:vAlign w:val="center"/>
            <w:tcMar>
              <w:top w:w="80" w:type="dxa"/>
              <w:start w:w="80" w:type="dxa"/>
              <w:bottom w:w="80" w:type="dxa"/>
              <w:end w:w="80" w:type="dxa"/>
            </w:tcMar>
          </w:tcPr>
          <w:p>
            <w:r/>
            <w:r>
              <w:rPr>
                <w:b w:val="0"/>
                <w:sz w:val="16"/>
              </w:rPr>
              <w:t>Eligibility, cost, labour requirements, recapture and evidence</w:t>
            </w:r>
          </w:p>
        </w:tc>
      </w:tr>
      <w:tr>
        <w:tc>
          <w:tcPr>
            <w:tcW w:type="dxa" w:w="2541"/>
            <w:vAlign w:val="center"/>
            <w:tcMar>
              <w:top w:w="80" w:type="dxa"/>
              <w:start w:w="80" w:type="dxa"/>
              <w:bottom w:w="80" w:type="dxa"/>
              <w:end w:w="80" w:type="dxa"/>
            </w:tcMar>
          </w:tcPr>
          <w:p>
            <w:r/>
            <w:r>
              <w:rPr>
                <w:b w:val="0"/>
                <w:sz w:val="16"/>
              </w:rPr>
              <w:t>Notice of assessment reconciliation</w:t>
            </w:r>
          </w:p>
        </w:tc>
        <w:tc>
          <w:tcPr>
            <w:tcW w:type="dxa" w:w="2541"/>
            <w:vAlign w:val="center"/>
            <w:tcMar>
              <w:top w:w="80" w:type="dxa"/>
              <w:start w:w="80" w:type="dxa"/>
              <w:bottom w:w="80" w:type="dxa"/>
              <w:end w:w="80" w:type="dxa"/>
            </w:tcMar>
          </w:tcPr>
          <w:p>
            <w:r/>
            <w:r>
              <w:rPr>
                <w:b w:val="0"/>
                <w:sz w:val="16"/>
              </w:rPr>
              <w:t>Extremely high</w:t>
            </w:r>
          </w:p>
        </w:tc>
        <w:tc>
          <w:tcPr>
            <w:tcW w:type="dxa" w:w="2541"/>
            <w:vAlign w:val="center"/>
            <w:tcMar>
              <w:top w:w="80" w:type="dxa"/>
              <w:start w:w="80" w:type="dxa"/>
              <w:bottom w:w="80" w:type="dxa"/>
              <w:end w:w="80" w:type="dxa"/>
            </w:tcMar>
          </w:tcPr>
          <w:p>
            <w:r/>
            <w:r>
              <w:rPr>
                <w:b w:val="0"/>
                <w:sz w:val="16"/>
              </w:rPr>
              <w:t>Post-filing</w:t>
            </w:r>
          </w:p>
        </w:tc>
        <w:tc>
          <w:tcPr>
            <w:tcW w:type="dxa" w:w="2541"/>
            <w:vAlign w:val="center"/>
            <w:tcMar>
              <w:top w:w="80" w:type="dxa"/>
              <w:start w:w="80" w:type="dxa"/>
              <w:bottom w:w="80" w:type="dxa"/>
              <w:end w:w="80" w:type="dxa"/>
            </w:tcMar>
          </w:tcPr>
          <w:p>
            <w:r/>
            <w:r>
              <w:rPr>
                <w:b w:val="0"/>
                <w:sz w:val="16"/>
              </w:rPr>
              <w:t>Line-by-line return-to-assessment reconciliation and ledger updates</w:t>
            </w:r>
          </w:p>
        </w:tc>
      </w:tr>
    </w:tbl>
    <w:p>
      <w:pPr>
        <w:pStyle w:val="Heading1"/>
      </w:pPr>
      <w:r>
        <w:t>4. Assisted or Skill-Based Work Rather Than Full Engines</w:t>
      </w:r>
    </w:p>
    <w:p>
      <w:r>
        <w:t>These services remain valuable inside Sinaxe, but the professional conclusion is too bespoke or judgment-intensive to standardize fully at first. Sinaxe should provide context, evidence, templates, calculations, task orchestration and traceability while allowing flexible skills or agents to support the professional.</w:t>
      </w:r>
    </w:p>
    <w:p>
      <w:pPr>
        <w:pStyle w:val="ListBullet"/>
        <w:spacing w:after="40"/>
      </w:pPr>
      <w:r>
        <w:t>Complex tax research and novel interpretive questions.</w:t>
      </w:r>
    </w:p>
    <w:p>
      <w:pPr>
        <w:pStyle w:val="ListBullet"/>
        <w:spacing w:after="40"/>
      </w:pPr>
      <w:r>
        <w:t>Transaction structuring and bespoke reorganization design.</w:t>
      </w:r>
    </w:p>
    <w:p>
      <w:pPr>
        <w:pStyle w:val="ListBullet"/>
        <w:spacing w:after="40"/>
      </w:pPr>
      <w:r>
        <w:t>Treaty interpretation, residence and permanent-establishment analysis.</w:t>
      </w:r>
    </w:p>
    <w:p>
      <w:pPr>
        <w:pStyle w:val="ListBullet"/>
        <w:spacing w:after="40"/>
      </w:pPr>
      <w:r>
        <w:t>Transfer-pricing functional analysis and comparable-company judgment.</w:t>
      </w:r>
    </w:p>
    <w:p>
      <w:pPr>
        <w:pStyle w:val="ListBullet"/>
        <w:spacing w:after="40"/>
      </w:pPr>
      <w:r>
        <w:t>Tax opinion and legal memorandum drafting.</w:t>
      </w:r>
    </w:p>
    <w:p>
      <w:pPr>
        <w:pStyle w:val="ListBullet"/>
        <w:spacing w:after="40"/>
      </w:pPr>
      <w:r>
        <w:t>CRA audit defence and controversy strategy.</w:t>
      </w:r>
    </w:p>
    <w:p>
      <w:pPr>
        <w:pStyle w:val="ListBullet"/>
        <w:spacing w:after="40"/>
      </w:pPr>
      <w:r>
        <w:t>Section 55 safe-income legal analysis.</w:t>
      </w:r>
    </w:p>
    <w:p>
      <w:pPr>
        <w:pStyle w:val="ListBullet"/>
        <w:spacing w:after="40"/>
      </w:pPr>
      <w:r>
        <w:t>GAAR analysis and uncertain tax positions.</w:t>
      </w:r>
    </w:p>
    <w:p>
      <w:pPr>
        <w:pStyle w:val="ListBullet"/>
        <w:spacing w:after="40"/>
      </w:pPr>
      <w:r>
        <w:t>Complex foreign affiliate reorganizations.</w:t>
      </w:r>
    </w:p>
    <w:p>
      <w:pPr>
        <w:pStyle w:val="ListBullet"/>
        <w:spacing w:after="40"/>
      </w:pPr>
      <w:r>
        <w:t>Bespoke tax due diligence and transaction issue spotting.</w:t>
      </w:r>
    </w:p>
    <w:p>
      <w:pPr>
        <w:pStyle w:val="Heading1"/>
      </w:pPr>
      <w:r>
        <w:t>5. Comprehensive Canadian Corporate Tax Workflow Map</w:t>
      </w:r>
    </w:p>
    <w:p>
      <w:pPr>
        <w:pStyle w:val="Heading2"/>
      </w:pPr>
      <w:r>
        <w:t>Core corporate income tax compliance</w:t>
      </w:r>
    </w:p>
    <w:p>
      <w:pPr>
        <w:pStyle w:val="ListBullet"/>
        <w:spacing w:after="40"/>
      </w:pPr>
      <w:r>
        <w:t>Trial balance ingestion and mapping</w:t>
      </w:r>
    </w:p>
    <w:p>
      <w:pPr>
        <w:pStyle w:val="ListBullet"/>
        <w:spacing w:after="40"/>
      </w:pPr>
      <w:r>
        <w:t>Book-to-tax reconciliation / Schedule 1</w:t>
      </w:r>
    </w:p>
    <w:p>
      <w:pPr>
        <w:pStyle w:val="ListBullet"/>
        <w:spacing w:after="40"/>
      </w:pPr>
      <w:r>
        <w:t>CCA / Schedule 8</w:t>
      </w:r>
    </w:p>
    <w:p>
      <w:pPr>
        <w:pStyle w:val="ListBullet"/>
        <w:spacing w:after="40"/>
      </w:pPr>
      <w:r>
        <w:t>Capital gains and losses / Schedule 6</w:t>
      </w:r>
    </w:p>
    <w:p>
      <w:pPr>
        <w:pStyle w:val="ListBullet"/>
        <w:spacing w:after="40"/>
      </w:pPr>
      <w:r>
        <w:t>Loss continuity / Schedule 4</w:t>
      </w:r>
    </w:p>
    <w:p>
      <w:pPr>
        <w:pStyle w:val="ListBullet"/>
        <w:spacing w:after="40"/>
      </w:pPr>
      <w:r>
        <w:t>Dividends and Part IV tax / Schedule 3</w:t>
      </w:r>
    </w:p>
    <w:p>
      <w:pPr>
        <w:pStyle w:val="ListBullet"/>
        <w:spacing w:after="40"/>
      </w:pPr>
      <w:r>
        <w:t>Charitable donations / Schedule 2</w:t>
      </w:r>
    </w:p>
    <w:p>
      <w:pPr>
        <w:pStyle w:val="ListBullet"/>
        <w:spacing w:after="40"/>
      </w:pPr>
      <w:r>
        <w:t>Provincial allocation / Schedule 5</w:t>
      </w:r>
    </w:p>
    <w:p>
      <w:pPr>
        <w:pStyle w:val="ListBullet"/>
        <w:spacing w:after="40"/>
      </w:pPr>
      <w:r>
        <w:t>Credits and instalments</w:t>
      </w:r>
    </w:p>
    <w:p>
      <w:pPr>
        <w:pStyle w:val="ListBullet"/>
        <w:spacing w:after="40"/>
      </w:pPr>
      <w:r>
        <w:t>Return assembly and diagnostics</w:t>
      </w:r>
    </w:p>
    <w:p>
      <w:pPr>
        <w:pStyle w:val="ListBullet"/>
        <w:spacing w:after="40"/>
      </w:pPr>
      <w:r>
        <w:t>Tax payable and filing package</w:t>
      </w:r>
    </w:p>
    <w:p>
      <w:pPr>
        <w:pStyle w:val="ListBullet"/>
        <w:spacing w:after="40"/>
      </w:pPr>
      <w:r>
        <w:t>Notice of assessment reconciliation</w:t>
      </w:r>
    </w:p>
    <w:p>
      <w:pPr>
        <w:pStyle w:val="Heading2"/>
      </w:pPr>
      <w:r>
        <w:t>International tax</w:t>
      </w:r>
    </w:p>
    <w:p>
      <w:pPr>
        <w:pStyle w:val="ListBullet"/>
        <w:spacing w:after="40"/>
      </w:pPr>
      <w:r>
        <w:t>T106</w:t>
      </w:r>
    </w:p>
    <w:p>
      <w:pPr>
        <w:pStyle w:val="ListBullet"/>
        <w:spacing w:after="40"/>
      </w:pPr>
      <w:r>
        <w:t>T1134</w:t>
      </w:r>
    </w:p>
    <w:p>
      <w:pPr>
        <w:pStyle w:val="ListBullet"/>
        <w:spacing w:after="40"/>
      </w:pPr>
      <w:r>
        <w:t>FAPI</w:t>
      </w:r>
    </w:p>
    <w:p>
      <w:pPr>
        <w:pStyle w:val="ListBullet"/>
        <w:spacing w:after="40"/>
      </w:pPr>
      <w:r>
        <w:t>Foreign affiliate surplus</w:t>
      </w:r>
    </w:p>
    <w:p>
      <w:pPr>
        <w:pStyle w:val="ListBullet"/>
        <w:spacing w:after="40"/>
      </w:pPr>
      <w:r>
        <w:t>Ownership and participating percentage</w:t>
      </w:r>
    </w:p>
    <w:p>
      <w:pPr>
        <w:pStyle w:val="ListBullet"/>
        <w:spacing w:after="40"/>
      </w:pPr>
      <w:r>
        <w:t>Foreign tax credits and foreign accrual tax</w:t>
      </w:r>
    </w:p>
    <w:p>
      <w:pPr>
        <w:pStyle w:val="ListBullet"/>
        <w:spacing w:after="40"/>
      </w:pPr>
      <w:r>
        <w:t>T1135</w:t>
      </w:r>
    </w:p>
    <w:p>
      <w:pPr>
        <w:pStyle w:val="ListBullet"/>
        <w:spacing w:after="40"/>
      </w:pPr>
      <w:r>
        <w:t>T1141 and T1142</w:t>
      </w:r>
    </w:p>
    <w:p>
      <w:pPr>
        <w:pStyle w:val="ListBullet"/>
        <w:spacing w:after="40"/>
      </w:pPr>
      <w:r>
        <w:t>Foreign affiliate dumping</w:t>
      </w:r>
    </w:p>
    <w:p>
      <w:pPr>
        <w:pStyle w:val="ListBullet"/>
        <w:spacing w:after="40"/>
      </w:pPr>
      <w:r>
        <w:t>Thin capitalization</w:t>
      </w:r>
    </w:p>
    <w:p>
      <w:pPr>
        <w:pStyle w:val="ListBullet"/>
        <w:spacing w:after="40"/>
      </w:pPr>
      <w:r>
        <w:t>EIFEL</w:t>
      </w:r>
    </w:p>
    <w:p>
      <w:pPr>
        <w:pStyle w:val="ListBullet"/>
        <w:spacing w:after="40"/>
      </w:pPr>
      <w:r>
        <w:t>Transfer-pricing compliance support</w:t>
      </w:r>
    </w:p>
    <w:p>
      <w:pPr>
        <w:pStyle w:val="ListBullet"/>
        <w:spacing w:after="40"/>
      </w:pPr>
      <w:r>
        <w:t>Country-by-country reporting</w:t>
      </w:r>
    </w:p>
    <w:p>
      <w:pPr>
        <w:pStyle w:val="ListBullet"/>
        <w:spacing w:after="40"/>
      </w:pPr>
      <w:r>
        <w:t>Pillar Two / global minimum tax</w:t>
      </w:r>
    </w:p>
    <w:p>
      <w:pPr>
        <w:pStyle w:val="Heading2"/>
      </w:pPr>
      <w:r>
        <w:t>Tax provision and financial reporting</w:t>
      </w:r>
    </w:p>
    <w:p>
      <w:pPr>
        <w:pStyle w:val="ListBullet"/>
        <w:spacing w:after="40"/>
      </w:pPr>
      <w:r>
        <w:t>Current tax provision</w:t>
      </w:r>
    </w:p>
    <w:p>
      <w:pPr>
        <w:pStyle w:val="ListBullet"/>
        <w:spacing w:after="40"/>
      </w:pPr>
      <w:r>
        <w:t>Deferred tax provision</w:t>
      </w:r>
    </w:p>
    <w:p>
      <w:pPr>
        <w:pStyle w:val="ListBullet"/>
        <w:spacing w:after="40"/>
      </w:pPr>
      <w:r>
        <w:t>Effective tax rate reconciliation</w:t>
      </w:r>
    </w:p>
    <w:p>
      <w:pPr>
        <w:pStyle w:val="ListBullet"/>
        <w:spacing w:after="40"/>
      </w:pPr>
      <w:r>
        <w:t>Tax account reconciliation</w:t>
      </w:r>
    </w:p>
    <w:p>
      <w:pPr>
        <w:pStyle w:val="ListBullet"/>
        <w:spacing w:after="40"/>
      </w:pPr>
      <w:r>
        <w:t>Quarterly tax forecasting</w:t>
      </w:r>
    </w:p>
    <w:p>
      <w:pPr>
        <w:pStyle w:val="ListBullet"/>
        <w:spacing w:after="40"/>
      </w:pPr>
      <w:r>
        <w:t>Return-to-provision reconciliation</w:t>
      </w:r>
    </w:p>
    <w:p>
      <w:pPr>
        <w:pStyle w:val="Heading2"/>
      </w:pPr>
      <w:r>
        <w:t>Tax attributes and longitudinal ledgers</w:t>
      </w:r>
    </w:p>
    <w:p>
      <w:pPr>
        <w:pStyle w:val="ListBullet"/>
        <w:spacing w:after="40"/>
      </w:pPr>
      <w:r>
        <w:t>Losses</w:t>
      </w:r>
    </w:p>
    <w:p>
      <w:pPr>
        <w:pStyle w:val="ListBullet"/>
        <w:spacing w:after="40"/>
      </w:pPr>
      <w:r>
        <w:t>CCA/UCC</w:t>
      </w:r>
    </w:p>
    <w:p>
      <w:pPr>
        <w:pStyle w:val="ListBullet"/>
        <w:spacing w:after="40"/>
      </w:pPr>
      <w:r>
        <w:t>SR&amp;ED pools</w:t>
      </w:r>
    </w:p>
    <w:p>
      <w:pPr>
        <w:pStyle w:val="ListBullet"/>
        <w:spacing w:after="40"/>
      </w:pPr>
      <w:r>
        <w:t>Foreign tax credits</w:t>
      </w:r>
    </w:p>
    <w:p>
      <w:pPr>
        <w:pStyle w:val="ListBullet"/>
        <w:spacing w:after="40"/>
      </w:pPr>
      <w:r>
        <w:t>GRIP</w:t>
      </w:r>
    </w:p>
    <w:p>
      <w:pPr>
        <w:pStyle w:val="ListBullet"/>
        <w:spacing w:after="40"/>
      </w:pPr>
      <w:r>
        <w:t>LRIP</w:t>
      </w:r>
    </w:p>
    <w:p>
      <w:pPr>
        <w:pStyle w:val="ListBullet"/>
        <w:spacing w:after="40"/>
      </w:pPr>
      <w:r>
        <w:t>CDA</w:t>
      </w:r>
    </w:p>
    <w:p>
      <w:pPr>
        <w:pStyle w:val="ListBullet"/>
        <w:spacing w:after="40"/>
      </w:pPr>
      <w:r>
        <w:t>RDTOH</w:t>
      </w:r>
    </w:p>
    <w:p>
      <w:pPr>
        <w:pStyle w:val="ListBullet"/>
        <w:spacing w:after="40"/>
      </w:pPr>
      <w:r>
        <w:t>Dividend capacity</w:t>
      </w:r>
    </w:p>
    <w:p>
      <w:pPr>
        <w:pStyle w:val="ListBullet"/>
        <w:spacing w:after="40"/>
      </w:pPr>
      <w:r>
        <w:t>PUC</w:t>
      </w:r>
    </w:p>
    <w:p>
      <w:pPr>
        <w:pStyle w:val="ListBullet"/>
        <w:spacing w:after="40"/>
      </w:pPr>
      <w:r>
        <w:t>Safe income</w:t>
      </w:r>
    </w:p>
    <w:p>
      <w:pPr>
        <w:pStyle w:val="ListBullet"/>
        <w:spacing w:after="40"/>
      </w:pPr>
      <w:r>
        <w:t>ACB</w:t>
      </w:r>
    </w:p>
    <w:p>
      <w:pPr>
        <w:pStyle w:val="ListBullet"/>
        <w:spacing w:after="40"/>
      </w:pPr>
      <w:r>
        <w:t>Foreign affiliate surplus</w:t>
      </w:r>
    </w:p>
    <w:p>
      <w:pPr>
        <w:pStyle w:val="ListBullet"/>
        <w:spacing w:after="40"/>
      </w:pPr>
      <w:r>
        <w:t>Restricted interest</w:t>
      </w:r>
    </w:p>
    <w:p>
      <w:pPr>
        <w:pStyle w:val="ListBullet"/>
        <w:spacing w:after="40"/>
      </w:pPr>
      <w:r>
        <w:t>Instalments and tax payable</w:t>
      </w:r>
    </w:p>
    <w:p>
      <w:pPr>
        <w:pStyle w:val="ListBullet"/>
        <w:spacing w:after="40"/>
      </w:pPr>
      <w:r>
        <w:t>Provincial credits</w:t>
      </w:r>
    </w:p>
    <w:p>
      <w:pPr>
        <w:pStyle w:val="Heading2"/>
      </w:pPr>
      <w:r>
        <w:t>Credits and incentives</w:t>
      </w:r>
    </w:p>
    <w:p>
      <w:pPr>
        <w:pStyle w:val="ListBullet"/>
        <w:spacing w:after="40"/>
      </w:pPr>
      <w:r>
        <w:t>SR&amp;ED</w:t>
      </w:r>
    </w:p>
    <w:p>
      <w:pPr>
        <w:pStyle w:val="ListBullet"/>
        <w:spacing w:after="40"/>
      </w:pPr>
      <w:r>
        <w:t>Clean technology and other clean-economy credits</w:t>
      </w:r>
    </w:p>
    <w:p>
      <w:pPr>
        <w:pStyle w:val="ListBullet"/>
        <w:spacing w:after="40"/>
      </w:pPr>
      <w:r>
        <w:t>CCUS and clean hydrogen incentives</w:t>
      </w:r>
    </w:p>
    <w:p>
      <w:pPr>
        <w:pStyle w:val="ListBullet"/>
        <w:spacing w:after="40"/>
      </w:pPr>
      <w:r>
        <w:t>Film and media credits</w:t>
      </w:r>
    </w:p>
    <w:p>
      <w:pPr>
        <w:pStyle w:val="ListBullet"/>
        <w:spacing w:after="40"/>
      </w:pPr>
      <w:r>
        <w:t>Manufacturing and provincial credits</w:t>
      </w:r>
    </w:p>
    <w:p>
      <w:pPr>
        <w:pStyle w:val="Heading2"/>
      </w:pPr>
      <w:r>
        <w:t>Private-company tax</w:t>
      </w:r>
    </w:p>
    <w:p>
      <w:pPr>
        <w:pStyle w:val="ListBullet"/>
        <w:spacing w:after="40"/>
      </w:pPr>
      <w:r>
        <w:t>Associated corporation analysis</w:t>
      </w:r>
    </w:p>
    <w:p>
      <w:pPr>
        <w:pStyle w:val="ListBullet"/>
        <w:spacing w:after="40"/>
      </w:pPr>
      <w:r>
        <w:t>Small business deduction</w:t>
      </w:r>
    </w:p>
    <w:p>
      <w:pPr>
        <w:pStyle w:val="ListBullet"/>
        <w:spacing w:after="40"/>
      </w:pPr>
      <w:r>
        <w:t>Aggregate investment income</w:t>
      </w:r>
    </w:p>
    <w:p>
      <w:pPr>
        <w:pStyle w:val="ListBullet"/>
        <w:spacing w:after="40"/>
      </w:pPr>
      <w:r>
        <w:t>RDTOH and GRIP</w:t>
      </w:r>
    </w:p>
    <w:p>
      <w:pPr>
        <w:pStyle w:val="ListBullet"/>
        <w:spacing w:after="40"/>
      </w:pPr>
      <w:r>
        <w:t>Capital dividend account</w:t>
      </w:r>
    </w:p>
    <w:p>
      <w:pPr>
        <w:pStyle w:val="ListBullet"/>
        <w:spacing w:after="40"/>
      </w:pPr>
      <w:r>
        <w:t>Dividend planning</w:t>
      </w:r>
    </w:p>
    <w:p>
      <w:pPr>
        <w:pStyle w:val="Heading2"/>
      </w:pPr>
      <w:r>
        <w:t>Transactions and reorganizations</w:t>
      </w:r>
    </w:p>
    <w:p>
      <w:pPr>
        <w:pStyle w:val="ListBullet"/>
        <w:spacing w:after="40"/>
      </w:pPr>
      <w:r>
        <w:t>Section 85 rollover</w:t>
      </w:r>
    </w:p>
    <w:p>
      <w:pPr>
        <w:pStyle w:val="ListBullet"/>
        <w:spacing w:after="40"/>
      </w:pPr>
      <w:r>
        <w:t>Sections 86 and 51 share exchanges</w:t>
      </w:r>
    </w:p>
    <w:p>
      <w:pPr>
        <w:pStyle w:val="ListBullet"/>
        <w:spacing w:after="40"/>
      </w:pPr>
      <w:r>
        <w:t>Amalgamations and wind-ups</w:t>
      </w:r>
    </w:p>
    <w:p>
      <w:pPr>
        <w:pStyle w:val="ListBullet"/>
        <w:spacing w:after="40"/>
      </w:pPr>
      <w:r>
        <w:t>Acquisition of control</w:t>
      </w:r>
    </w:p>
    <w:p>
      <w:pPr>
        <w:pStyle w:val="ListBullet"/>
        <w:spacing w:after="40"/>
      </w:pPr>
      <w:r>
        <w:t>Purchase-price allocation and tax basis</w:t>
      </w:r>
    </w:p>
    <w:p>
      <w:pPr>
        <w:pStyle w:val="ListBullet"/>
        <w:spacing w:after="40"/>
      </w:pPr>
      <w:r>
        <w:t>Safe income and intercorporate dividends</w:t>
      </w:r>
    </w:p>
    <w:p>
      <w:pPr>
        <w:pStyle w:val="ListBullet"/>
        <w:spacing w:after="40"/>
      </w:pPr>
      <w:r>
        <w:t>Debt forgiveness and debt parking</w:t>
      </w:r>
    </w:p>
    <w:p>
      <w:pPr>
        <w:pStyle w:val="Heading2"/>
      </w:pPr>
      <w:r>
        <w:t>Withholding and cross-border payments</w:t>
      </w:r>
    </w:p>
    <w:p>
      <w:pPr>
        <w:pStyle w:val="ListBullet"/>
        <w:spacing w:after="40"/>
      </w:pPr>
      <w:r>
        <w:t>Part XIII withholding</w:t>
      </w:r>
    </w:p>
    <w:p>
      <w:pPr>
        <w:pStyle w:val="ListBullet"/>
        <w:spacing w:after="40"/>
      </w:pPr>
      <w:r>
        <w:t>Regulation 105</w:t>
      </w:r>
    </w:p>
    <w:p>
      <w:pPr>
        <w:pStyle w:val="ListBullet"/>
        <w:spacing w:after="40"/>
      </w:pPr>
      <w:r>
        <w:t>Regulation 102</w:t>
      </w:r>
    </w:p>
    <w:p>
      <w:pPr>
        <w:pStyle w:val="ListBullet"/>
        <w:spacing w:after="40"/>
      </w:pPr>
      <w:r>
        <w:t>Treaty eligibility and rate determination</w:t>
      </w:r>
    </w:p>
    <w:p>
      <w:pPr>
        <w:pStyle w:val="ListBullet"/>
        <w:spacing w:after="40"/>
      </w:pPr>
      <w:r>
        <w:t>NR4 and T4A-NR reporting</w:t>
      </w:r>
    </w:p>
    <w:p>
      <w:pPr>
        <w:pStyle w:val="Heading2"/>
      </w:pPr>
      <w:r>
        <w:t>Tax operations</w:t>
      </w:r>
    </w:p>
    <w:p>
      <w:pPr>
        <w:pStyle w:val="ListBullet"/>
        <w:spacing w:after="40"/>
      </w:pPr>
      <w:r>
        <w:t>Filing obligation determination</w:t>
      </w:r>
    </w:p>
    <w:p>
      <w:pPr>
        <w:pStyle w:val="ListBullet"/>
        <w:spacing w:after="40"/>
      </w:pPr>
      <w:r>
        <w:t>Tax calendar and deadline engine</w:t>
      </w:r>
    </w:p>
    <w:p>
      <w:pPr>
        <w:pStyle w:val="ListBullet"/>
        <w:spacing w:after="40"/>
      </w:pPr>
      <w:r>
        <w:t>Client request lists</w:t>
      </w:r>
    </w:p>
    <w:p>
      <w:pPr>
        <w:pStyle w:val="ListBullet"/>
        <w:spacing w:after="40"/>
      </w:pPr>
      <w:r>
        <w:t>Prior-year rollforward</w:t>
      </w:r>
    </w:p>
    <w:p>
      <w:pPr>
        <w:pStyle w:val="ListBullet"/>
        <w:spacing w:after="40"/>
      </w:pPr>
      <w:r>
        <w:t>Cross-form consistency checks</w:t>
      </w:r>
    </w:p>
    <w:p>
      <w:pPr>
        <w:pStyle w:val="ListBullet"/>
        <w:spacing w:after="40"/>
      </w:pPr>
      <w:r>
        <w:t>Review and sign-off</w:t>
      </w:r>
    </w:p>
    <w:p>
      <w:pPr>
        <w:pStyle w:val="ListBullet"/>
        <w:spacing w:after="40"/>
      </w:pPr>
      <w:r>
        <w:t>Portfolio status and risk dashboard</w:t>
      </w:r>
    </w:p>
    <w:p>
      <w:pPr>
        <w:pStyle w:val="Heading2"/>
      </w:pPr>
      <w:r>
        <w:t>Tax controversy</w:t>
      </w:r>
    </w:p>
    <w:p>
      <w:pPr>
        <w:pStyle w:val="ListBullet"/>
        <w:spacing w:after="40"/>
      </w:pPr>
      <w:r>
        <w:t>CRA audit request management</w:t>
      </w:r>
    </w:p>
    <w:p>
      <w:pPr>
        <w:pStyle w:val="ListBullet"/>
        <w:spacing w:after="40"/>
      </w:pPr>
      <w:r>
        <w:t>Assessment and reassessment analysis</w:t>
      </w:r>
    </w:p>
    <w:p>
      <w:pPr>
        <w:pStyle w:val="ListBullet"/>
        <w:spacing w:after="40"/>
      </w:pPr>
      <w:r>
        <w:t>Objection package</w:t>
      </w:r>
    </w:p>
    <w:p>
      <w:pPr>
        <w:pStyle w:val="ListBullet"/>
        <w:spacing w:after="40"/>
      </w:pPr>
      <w:r>
        <w:t>Voluntary disclosure</w:t>
      </w:r>
    </w:p>
    <w:p>
      <w:pPr>
        <w:pStyle w:val="ListBullet"/>
        <w:spacing w:after="40"/>
      </w:pPr>
      <w:r>
        <w:t>Amended returns</w:t>
      </w:r>
    </w:p>
    <w:p>
      <w:pPr>
        <w:pStyle w:val="Heading1"/>
      </w:pPr>
      <w:r>
        <w:t>6. Workflow Selection Framework</w:t>
      </w:r>
    </w:p>
    <w:p>
      <w:r>
        <w:t>A workflow is a strong Sinaxe candidate when most of the following conditions are present:</w:t>
      </w:r>
    </w:p>
    <w:p>
      <w:pPr>
        <w:spacing w:after="40"/>
        <w:ind w:left="403" w:hanging="317"/>
      </w:pPr>
      <w:r>
        <w:rPr>
          <w:b/>
        </w:rPr>
        <w:t xml:space="preserve">1.  </w:t>
      </w:r>
      <w:r>
        <w:t>Recurring demand across many clients or entities.</w:t>
      </w:r>
    </w:p>
    <w:p>
      <w:pPr>
        <w:spacing w:after="40"/>
        <w:ind w:left="403" w:hanging="317"/>
      </w:pPr>
      <w:r>
        <w:rPr>
          <w:b/>
        </w:rPr>
        <w:t xml:space="preserve">2.  </w:t>
      </w:r>
      <w:r>
        <w:t>A recognizable and standardized deliverable.</w:t>
      </w:r>
    </w:p>
    <w:p>
      <w:pPr>
        <w:spacing w:after="40"/>
        <w:ind w:left="403" w:hanging="317"/>
      </w:pPr>
      <w:r>
        <w:rPr>
          <w:b/>
        </w:rPr>
        <w:t xml:space="preserve">3.  </w:t>
      </w:r>
      <w:r>
        <w:t>Repeatable data requirements and source systems.</w:t>
      </w:r>
    </w:p>
    <w:p>
      <w:pPr>
        <w:spacing w:after="40"/>
        <w:ind w:left="403" w:hanging="317"/>
      </w:pPr>
      <w:r>
        <w:rPr>
          <w:b/>
        </w:rPr>
        <w:t xml:space="preserve">4.  </w:t>
      </w:r>
      <w:r>
        <w:t>A deterministic calculation or validation core.</w:t>
      </w:r>
    </w:p>
    <w:p>
      <w:pPr>
        <w:spacing w:after="40"/>
        <w:ind w:left="403" w:hanging="317"/>
      </w:pPr>
      <w:r>
        <w:rPr>
          <w:b/>
        </w:rPr>
        <w:t xml:space="preserve">5.  </w:t>
      </w:r>
      <w:r>
        <w:t>Clear professional judgment checkpoints.</w:t>
      </w:r>
    </w:p>
    <w:p>
      <w:pPr>
        <w:spacing w:after="40"/>
        <w:ind w:left="403" w:hanging="317"/>
      </w:pPr>
      <w:r>
        <w:rPr>
          <w:b/>
        </w:rPr>
        <w:t xml:space="preserve">6.  </w:t>
      </w:r>
      <w:r>
        <w:t>High spreadsheet coordination or reconciliation cost.</w:t>
      </w:r>
    </w:p>
    <w:p>
      <w:pPr>
        <w:spacing w:after="40"/>
        <w:ind w:left="403" w:hanging="317"/>
      </w:pPr>
      <w:r>
        <w:rPr>
          <w:b/>
        </w:rPr>
        <w:t xml:space="preserve">7.  </w:t>
      </w:r>
      <w:r>
        <w:t>Prior-year continuity or persistent tax attributes.</w:t>
      </w:r>
    </w:p>
    <w:p>
      <w:pPr>
        <w:spacing w:after="40"/>
        <w:ind w:left="403" w:hanging="317"/>
      </w:pPr>
      <w:r>
        <w:rPr>
          <w:b/>
        </w:rPr>
        <w:t xml:space="preserve">8.  </w:t>
      </w:r>
      <w:r>
        <w:t>Cross-entity or cross-client execution value.</w:t>
      </w:r>
    </w:p>
    <w:p>
      <w:pPr>
        <w:spacing w:after="40"/>
        <w:ind w:left="403" w:hanging="317"/>
      </w:pPr>
      <w:r>
        <w:rPr>
          <w:b/>
        </w:rPr>
        <w:t xml:space="preserve">9.  </w:t>
      </w:r>
      <w:r>
        <w:t>Material compliance, filing or review risk.</w:t>
      </w:r>
    </w:p>
    <w:p>
      <w:pPr>
        <w:spacing w:after="40"/>
        <w:ind w:left="403" w:hanging="317"/>
      </w:pPr>
      <w:r>
        <w:rPr>
          <w:b/>
        </w:rPr>
        <w:t xml:space="preserve">10.  </w:t>
      </w:r>
      <w:r>
        <w:t>An output that can be reviewed consistently at manager level.</w:t>
      </w:r>
    </w:p>
    <w:p>
      <w:pPr>
        <w:pStyle w:val="Heading2"/>
      </w:pPr>
      <w:r>
        <w:t>Recommended prioritization score</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111827"/>
            <w:tcMar>
              <w:top w:w="80" w:type="dxa"/>
              <w:start w:w="80" w:type="dxa"/>
              <w:bottom w:w="80" w:type="dxa"/>
              <w:end w:w="80" w:type="dxa"/>
            </w:tcMar>
          </w:tcPr>
          <w:p>
            <w:r/>
            <w:r>
              <w:rPr>
                <w:b/>
                <w:color w:val="FFFFFF"/>
                <w:sz w:val="16"/>
              </w:rPr>
              <w:t>Dimension</w:t>
            </w:r>
          </w:p>
        </w:tc>
        <w:tc>
          <w:tcPr>
            <w:tcW w:type="dxa" w:w="3389"/>
            <w:vAlign w:val="center"/>
            <w:shd w:fill="111827"/>
            <w:tcMar>
              <w:top w:w="80" w:type="dxa"/>
              <w:start w:w="80" w:type="dxa"/>
              <w:bottom w:w="80" w:type="dxa"/>
              <w:end w:w="80" w:type="dxa"/>
            </w:tcMar>
          </w:tcPr>
          <w:p>
            <w:r/>
            <w:r>
              <w:rPr>
                <w:b/>
                <w:color w:val="FFFFFF"/>
                <w:sz w:val="16"/>
              </w:rPr>
              <w:t>Suggested weight</w:t>
            </w:r>
          </w:p>
        </w:tc>
        <w:tc>
          <w:tcPr>
            <w:tcW w:type="dxa" w:w="3389"/>
            <w:vAlign w:val="center"/>
            <w:shd w:fill="111827"/>
            <w:tcMar>
              <w:top w:w="80" w:type="dxa"/>
              <w:start w:w="80" w:type="dxa"/>
              <w:bottom w:w="80" w:type="dxa"/>
              <w:end w:w="80" w:type="dxa"/>
            </w:tcMar>
          </w:tcPr>
          <w:p>
            <w:r/>
            <w:r>
              <w:rPr>
                <w:b/>
                <w:color w:val="FFFFFF"/>
                <w:sz w:val="16"/>
              </w:rPr>
              <w:t>Question</w:t>
            </w:r>
          </w:p>
        </w:tc>
      </w:tr>
      <w:tr>
        <w:tc>
          <w:tcPr>
            <w:tcW w:type="dxa" w:w="3389"/>
            <w:vAlign w:val="center"/>
            <w:tcMar>
              <w:top w:w="80" w:type="dxa"/>
              <w:start w:w="80" w:type="dxa"/>
              <w:bottom w:w="80" w:type="dxa"/>
              <w:end w:w="80" w:type="dxa"/>
            </w:tcMar>
          </w:tcPr>
          <w:p>
            <w:r/>
            <w:r>
              <w:rPr>
                <w:b w:val="0"/>
                <w:sz w:val="16"/>
              </w:rPr>
              <w:t>Portfolio frequency</w:t>
            </w:r>
          </w:p>
        </w:tc>
        <w:tc>
          <w:tcPr>
            <w:tcW w:type="dxa" w:w="3389"/>
            <w:vAlign w:val="center"/>
            <w:tcMar>
              <w:top w:w="80" w:type="dxa"/>
              <w:start w:w="80" w:type="dxa"/>
              <w:bottom w:w="80" w:type="dxa"/>
              <w:end w:w="80" w:type="dxa"/>
            </w:tcMar>
          </w:tcPr>
          <w:p>
            <w:r/>
            <w:r>
              <w:rPr>
                <w:b w:val="0"/>
                <w:sz w:val="16"/>
              </w:rPr>
              <w:t>20%</w:t>
            </w:r>
          </w:p>
        </w:tc>
        <w:tc>
          <w:tcPr>
            <w:tcW w:type="dxa" w:w="3389"/>
            <w:vAlign w:val="center"/>
            <w:tcMar>
              <w:top w:w="80" w:type="dxa"/>
              <w:start w:w="80" w:type="dxa"/>
              <w:bottom w:w="80" w:type="dxa"/>
              <w:end w:w="80" w:type="dxa"/>
            </w:tcMar>
          </w:tcPr>
          <w:p>
            <w:r/>
            <w:r>
              <w:rPr>
                <w:b w:val="0"/>
                <w:sz w:val="16"/>
              </w:rPr>
              <w:t>How many clients, entities and periods use it?</w:t>
            </w:r>
          </w:p>
        </w:tc>
      </w:tr>
      <w:tr>
        <w:tc>
          <w:tcPr>
            <w:tcW w:type="dxa" w:w="3389"/>
            <w:vAlign w:val="center"/>
            <w:tcMar>
              <w:top w:w="80" w:type="dxa"/>
              <w:start w:w="80" w:type="dxa"/>
              <w:bottom w:w="80" w:type="dxa"/>
              <w:end w:w="80" w:type="dxa"/>
            </w:tcMar>
          </w:tcPr>
          <w:p>
            <w:r/>
            <w:r>
              <w:rPr>
                <w:b w:val="0"/>
                <w:sz w:val="16"/>
              </w:rPr>
              <w:t>Standardization</w:t>
            </w:r>
          </w:p>
        </w:tc>
        <w:tc>
          <w:tcPr>
            <w:tcW w:type="dxa" w:w="3389"/>
            <w:vAlign w:val="center"/>
            <w:tcMar>
              <w:top w:w="80" w:type="dxa"/>
              <w:start w:w="80" w:type="dxa"/>
              <w:bottom w:w="80" w:type="dxa"/>
              <w:end w:w="80" w:type="dxa"/>
            </w:tcMar>
          </w:tcPr>
          <w:p>
            <w:r/>
            <w:r>
              <w:rPr>
                <w:b w:val="0"/>
                <w:sz w:val="16"/>
              </w:rPr>
              <w:t>15%</w:t>
            </w:r>
          </w:p>
        </w:tc>
        <w:tc>
          <w:tcPr>
            <w:tcW w:type="dxa" w:w="3389"/>
            <w:vAlign w:val="center"/>
            <w:tcMar>
              <w:top w:w="80" w:type="dxa"/>
              <w:start w:w="80" w:type="dxa"/>
              <w:bottom w:w="80" w:type="dxa"/>
              <w:end w:w="80" w:type="dxa"/>
            </w:tcMar>
          </w:tcPr>
          <w:p>
            <w:r/>
            <w:r>
              <w:rPr>
                <w:b w:val="0"/>
                <w:sz w:val="16"/>
              </w:rPr>
              <w:t>Is there a consistent methodology and deliverable?</w:t>
            </w:r>
          </w:p>
        </w:tc>
      </w:tr>
      <w:tr>
        <w:tc>
          <w:tcPr>
            <w:tcW w:type="dxa" w:w="3389"/>
            <w:vAlign w:val="center"/>
            <w:tcMar>
              <w:top w:w="80" w:type="dxa"/>
              <w:start w:w="80" w:type="dxa"/>
              <w:bottom w:w="80" w:type="dxa"/>
              <w:end w:w="80" w:type="dxa"/>
            </w:tcMar>
          </w:tcPr>
          <w:p>
            <w:r/>
            <w:r>
              <w:rPr>
                <w:b w:val="0"/>
                <w:sz w:val="16"/>
              </w:rPr>
              <w:t>Deterministic core</w:t>
            </w:r>
          </w:p>
        </w:tc>
        <w:tc>
          <w:tcPr>
            <w:tcW w:type="dxa" w:w="3389"/>
            <w:vAlign w:val="center"/>
            <w:tcMar>
              <w:top w:w="80" w:type="dxa"/>
              <w:start w:w="80" w:type="dxa"/>
              <w:bottom w:w="80" w:type="dxa"/>
              <w:end w:w="80" w:type="dxa"/>
            </w:tcMar>
          </w:tcPr>
          <w:p>
            <w:r/>
            <w:r>
              <w:rPr>
                <w:b w:val="0"/>
                <w:sz w:val="16"/>
              </w:rPr>
              <w:t>15%</w:t>
            </w:r>
          </w:p>
        </w:tc>
        <w:tc>
          <w:tcPr>
            <w:tcW w:type="dxa" w:w="3389"/>
            <w:vAlign w:val="center"/>
            <w:tcMar>
              <w:top w:w="80" w:type="dxa"/>
              <w:start w:w="80" w:type="dxa"/>
              <w:bottom w:w="80" w:type="dxa"/>
              <w:end w:w="80" w:type="dxa"/>
            </w:tcMar>
          </w:tcPr>
          <w:p>
            <w:r/>
            <w:r>
              <w:rPr>
                <w:b w:val="0"/>
                <w:sz w:val="16"/>
              </w:rPr>
              <w:t>Can calculations and validations be encoded reliably?</w:t>
            </w:r>
          </w:p>
        </w:tc>
      </w:tr>
      <w:tr>
        <w:tc>
          <w:tcPr>
            <w:tcW w:type="dxa" w:w="3389"/>
            <w:vAlign w:val="center"/>
            <w:tcMar>
              <w:top w:w="80" w:type="dxa"/>
              <w:start w:w="80" w:type="dxa"/>
              <w:bottom w:w="80" w:type="dxa"/>
              <w:end w:w="80" w:type="dxa"/>
            </w:tcMar>
          </w:tcPr>
          <w:p>
            <w:r/>
            <w:r>
              <w:rPr>
                <w:b w:val="0"/>
                <w:sz w:val="16"/>
              </w:rPr>
              <w:t>Economic value</w:t>
            </w:r>
          </w:p>
        </w:tc>
        <w:tc>
          <w:tcPr>
            <w:tcW w:type="dxa" w:w="3389"/>
            <w:vAlign w:val="center"/>
            <w:tcMar>
              <w:top w:w="80" w:type="dxa"/>
              <w:start w:w="80" w:type="dxa"/>
              <w:bottom w:w="80" w:type="dxa"/>
              <w:end w:w="80" w:type="dxa"/>
            </w:tcMar>
          </w:tcPr>
          <w:p>
            <w:r/>
            <w:r>
              <w:rPr>
                <w:b w:val="0"/>
                <w:sz w:val="16"/>
              </w:rPr>
              <w:t>15%</w:t>
            </w:r>
          </w:p>
        </w:tc>
        <w:tc>
          <w:tcPr>
            <w:tcW w:type="dxa" w:w="3389"/>
            <w:vAlign w:val="center"/>
            <w:tcMar>
              <w:top w:w="80" w:type="dxa"/>
              <w:start w:w="80" w:type="dxa"/>
              <w:bottom w:w="80" w:type="dxa"/>
              <w:end w:w="80" w:type="dxa"/>
            </w:tcMar>
          </w:tcPr>
          <w:p>
            <w:r/>
            <w:r>
              <w:rPr>
                <w:b w:val="0"/>
                <w:sz w:val="16"/>
              </w:rPr>
              <w:t>How many professional hours and review cycles can be removed?</w:t>
            </w:r>
          </w:p>
        </w:tc>
      </w:tr>
      <w:tr>
        <w:tc>
          <w:tcPr>
            <w:tcW w:type="dxa" w:w="3389"/>
            <w:vAlign w:val="center"/>
            <w:tcMar>
              <w:top w:w="80" w:type="dxa"/>
              <w:start w:w="80" w:type="dxa"/>
              <w:bottom w:w="80" w:type="dxa"/>
              <w:end w:w="80" w:type="dxa"/>
            </w:tcMar>
          </w:tcPr>
          <w:p>
            <w:r/>
            <w:r>
              <w:rPr>
                <w:b w:val="0"/>
                <w:sz w:val="16"/>
              </w:rPr>
              <w:t>Data reuse</w:t>
            </w:r>
          </w:p>
        </w:tc>
        <w:tc>
          <w:tcPr>
            <w:tcW w:type="dxa" w:w="3389"/>
            <w:vAlign w:val="center"/>
            <w:tcMar>
              <w:top w:w="80" w:type="dxa"/>
              <w:start w:w="80" w:type="dxa"/>
              <w:bottom w:w="80" w:type="dxa"/>
              <w:end w:w="80" w:type="dxa"/>
            </w:tcMar>
          </w:tcPr>
          <w:p>
            <w:r/>
            <w:r>
              <w:rPr>
                <w:b w:val="0"/>
                <w:sz w:val="16"/>
              </w:rPr>
              <w:t>10%</w:t>
            </w:r>
          </w:p>
        </w:tc>
        <w:tc>
          <w:tcPr>
            <w:tcW w:type="dxa" w:w="3389"/>
            <w:vAlign w:val="center"/>
            <w:tcMar>
              <w:top w:w="80" w:type="dxa"/>
              <w:start w:w="80" w:type="dxa"/>
              <w:bottom w:w="80" w:type="dxa"/>
              <w:end w:w="80" w:type="dxa"/>
            </w:tcMar>
          </w:tcPr>
          <w:p>
            <w:r/>
            <w:r>
              <w:rPr>
                <w:b w:val="0"/>
                <w:sz w:val="16"/>
              </w:rPr>
              <w:t>Does it strengthen shared ledgers and downstream workflows?</w:t>
            </w:r>
          </w:p>
        </w:tc>
      </w:tr>
      <w:tr>
        <w:tc>
          <w:tcPr>
            <w:tcW w:type="dxa" w:w="3389"/>
            <w:vAlign w:val="center"/>
            <w:tcMar>
              <w:top w:w="80" w:type="dxa"/>
              <w:start w:w="80" w:type="dxa"/>
              <w:bottom w:w="80" w:type="dxa"/>
              <w:end w:w="80" w:type="dxa"/>
            </w:tcMar>
          </w:tcPr>
          <w:p>
            <w:r/>
            <w:r>
              <w:rPr>
                <w:b w:val="0"/>
                <w:sz w:val="16"/>
              </w:rPr>
              <w:t>Risk reduction</w:t>
            </w:r>
          </w:p>
        </w:tc>
        <w:tc>
          <w:tcPr>
            <w:tcW w:type="dxa" w:w="3389"/>
            <w:vAlign w:val="center"/>
            <w:tcMar>
              <w:top w:w="80" w:type="dxa"/>
              <w:start w:w="80" w:type="dxa"/>
              <w:bottom w:w="80" w:type="dxa"/>
              <w:end w:w="80" w:type="dxa"/>
            </w:tcMar>
          </w:tcPr>
          <w:p>
            <w:r/>
            <w:r>
              <w:rPr>
                <w:b w:val="0"/>
                <w:sz w:val="16"/>
              </w:rPr>
              <w:t>10%</w:t>
            </w:r>
          </w:p>
        </w:tc>
        <w:tc>
          <w:tcPr>
            <w:tcW w:type="dxa" w:w="3389"/>
            <w:vAlign w:val="center"/>
            <w:tcMar>
              <w:top w:w="80" w:type="dxa"/>
              <w:start w:w="80" w:type="dxa"/>
              <w:bottom w:w="80" w:type="dxa"/>
              <w:end w:w="80" w:type="dxa"/>
            </w:tcMar>
          </w:tcPr>
          <w:p>
            <w:r/>
            <w:r>
              <w:rPr>
                <w:b w:val="0"/>
                <w:sz w:val="16"/>
              </w:rPr>
              <w:t>Does it reduce filing, calculation or evidence risk?</w:t>
            </w:r>
          </w:p>
        </w:tc>
      </w:tr>
      <w:tr>
        <w:tc>
          <w:tcPr>
            <w:tcW w:type="dxa" w:w="3389"/>
            <w:vAlign w:val="center"/>
            <w:tcMar>
              <w:top w:w="80" w:type="dxa"/>
              <w:start w:w="80" w:type="dxa"/>
              <w:bottom w:w="80" w:type="dxa"/>
              <w:end w:w="80" w:type="dxa"/>
            </w:tcMar>
          </w:tcPr>
          <w:p>
            <w:r/>
            <w:r>
              <w:rPr>
                <w:b w:val="0"/>
                <w:sz w:val="16"/>
              </w:rPr>
              <w:t>Manager review leverage</w:t>
            </w:r>
          </w:p>
        </w:tc>
        <w:tc>
          <w:tcPr>
            <w:tcW w:type="dxa" w:w="3389"/>
            <w:vAlign w:val="center"/>
            <w:tcMar>
              <w:top w:w="80" w:type="dxa"/>
              <w:start w:w="80" w:type="dxa"/>
              <w:bottom w:w="80" w:type="dxa"/>
              <w:end w:w="80" w:type="dxa"/>
            </w:tcMar>
          </w:tcPr>
          <w:p>
            <w:r/>
            <w:r>
              <w:rPr>
                <w:b w:val="0"/>
                <w:sz w:val="16"/>
              </w:rPr>
              <w:t>10%</w:t>
            </w:r>
          </w:p>
        </w:tc>
        <w:tc>
          <w:tcPr>
            <w:tcW w:type="dxa" w:w="3389"/>
            <w:vAlign w:val="center"/>
            <w:tcMar>
              <w:top w:w="80" w:type="dxa"/>
              <w:start w:w="80" w:type="dxa"/>
              <w:bottom w:w="80" w:type="dxa"/>
              <w:end w:w="80" w:type="dxa"/>
            </w:tcMar>
          </w:tcPr>
          <w:p>
            <w:r/>
            <w:r>
              <w:rPr>
                <w:b w:val="0"/>
                <w:sz w:val="16"/>
              </w:rPr>
              <w:t>Can the system turn preparation into exception review?</w:t>
            </w:r>
          </w:p>
        </w:tc>
      </w:tr>
      <w:tr>
        <w:tc>
          <w:tcPr>
            <w:tcW w:type="dxa" w:w="3389"/>
            <w:vAlign w:val="center"/>
            <w:tcMar>
              <w:top w:w="80" w:type="dxa"/>
              <w:start w:w="80" w:type="dxa"/>
              <w:bottom w:w="80" w:type="dxa"/>
              <w:end w:w="80" w:type="dxa"/>
            </w:tcMar>
          </w:tcPr>
          <w:p>
            <w:r/>
            <w:r>
              <w:rPr>
                <w:b w:val="0"/>
                <w:sz w:val="16"/>
              </w:rPr>
              <w:t>Implementation feasibility</w:t>
            </w:r>
          </w:p>
        </w:tc>
        <w:tc>
          <w:tcPr>
            <w:tcW w:type="dxa" w:w="3389"/>
            <w:vAlign w:val="center"/>
            <w:tcMar>
              <w:top w:w="80" w:type="dxa"/>
              <w:start w:w="80" w:type="dxa"/>
              <w:bottom w:w="80" w:type="dxa"/>
              <w:end w:w="80" w:type="dxa"/>
            </w:tcMar>
          </w:tcPr>
          <w:p>
            <w:r/>
            <w:r>
              <w:rPr>
                <w:b w:val="0"/>
                <w:sz w:val="16"/>
              </w:rPr>
              <w:t>5%</w:t>
            </w:r>
          </w:p>
        </w:tc>
        <w:tc>
          <w:tcPr>
            <w:tcW w:type="dxa" w:w="3389"/>
            <w:vAlign w:val="center"/>
            <w:tcMar>
              <w:top w:w="80" w:type="dxa"/>
              <w:start w:w="80" w:type="dxa"/>
              <w:bottom w:w="80" w:type="dxa"/>
              <w:end w:w="80" w:type="dxa"/>
            </w:tcMar>
          </w:tcPr>
          <w:p>
            <w:r/>
            <w:r>
              <w:rPr>
                <w:b w:val="0"/>
                <w:sz w:val="16"/>
              </w:rPr>
              <w:t>Can the workflow be built from available data and integrations?</w:t>
            </w:r>
          </w:p>
        </w:tc>
      </w:tr>
    </w:tbl>
    <w:p>
      <w:pPr>
        <w:pStyle w:val="Heading1"/>
      </w:pPr>
      <w:r>
        <w:t>7. Competitive Positioning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11827"/>
            <w:tcMar>
              <w:top w:w="80" w:type="dxa"/>
              <w:start w:w="80" w:type="dxa"/>
              <w:bottom w:w="80" w:type="dxa"/>
              <w:end w:w="80" w:type="dxa"/>
            </w:tcMar>
          </w:tcPr>
          <w:p>
            <w:r/>
            <w:r>
              <w:rPr>
                <w:b/>
                <w:color w:val="FFFFFF"/>
                <w:sz w:val="16"/>
              </w:rPr>
              <w:t>Configurable AI platform / skills model</w:t>
            </w:r>
          </w:p>
        </w:tc>
        <w:tc>
          <w:tcPr>
            <w:tcW w:type="dxa" w:w="5083"/>
            <w:vAlign w:val="center"/>
            <w:shd w:fill="111827"/>
            <w:tcMar>
              <w:top w:w="80" w:type="dxa"/>
              <w:start w:w="80" w:type="dxa"/>
              <w:bottom w:w="80" w:type="dxa"/>
              <w:end w:w="80" w:type="dxa"/>
            </w:tcMar>
          </w:tcPr>
          <w:p>
            <w:r/>
            <w:r>
              <w:rPr>
                <w:b/>
                <w:color w:val="FFFFFF"/>
                <w:sz w:val="16"/>
              </w:rPr>
              <w:t>Sinaxe standardized execution model</w:t>
            </w:r>
          </w:p>
        </w:tc>
      </w:tr>
      <w:tr>
        <w:tc>
          <w:tcPr>
            <w:tcW w:type="dxa" w:w="5083"/>
            <w:vAlign w:val="center"/>
            <w:tcMar>
              <w:top w:w="80" w:type="dxa"/>
              <w:start w:w="80" w:type="dxa"/>
              <w:bottom w:w="80" w:type="dxa"/>
              <w:end w:w="80" w:type="dxa"/>
            </w:tcMar>
          </w:tcPr>
          <w:p>
            <w:r/>
            <w:r>
              <w:rPr>
                <w:b w:val="0"/>
                <w:sz w:val="16"/>
              </w:rPr>
              <w:t>The user authors instructions and assembles capabilities.</w:t>
            </w:r>
          </w:p>
        </w:tc>
        <w:tc>
          <w:tcPr>
            <w:tcW w:type="dxa" w:w="5083"/>
            <w:vAlign w:val="center"/>
            <w:tcMar>
              <w:top w:w="80" w:type="dxa"/>
              <w:start w:w="80" w:type="dxa"/>
              <w:bottom w:w="80" w:type="dxa"/>
              <w:end w:w="80" w:type="dxa"/>
            </w:tcMar>
          </w:tcPr>
          <w:p>
            <w:r/>
            <w:r>
              <w:rPr>
                <w:b w:val="0"/>
                <w:sz w:val="16"/>
              </w:rPr>
              <w:t>The methodology and workflow arrive preconfigured.</w:t>
            </w:r>
          </w:p>
        </w:tc>
      </w:tr>
      <w:tr>
        <w:tc>
          <w:tcPr>
            <w:tcW w:type="dxa" w:w="5083"/>
            <w:vAlign w:val="center"/>
            <w:tcMar>
              <w:top w:w="80" w:type="dxa"/>
              <w:start w:w="80" w:type="dxa"/>
              <w:bottom w:w="80" w:type="dxa"/>
              <w:end w:w="80" w:type="dxa"/>
            </w:tcMar>
          </w:tcPr>
          <w:p>
            <w:r/>
            <w:r>
              <w:rPr>
                <w:b w:val="0"/>
                <w:sz w:val="16"/>
              </w:rPr>
              <w:t>Quality depends heavily on the skill author and local setup.</w:t>
            </w:r>
          </w:p>
        </w:tc>
        <w:tc>
          <w:tcPr>
            <w:tcW w:type="dxa" w:w="5083"/>
            <w:vAlign w:val="center"/>
            <w:tcMar>
              <w:top w:w="80" w:type="dxa"/>
              <w:start w:w="80" w:type="dxa"/>
              <w:bottom w:w="80" w:type="dxa"/>
              <w:end w:w="80" w:type="dxa"/>
            </w:tcMar>
          </w:tcPr>
          <w:p>
            <w:r/>
            <w:r>
              <w:rPr>
                <w:b w:val="0"/>
                <w:sz w:val="16"/>
              </w:rPr>
              <w:t>Quality is governed by versioned tax rules, controls and review standards.</w:t>
            </w:r>
          </w:p>
        </w:tc>
      </w:tr>
      <w:tr>
        <w:tc>
          <w:tcPr>
            <w:tcW w:type="dxa" w:w="5083"/>
            <w:vAlign w:val="center"/>
            <w:tcMar>
              <w:top w:w="80" w:type="dxa"/>
              <w:start w:w="80" w:type="dxa"/>
              <w:bottom w:w="80" w:type="dxa"/>
              <w:end w:w="80" w:type="dxa"/>
            </w:tcMar>
          </w:tcPr>
          <w:p>
            <w:r/>
            <w:r>
              <w:rPr>
                <w:b w:val="0"/>
                <w:sz w:val="16"/>
              </w:rPr>
              <w:t>Work is commonly initiated one client at a time.</w:t>
            </w:r>
          </w:p>
        </w:tc>
        <w:tc>
          <w:tcPr>
            <w:tcW w:type="dxa" w:w="5083"/>
            <w:vAlign w:val="center"/>
            <w:tcMar>
              <w:top w:w="80" w:type="dxa"/>
              <w:start w:w="80" w:type="dxa"/>
              <w:bottom w:w="80" w:type="dxa"/>
              <w:end w:w="80" w:type="dxa"/>
            </w:tcMar>
          </w:tcPr>
          <w:p>
            <w:r/>
            <w:r>
              <w:rPr>
                <w:b w:val="0"/>
                <w:sz w:val="16"/>
              </w:rPr>
              <w:t>Work is initiated and monitored across clients, entities and years.</w:t>
            </w:r>
          </w:p>
        </w:tc>
      </w:tr>
      <w:tr>
        <w:tc>
          <w:tcPr>
            <w:tcW w:type="dxa" w:w="5083"/>
            <w:vAlign w:val="center"/>
            <w:tcMar>
              <w:top w:w="80" w:type="dxa"/>
              <w:start w:w="80" w:type="dxa"/>
              <w:bottom w:w="80" w:type="dxa"/>
              <w:end w:w="80" w:type="dxa"/>
            </w:tcMar>
          </w:tcPr>
          <w:p>
            <w:r/>
            <w:r>
              <w:rPr>
                <w:b w:val="0"/>
                <w:sz w:val="16"/>
              </w:rPr>
              <w:t>The platform may generate chat answers and Office files.</w:t>
            </w:r>
          </w:p>
        </w:tc>
        <w:tc>
          <w:tcPr>
            <w:tcW w:type="dxa" w:w="5083"/>
            <w:vAlign w:val="center"/>
            <w:tcMar>
              <w:top w:w="80" w:type="dxa"/>
              <w:start w:w="80" w:type="dxa"/>
              <w:bottom w:w="80" w:type="dxa"/>
              <w:end w:w="80" w:type="dxa"/>
            </w:tcMar>
          </w:tcPr>
          <w:p>
            <w:r/>
            <w:r>
              <w:rPr>
                <w:b w:val="0"/>
                <w:sz w:val="16"/>
              </w:rPr>
              <w:t>Sinaxe produces integrated calculations, workpapers, forms, evidence and sign-offs.</w:t>
            </w:r>
          </w:p>
        </w:tc>
      </w:tr>
      <w:tr>
        <w:tc>
          <w:tcPr>
            <w:tcW w:type="dxa" w:w="5083"/>
            <w:vAlign w:val="center"/>
            <w:tcMar>
              <w:top w:w="80" w:type="dxa"/>
              <w:start w:w="80" w:type="dxa"/>
              <w:bottom w:w="80" w:type="dxa"/>
              <w:end w:w="80" w:type="dxa"/>
            </w:tcMar>
          </w:tcPr>
          <w:p>
            <w:r/>
            <w:r>
              <w:rPr>
                <w:b w:val="0"/>
                <w:sz w:val="16"/>
              </w:rPr>
              <w:t>The user chooses connectors, MCPs, prompts and skills.</w:t>
            </w:r>
          </w:p>
        </w:tc>
        <w:tc>
          <w:tcPr>
            <w:tcW w:type="dxa" w:w="5083"/>
            <w:vAlign w:val="center"/>
            <w:tcMar>
              <w:top w:w="80" w:type="dxa"/>
              <w:start w:w="80" w:type="dxa"/>
              <w:bottom w:w="80" w:type="dxa"/>
              <w:end w:w="80" w:type="dxa"/>
            </w:tcMar>
          </w:tcPr>
          <w:p>
            <w:r/>
            <w:r>
              <w:rPr>
                <w:b w:val="0"/>
                <w:sz w:val="16"/>
              </w:rPr>
              <w:t>Sinaxe performs the technical configuration and orchestration.</w:t>
            </w:r>
          </w:p>
        </w:tc>
      </w:tr>
      <w:tr>
        <w:tc>
          <w:tcPr>
            <w:tcW w:type="dxa" w:w="5083"/>
            <w:vAlign w:val="center"/>
            <w:tcMar>
              <w:top w:w="80" w:type="dxa"/>
              <w:start w:w="80" w:type="dxa"/>
              <w:bottom w:w="80" w:type="dxa"/>
              <w:end w:w="80" w:type="dxa"/>
            </w:tcMar>
          </w:tcPr>
          <w:p>
            <w:r/>
            <w:r>
              <w:rPr>
                <w:b w:val="0"/>
                <w:sz w:val="16"/>
              </w:rPr>
              <w:t>Excellent for ad hoc or low-volume bespoke work.</w:t>
            </w:r>
          </w:p>
        </w:tc>
        <w:tc>
          <w:tcPr>
            <w:tcW w:type="dxa" w:w="5083"/>
            <w:vAlign w:val="center"/>
            <w:tcMar>
              <w:top w:w="80" w:type="dxa"/>
              <w:start w:w="80" w:type="dxa"/>
              <w:bottom w:w="80" w:type="dxa"/>
              <w:end w:w="80" w:type="dxa"/>
            </w:tcMar>
          </w:tcPr>
          <w:p>
            <w:r/>
            <w:r>
              <w:rPr>
                <w:b w:val="0"/>
                <w:sz w:val="16"/>
              </w:rPr>
              <w:t>Designed for recurring standardized tax execution at scale.</w:t>
            </w:r>
          </w:p>
        </w:tc>
      </w:tr>
      <w:tr>
        <w:tc>
          <w:tcPr>
            <w:tcW w:type="dxa" w:w="5083"/>
            <w:vAlign w:val="center"/>
            <w:tcMar>
              <w:top w:w="80" w:type="dxa"/>
              <w:start w:w="80" w:type="dxa"/>
              <w:bottom w:w="80" w:type="dxa"/>
              <w:end w:w="80" w:type="dxa"/>
            </w:tcMar>
          </w:tcPr>
          <w:p>
            <w:r/>
            <w:r>
              <w:rPr>
                <w:b w:val="0"/>
                <w:sz w:val="16"/>
              </w:rPr>
              <w:t>Often tied closely to the platform model ecosystem.</w:t>
            </w:r>
          </w:p>
        </w:tc>
        <w:tc>
          <w:tcPr>
            <w:tcW w:type="dxa" w:w="5083"/>
            <w:vAlign w:val="center"/>
            <w:tcMar>
              <w:top w:w="80" w:type="dxa"/>
              <w:start w:w="80" w:type="dxa"/>
              <w:bottom w:w="80" w:type="dxa"/>
              <w:end w:w="80" w:type="dxa"/>
            </w:tcMar>
          </w:tcPr>
          <w:p>
            <w:r/>
            <w:r>
              <w:rPr>
                <w:b w:val="0"/>
                <w:sz w:val="16"/>
              </w:rPr>
              <w:t>Model-agnostic routing chooses the appropriate model, tool or deterministic engine by task.</w:t>
            </w:r>
          </w:p>
        </w:tc>
      </w:tr>
      <w:tr>
        <w:tc>
          <w:tcPr>
            <w:tcW w:type="dxa" w:w="5083"/>
            <w:vAlign w:val="center"/>
            <w:tcMar>
              <w:top w:w="80" w:type="dxa"/>
              <w:start w:w="80" w:type="dxa"/>
              <w:bottom w:w="80" w:type="dxa"/>
              <w:end w:w="80" w:type="dxa"/>
            </w:tcMar>
          </w:tcPr>
          <w:p>
            <w:r/>
            <w:r>
              <w:rPr>
                <w:b w:val="0"/>
                <w:sz w:val="16"/>
              </w:rPr>
              <w:t>The user creates the capability.</w:t>
            </w:r>
          </w:p>
        </w:tc>
        <w:tc>
          <w:tcPr>
            <w:tcW w:type="dxa" w:w="5083"/>
            <w:vAlign w:val="center"/>
            <w:tcMar>
              <w:top w:w="80" w:type="dxa"/>
              <w:start w:w="80" w:type="dxa"/>
              <w:bottom w:w="80" w:type="dxa"/>
              <w:end w:w="80" w:type="dxa"/>
            </w:tcMar>
          </w:tcPr>
          <w:p>
            <w:r/>
            <w:r>
              <w:rPr>
                <w:b w:val="0"/>
                <w:sz w:val="16"/>
              </w:rPr>
              <w:t>The user consumes a manager-level finished capability.</w:t>
            </w:r>
          </w:p>
        </w:tc>
      </w:tr>
    </w:tbl>
    <w:p>
      <w:pPr>
        <w:pStyle w:val="Callout"/>
      </w:pPr>
      <w:r>
        <w:t>Core positioning: Sinaxe executes standardized tax work at scale. Configurable skills remain useful for ad hoc client work and recurring workflows that exist for only a small number of clients.</w:t>
      </w:r>
    </w:p>
    <w:p>
      <w:pPr>
        <w:pStyle w:val="Heading1"/>
      </w:pPr>
      <w:r>
        <w:t>8. Suggested Product Roadmap</w:t>
      </w:r>
    </w:p>
    <w:tbl>
      <w:tblPr>
        <w:tblStyle w:val="TableGrid"/>
        <w:tblW w:type="auto" w:w="0"/>
        <w:tblLook w:firstColumn="1" w:firstRow="1" w:lastColumn="0" w:lastRow="0" w:noHBand="0" w:noVBand="1" w:val="04A0"/>
      </w:tblPr>
      <w:tblGrid>
        <w:gridCol w:w="5083"/>
        <w:gridCol w:w="5083"/>
      </w:tblGrid>
      <w:tr>
        <w:tc>
          <w:tcPr>
            <w:tcW w:type="dxa" w:w="5083"/>
            <w:vAlign w:val="center"/>
            <w:shd w:fill="111827"/>
            <w:tcMar>
              <w:top w:w="80" w:type="dxa"/>
              <w:start w:w="80" w:type="dxa"/>
              <w:bottom w:w="80" w:type="dxa"/>
              <w:end w:w="80" w:type="dxa"/>
            </w:tcMar>
          </w:tcPr>
          <w:p>
            <w:r/>
            <w:r>
              <w:rPr>
                <w:b/>
                <w:color w:val="FFFFFF"/>
                <w:sz w:val="16"/>
              </w:rPr>
              <w:t>Phase</w:t>
            </w:r>
          </w:p>
        </w:tc>
        <w:tc>
          <w:tcPr>
            <w:tcW w:type="dxa" w:w="5083"/>
            <w:vAlign w:val="center"/>
            <w:shd w:fill="111827"/>
            <w:tcMar>
              <w:top w:w="80" w:type="dxa"/>
              <w:start w:w="80" w:type="dxa"/>
              <w:bottom w:w="80" w:type="dxa"/>
              <w:end w:w="80" w:type="dxa"/>
            </w:tcMar>
          </w:tcPr>
          <w:p>
            <w:r/>
            <w:r>
              <w:rPr>
                <w:b/>
                <w:color w:val="FFFFFF"/>
                <w:sz w:val="16"/>
              </w:rPr>
              <w:t>Recommended scope</w:t>
            </w:r>
          </w:p>
        </w:tc>
      </w:tr>
      <w:tr>
        <w:tc>
          <w:tcPr>
            <w:tcW w:type="dxa" w:w="5083"/>
            <w:vAlign w:val="center"/>
            <w:tcMar>
              <w:top w:w="80" w:type="dxa"/>
              <w:start w:w="80" w:type="dxa"/>
              <w:bottom w:w="80" w:type="dxa"/>
              <w:end w:w="80" w:type="dxa"/>
            </w:tcMar>
          </w:tcPr>
          <w:p>
            <w:r/>
            <w:r>
              <w:rPr>
                <w:b/>
                <w:sz w:val="16"/>
              </w:rPr>
              <w:t>Phase 1 - International tax wedge</w:t>
            </w:r>
          </w:p>
        </w:tc>
        <w:tc>
          <w:tcPr>
            <w:tcW w:type="dxa" w:w="5083"/>
            <w:vAlign w:val="center"/>
            <w:tcMar>
              <w:top w:w="80" w:type="dxa"/>
              <w:start w:w="80" w:type="dxa"/>
              <w:bottom w:w="80" w:type="dxa"/>
              <w:end w:w="80" w:type="dxa"/>
            </w:tcMar>
          </w:tcPr>
          <w:p>
            <w:r/>
            <w:r>
              <w:rPr>
                <w:b w:val="0"/>
                <w:sz w:val="16"/>
              </w:rPr>
              <w:t>Ownership graph, T1134, FAPI, surplus, T106, FX and foreign tax infrastructure.</w:t>
            </w:r>
          </w:p>
        </w:tc>
      </w:tr>
      <w:tr>
        <w:tc>
          <w:tcPr>
            <w:tcW w:type="dxa" w:w="5083"/>
            <w:vAlign w:val="center"/>
            <w:tcMar>
              <w:top w:w="80" w:type="dxa"/>
              <w:start w:w="80" w:type="dxa"/>
              <w:bottom w:w="80" w:type="dxa"/>
              <w:end w:w="80" w:type="dxa"/>
            </w:tcMar>
          </w:tcPr>
          <w:p>
            <w:r/>
            <w:r>
              <w:rPr>
                <w:b/>
                <w:sz w:val="16"/>
              </w:rPr>
              <w:t>Phase 2 - Enterprise T2 execution</w:t>
            </w:r>
          </w:p>
        </w:tc>
        <w:tc>
          <w:tcPr>
            <w:tcW w:type="dxa" w:w="5083"/>
            <w:vAlign w:val="center"/>
            <w:tcMar>
              <w:top w:w="80" w:type="dxa"/>
              <w:start w:w="80" w:type="dxa"/>
              <w:bottom w:w="80" w:type="dxa"/>
              <w:end w:w="80" w:type="dxa"/>
            </w:tcMar>
          </w:tcPr>
          <w:p>
            <w:r/>
            <w:r>
              <w:rPr>
                <w:b w:val="0"/>
                <w:sz w:val="16"/>
              </w:rPr>
              <w:t>TB normalization, Schedule 1, Schedule 8, losses, dividends, provincial allocation, return assembly and NOA reconciliation.</w:t>
            </w:r>
          </w:p>
        </w:tc>
      </w:tr>
      <w:tr>
        <w:tc>
          <w:tcPr>
            <w:tcW w:type="dxa" w:w="5083"/>
            <w:vAlign w:val="center"/>
            <w:tcMar>
              <w:top w:w="80" w:type="dxa"/>
              <w:start w:w="80" w:type="dxa"/>
              <w:bottom w:w="80" w:type="dxa"/>
              <w:end w:w="80" w:type="dxa"/>
            </w:tcMar>
          </w:tcPr>
          <w:p>
            <w:r/>
            <w:r>
              <w:rPr>
                <w:b/>
                <w:sz w:val="16"/>
              </w:rPr>
              <w:t>Phase 3 - Group-wide calculations</w:t>
            </w:r>
          </w:p>
        </w:tc>
        <w:tc>
          <w:tcPr>
            <w:tcW w:type="dxa" w:w="5083"/>
            <w:vAlign w:val="center"/>
            <w:tcMar>
              <w:top w:w="80" w:type="dxa"/>
              <w:start w:w="80" w:type="dxa"/>
              <w:bottom w:w="80" w:type="dxa"/>
              <w:end w:w="80" w:type="dxa"/>
            </w:tcMar>
          </w:tcPr>
          <w:p>
            <w:r/>
            <w:r>
              <w:rPr>
                <w:b w:val="0"/>
                <w:sz w:val="16"/>
              </w:rPr>
              <w:t>EIFEL, current tax provision, Part XIII withholding, CbCR and Pillar Two scoping/safe harbours.</w:t>
            </w:r>
          </w:p>
        </w:tc>
      </w:tr>
      <w:tr>
        <w:tc>
          <w:tcPr>
            <w:tcW w:type="dxa" w:w="5083"/>
            <w:vAlign w:val="center"/>
            <w:tcMar>
              <w:top w:w="80" w:type="dxa"/>
              <w:start w:w="80" w:type="dxa"/>
              <w:bottom w:w="80" w:type="dxa"/>
              <w:end w:w="80" w:type="dxa"/>
            </w:tcMar>
          </w:tcPr>
          <w:p>
            <w:r/>
            <w:r>
              <w:rPr>
                <w:b/>
                <w:sz w:val="16"/>
              </w:rPr>
              <w:t>Phase 4 - Broader specialty modules</w:t>
            </w:r>
          </w:p>
        </w:tc>
        <w:tc>
          <w:tcPr>
            <w:tcW w:type="dxa" w:w="5083"/>
            <w:vAlign w:val="center"/>
            <w:tcMar>
              <w:top w:w="80" w:type="dxa"/>
              <w:start w:w="80" w:type="dxa"/>
              <w:bottom w:w="80" w:type="dxa"/>
              <w:end w:w="80" w:type="dxa"/>
            </w:tcMar>
          </w:tcPr>
          <w:p>
            <w:r/>
            <w:r>
              <w:rPr>
                <w:b w:val="0"/>
                <w:sz w:val="16"/>
              </w:rPr>
              <w:t>Full Pillar Two, SR&amp;ED, clean-economy credits, private-company tax, reorganizations and controversy workflows.</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Sinaxe - Canadian Corporate Tax Workflow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360" w:right="360"/>
    </w:pPr>
    <w:rPr>
      <w:rFonts w:ascii="Aptos" w:hAnsi="Aptos"/>
      <w:i/>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Sinaxe Canadian Corporate Tax Workflow Portfolio</dc:title>
  <dc:subject>Product portfolio and workflow architecture for standardized Canadian corporate tax execution at scale</dc:subject>
  <dc:creator>Sinaxe</dc:creator>
  <cp:keywords>Canadian corporate tax, tax workflows, T2, T106, T1134, FAPI, surplus, EIFEL, Pillar Two, tax technology</cp:keywords>
  <dc:description>generated by python-docx</dc:description>
  <cp:lastModifiedBy/>
  <cp:revision>1</cp:revision>
  <dcterms:created xsi:type="dcterms:W3CDTF">2013-12-23T23:15:00Z</dcterms:created>
  <dcterms:modified xsi:type="dcterms:W3CDTF">2013-12-23T23:15:00Z</dcterms:modified>
  <cp:category/>
</cp:coreProperties>
</file>