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51063" w14:textId="77777777" w:rsidR="00CB58CE" w:rsidRDefault="00000000">
      <w:pPr>
        <w:jc w:val="center"/>
      </w:pPr>
      <w:r>
        <w:rPr>
          <w:b/>
          <w:sz w:val="32"/>
        </w:rPr>
        <w:t>Stories Coffee — Executive Summary</w:t>
      </w:r>
    </w:p>
    <w:p w14:paraId="5DA27EFA" w14:textId="64B49FDE" w:rsidR="00CB58CE" w:rsidRDefault="00000000">
      <w:pPr>
        <w:jc w:val="center"/>
      </w:pPr>
      <w:r>
        <w:t xml:space="preserve">POS Sales &amp; Profitability Insights </w:t>
      </w:r>
    </w:p>
    <w:p w14:paraId="3DEE34EE" w14:textId="77777777" w:rsidR="00CB58CE" w:rsidRDefault="00000000">
      <w:pPr>
        <w:jc w:val="center"/>
      </w:pPr>
      <w:r>
        <w:rPr>
          <w:sz w:val="20"/>
        </w:rPr>
        <w:t>Based on Stories Coffee POS exports (25 branches; 2025 + Jan 2026).</w:t>
      </w:r>
    </w:p>
    <w:p w14:paraId="76716ED1" w14:textId="77777777" w:rsidR="00CB58CE" w:rsidRDefault="00CB58CE"/>
    <w:p w14:paraId="78B53864" w14:textId="77777777" w:rsidR="00CB58CE" w:rsidRDefault="00000000">
      <w:pPr>
        <w:spacing w:before="120" w:after="40"/>
      </w:pPr>
      <w:r>
        <w:rPr>
          <w:b/>
          <w:sz w:val="25"/>
        </w:rPr>
        <w:t>Problem statement</w:t>
      </w:r>
    </w:p>
    <w:p w14:paraId="5B4146E4" w14:textId="77777777" w:rsidR="00CB58CE" w:rsidRDefault="00000000">
      <w:pPr>
        <w:spacing w:after="80"/>
      </w:pPr>
      <w:r>
        <w:rPr>
          <w:sz w:val="21"/>
        </w:rPr>
        <w:t>How can Stories Coffee use POS data to find the biggest revenue/profit drivers and decide what to fix first across branches and products?</w:t>
      </w:r>
    </w:p>
    <w:p w14:paraId="72498EB0" w14:textId="77777777" w:rsidR="00CB58CE" w:rsidRDefault="00000000">
      <w:pPr>
        <w:spacing w:before="120" w:after="40"/>
      </w:pPr>
      <w:r>
        <w:rPr>
          <w:b/>
          <w:sz w:val="25"/>
        </w:rPr>
        <w:t>Key findings (data-backed)</w:t>
      </w:r>
    </w:p>
    <w:p w14:paraId="0AF3EB6E" w14:textId="77777777" w:rsidR="00CB58CE" w:rsidRDefault="00000000">
      <w:pPr>
        <w:pStyle w:val="ListBullet"/>
        <w:spacing w:after="40"/>
      </w:pPr>
      <w:r>
        <w:rPr>
          <w:sz w:val="21"/>
        </w:rPr>
        <w:t>Sales are concentrated: top 3 branches contribute 33.4% of total sales and top 5 contribute 45.4% (total sales: 983.1M).</w:t>
      </w:r>
    </w:p>
    <w:p w14:paraId="4A9B873E" w14:textId="77777777" w:rsidR="00CB58CE" w:rsidRDefault="00000000">
      <w:pPr>
        <w:pStyle w:val="ListBullet"/>
        <w:spacing w:after="40"/>
      </w:pPr>
      <w:r>
        <w:rPr>
          <w:sz w:val="21"/>
        </w:rPr>
        <w:t>A few divisions drive most revenue: Cold Bar Section, Frozen Yoghurt, and Hot Bar Section account for ~77.0% of division revenue.</w:t>
      </w:r>
    </w:p>
    <w:p w14:paraId="4BA03CC6" w14:textId="77777777" w:rsidR="00CB58CE" w:rsidRDefault="00000000">
      <w:pPr>
        <w:pStyle w:val="ListBullet"/>
        <w:spacing w:after="40"/>
      </w:pPr>
      <w:r>
        <w:rPr>
          <w:sz w:val="21"/>
        </w:rPr>
        <w:t>Beverages outperform food on margin: beverages are 57.4% of revenue with ~77.2% margin vs food at ~63.1%.</w:t>
      </w:r>
    </w:p>
    <w:p w14:paraId="5D485D4E" w14:textId="77777777" w:rsidR="00CB58CE" w:rsidRDefault="00000000">
      <w:pPr>
        <w:pStyle w:val="ListBullet"/>
        <w:spacing w:after="40"/>
      </w:pPr>
      <w:r>
        <w:rPr>
          <w:sz w:val="21"/>
        </w:rPr>
        <w:t>Data issues exist: ~28.0M cost is attached to items with zero recorded revenue (likely missing prices / POS setup). This is profit leakage and also breaks analytics.</w:t>
      </w:r>
    </w:p>
    <w:p w14:paraId="3C307053" w14:textId="77777777" w:rsidR="00CB58CE" w:rsidRDefault="00000000">
      <w:pPr>
        <w:pStyle w:val="ListBullet"/>
        <w:spacing w:after="40"/>
      </w:pPr>
      <w:r>
        <w:rPr>
          <w:sz w:val="21"/>
        </w:rPr>
        <w:t>Seasonality is strong: average monthly sales peak in January and drop sharply in June (peak ~7× the low).</w:t>
      </w:r>
    </w:p>
    <w:p w14:paraId="2951E4B7" w14:textId="77777777" w:rsidR="00CB58CE" w:rsidRDefault="00000000">
      <w:pPr>
        <w:spacing w:before="120" w:after="40"/>
      </w:pPr>
      <w:r>
        <w:rPr>
          <w:b/>
          <w:sz w:val="25"/>
        </w:rPr>
        <w:t>Recommendations (next 30–60 days)</w:t>
      </w:r>
    </w:p>
    <w:p w14:paraId="45BFFBAC" w14:textId="77777777" w:rsidR="00CB58CE" w:rsidRDefault="00000000">
      <w:pPr>
        <w:pStyle w:val="ListBullet"/>
        <w:spacing w:after="40"/>
      </w:pPr>
      <w:r>
        <w:rPr>
          <w:sz w:val="21"/>
        </w:rPr>
        <w:t>Replicate best practices from top branches (staffing, in-stock, bundles) into mid-tier branches.</w:t>
      </w:r>
    </w:p>
    <w:p w14:paraId="7126E25A" w14:textId="77777777" w:rsidR="00CB58CE" w:rsidRDefault="00000000">
      <w:pPr>
        <w:pStyle w:val="ListBullet"/>
        <w:spacing w:after="40"/>
      </w:pPr>
      <w:r>
        <w:rPr>
          <w:sz w:val="21"/>
        </w:rPr>
        <w:t>Protect the main revenue drivers: keep the top divisions fully in stock and reduce prep bottlenecks during peak months.</w:t>
      </w:r>
    </w:p>
    <w:p w14:paraId="7BC693F9" w14:textId="77777777" w:rsidR="00CB58CE" w:rsidRDefault="00000000">
      <w:pPr>
        <w:pStyle w:val="ListBullet"/>
        <w:spacing w:after="40"/>
      </w:pPr>
      <w:r>
        <w:rPr>
          <w:sz w:val="21"/>
        </w:rPr>
        <w:t>Fix pricing/master-data immediately for items with cost but zero revenue (missing price, wrong item mapping, comps).</w:t>
      </w:r>
    </w:p>
    <w:p w14:paraId="0C27AC46" w14:textId="77777777" w:rsidR="00CB58CE" w:rsidRDefault="00000000">
      <w:pPr>
        <w:pStyle w:val="ListBullet"/>
        <w:spacing w:after="40"/>
      </w:pPr>
      <w:r>
        <w:rPr>
          <w:sz w:val="21"/>
        </w:rPr>
        <w:t>Improve food profitability: review low-margin items, renegotiate inputs, and adjust prices or bundle to lift margin.</w:t>
      </w:r>
    </w:p>
    <w:p w14:paraId="6908B3CC" w14:textId="77777777" w:rsidR="00CB58CE" w:rsidRDefault="00000000">
      <w:pPr>
        <w:pStyle w:val="ListBullet"/>
        <w:spacing w:after="40"/>
      </w:pPr>
      <w:r>
        <w:rPr>
          <w:sz w:val="21"/>
        </w:rPr>
        <w:t>Plan for seasonality: a June “dip playbook” (lighter labor + targeted promos) and a peak-month capacity plan.</w:t>
      </w:r>
    </w:p>
    <w:p w14:paraId="0DE6860F" w14:textId="77777777" w:rsidR="00CB58CE" w:rsidRDefault="00000000">
      <w:pPr>
        <w:spacing w:before="120" w:after="40"/>
      </w:pPr>
      <w:r>
        <w:rPr>
          <w:b/>
          <w:sz w:val="25"/>
        </w:rPr>
        <w:t>Expected impact (order-of-magnitude)</w:t>
      </w:r>
    </w:p>
    <w:p w14:paraId="5FB1A4F8" w14:textId="77777777" w:rsidR="00CB58CE" w:rsidRDefault="00000000">
      <w:pPr>
        <w:pStyle w:val="ListBullet"/>
        <w:spacing w:after="40"/>
      </w:pPr>
      <w:r>
        <w:rPr>
          <w:sz w:val="21"/>
        </w:rPr>
        <w:t>+1 percentage point margin improvement on FOOD revenue (~352.2M) adds ~3.5M profit if volume holds.</w:t>
      </w:r>
    </w:p>
    <w:p w14:paraId="3D12AEC9" w14:textId="77777777" w:rsidR="00CB58CE" w:rsidRDefault="00000000">
      <w:pPr>
        <w:pStyle w:val="ListBullet"/>
        <w:spacing w:after="40"/>
      </w:pPr>
      <w:r>
        <w:rPr>
          <w:sz w:val="21"/>
        </w:rPr>
        <w:t>Resolving zero-priced / zero-revenue items could recover up to the associated costs (~28.0M) depending on true selling prices.</w:t>
      </w:r>
    </w:p>
    <w:p w14:paraId="10C8360E" w14:textId="77777777" w:rsidR="00CB58CE" w:rsidRDefault="00000000">
      <w:pPr>
        <w:pStyle w:val="ListBullet"/>
        <w:spacing w:after="40"/>
      </w:pPr>
      <w:r>
        <w:rPr>
          <w:sz w:val="21"/>
        </w:rPr>
        <w:t>Reducing stockouts in the top divisions (≈77% of revenue) usually gives a bigger return than broad, unfocused changes.</w:t>
      </w:r>
    </w:p>
    <w:p w14:paraId="6BCE732D" w14:textId="77777777" w:rsidR="00CB58CE" w:rsidRDefault="00000000">
      <w:pPr>
        <w:spacing w:before="120" w:after="40"/>
      </w:pPr>
      <w:r>
        <w:rPr>
          <w:b/>
          <w:sz w:val="25"/>
        </w:rPr>
        <w:t>Methodology (brief)</w:t>
      </w:r>
    </w:p>
    <w:p w14:paraId="6A25791C" w14:textId="77777777" w:rsidR="00CB58CE" w:rsidRDefault="00000000">
      <w:pPr>
        <w:pStyle w:val="ListBullet"/>
        <w:spacing w:after="40"/>
      </w:pPr>
      <w:r>
        <w:rPr>
          <w:sz w:val="21"/>
        </w:rPr>
        <w:t>Cleaned and standardized POS exports (names, missing/invalid rows; flagged suspicious prices).</w:t>
      </w:r>
    </w:p>
    <w:p w14:paraId="3AA41970" w14:textId="77777777" w:rsidR="00CB58CE" w:rsidRDefault="00000000">
      <w:pPr>
        <w:pStyle w:val="ListBullet"/>
        <w:spacing w:after="40"/>
      </w:pPr>
      <w:r>
        <w:rPr>
          <w:sz w:val="21"/>
        </w:rPr>
        <w:t>Aggregated revenue, cost, profit, and margin by branch, category, division, and product.</w:t>
      </w:r>
    </w:p>
    <w:p w14:paraId="4470B79A" w14:textId="77777777" w:rsidR="00CB58CE" w:rsidRDefault="00000000">
      <w:pPr>
        <w:pStyle w:val="ListBullet"/>
        <w:spacing w:after="40"/>
      </w:pPr>
      <w:r>
        <w:rPr>
          <w:sz w:val="21"/>
        </w:rPr>
        <w:t>Ranked top drivers and flagged anomalies (e.g., cost with zero revenue).</w:t>
      </w:r>
    </w:p>
    <w:p w14:paraId="33406796" w14:textId="77777777" w:rsidR="00CB58CE" w:rsidRDefault="00000000">
      <w:pPr>
        <w:pStyle w:val="ListBullet"/>
        <w:spacing w:after="40"/>
      </w:pPr>
      <w:r>
        <w:rPr>
          <w:sz w:val="21"/>
        </w:rPr>
        <w:t>Selected only the most decision-useful charts for executives.</w:t>
      </w:r>
    </w:p>
    <w:p w14:paraId="48D2BAC3" w14:textId="77777777" w:rsidR="00CB58CE" w:rsidRDefault="00000000">
      <w:r>
        <w:br w:type="page"/>
      </w:r>
    </w:p>
    <w:p w14:paraId="57539970" w14:textId="77777777" w:rsidR="00CB58CE" w:rsidRDefault="00000000">
      <w:pPr>
        <w:spacing w:before="120" w:after="40"/>
      </w:pPr>
      <w:r>
        <w:rPr>
          <w:b/>
          <w:sz w:val="25"/>
        </w:rPr>
        <w:lastRenderedPageBreak/>
        <w:t>Selected visualizations (most relevant)</w:t>
      </w:r>
    </w:p>
    <w:p w14:paraId="3D324C48" w14:textId="77777777" w:rsidR="00CB58CE" w:rsidRDefault="00000000">
      <w:r>
        <w:rPr>
          <w:sz w:val="21"/>
        </w:rPr>
        <w:t>Figure 1. Total profit by branch (where profits are coming from).</w:t>
      </w:r>
    </w:p>
    <w:p w14:paraId="4DA543E4" w14:textId="77777777" w:rsidR="00CB58CE" w:rsidRDefault="00000000">
      <w:r>
        <w:rPr>
          <w:noProof/>
        </w:rPr>
        <w:drawing>
          <wp:inline distT="0" distB="0" distL="0" distR="0" wp14:anchorId="0D6F0F38" wp14:editId="1B0136C2">
            <wp:extent cx="3886200" cy="2555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2_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121" cy="25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495" w14:textId="77777777" w:rsidR="00CB58CE" w:rsidRDefault="00000000">
      <w:r>
        <w:rPr>
          <w:sz w:val="21"/>
        </w:rPr>
        <w:t>Figure 2. Top groups by revenue (biggest menu levers).</w:t>
      </w:r>
    </w:p>
    <w:p w14:paraId="6D619167" w14:textId="77777777" w:rsidR="00CB58CE" w:rsidRDefault="00000000">
      <w:r>
        <w:rPr>
          <w:noProof/>
        </w:rPr>
        <w:drawing>
          <wp:inline distT="0" distB="0" distL="0" distR="0" wp14:anchorId="4CED3E53" wp14:editId="60D72153">
            <wp:extent cx="4062003" cy="241834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3_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28" cy="24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E20" w14:textId="01363E50" w:rsidR="00CB58CE" w:rsidRDefault="00000000">
      <w:r>
        <w:rPr>
          <w:sz w:val="21"/>
        </w:rPr>
        <w:t>Figure 3. Profit margin comparison: beverages vs food.</w:t>
      </w:r>
      <w:r w:rsidR="00AE754D" w:rsidRPr="00AE754D">
        <w:rPr>
          <w:noProof/>
        </w:rPr>
        <w:t xml:space="preserve"> </w:t>
      </w:r>
    </w:p>
    <w:p w14:paraId="4108E612" w14:textId="19013318" w:rsidR="00CB58CE" w:rsidRDefault="00AE754D">
      <w:r>
        <w:rPr>
          <w:noProof/>
        </w:rPr>
        <w:drawing>
          <wp:anchor distT="0" distB="0" distL="114300" distR="114300" simplePos="0" relativeHeight="251658240" behindDoc="1" locked="0" layoutInCell="1" allowOverlap="1" wp14:anchorId="5D2C35AF" wp14:editId="120BAB3B">
            <wp:simplePos x="0" y="0"/>
            <wp:positionH relativeFrom="column">
              <wp:posOffset>-1905</wp:posOffset>
            </wp:positionH>
            <wp:positionV relativeFrom="paragraph">
              <wp:posOffset>48093</wp:posOffset>
            </wp:positionV>
            <wp:extent cx="3886200" cy="2711508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4_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11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B58C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040046">
    <w:abstractNumId w:val="8"/>
  </w:num>
  <w:num w:numId="2" w16cid:durableId="1477066846">
    <w:abstractNumId w:val="6"/>
  </w:num>
  <w:num w:numId="3" w16cid:durableId="1483814150">
    <w:abstractNumId w:val="5"/>
  </w:num>
  <w:num w:numId="4" w16cid:durableId="200940021">
    <w:abstractNumId w:val="4"/>
  </w:num>
  <w:num w:numId="5" w16cid:durableId="774716701">
    <w:abstractNumId w:val="7"/>
  </w:num>
  <w:num w:numId="6" w16cid:durableId="1369331372">
    <w:abstractNumId w:val="3"/>
  </w:num>
  <w:num w:numId="7" w16cid:durableId="1869641529">
    <w:abstractNumId w:val="2"/>
  </w:num>
  <w:num w:numId="8" w16cid:durableId="1272200484">
    <w:abstractNumId w:val="1"/>
  </w:num>
  <w:num w:numId="9" w16cid:durableId="164168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CE3"/>
    <w:rsid w:val="00AA1D8D"/>
    <w:rsid w:val="00AE754D"/>
    <w:rsid w:val="00B47730"/>
    <w:rsid w:val="00C75265"/>
    <w:rsid w:val="00CB0664"/>
    <w:rsid w:val="00CB5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3738D"/>
  <w14:defaultImageDpi w14:val="300"/>
  <w15:docId w15:val="{0D45746C-A01E-3A4B-BD42-7F657B48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Mamdouh El Zein (Student)</cp:lastModifiedBy>
  <cp:revision>2</cp:revision>
  <dcterms:created xsi:type="dcterms:W3CDTF">2026-02-21T19:58:00Z</dcterms:created>
  <dcterms:modified xsi:type="dcterms:W3CDTF">2026-02-21T19:58:00Z</dcterms:modified>
  <cp:category/>
</cp:coreProperties>
</file>